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auto"/>
          <w:sz w:val="52"/>
        </w:rPr>
      </w:pPr>
      <w:bookmarkStart w:id="11" w:name="_GoBack"/>
      <w:bookmarkEnd w:id="11"/>
    </w:p>
    <w:p>
      <w:pPr>
        <w:jc w:val="center"/>
        <w:rPr>
          <w:b/>
          <w:color w:val="auto"/>
          <w:sz w:val="52"/>
        </w:rPr>
      </w:pPr>
    </w:p>
    <w:p>
      <w:pPr>
        <w:jc w:val="center"/>
        <w:rPr>
          <w:b/>
          <w:color w:val="auto"/>
          <w:sz w:val="52"/>
        </w:rPr>
      </w:pPr>
    </w:p>
    <w:p>
      <w:pPr>
        <w:jc w:val="center"/>
        <w:rPr>
          <w:b/>
          <w:color w:val="auto"/>
          <w:sz w:val="72"/>
          <w:szCs w:val="72"/>
        </w:rPr>
      </w:pPr>
      <w:r>
        <w:rPr>
          <w:b/>
          <w:color w:val="auto"/>
          <w:sz w:val="72"/>
          <w:szCs w:val="72"/>
        </w:rPr>
        <w:t>建设项目环境影响报告表</w:t>
      </w:r>
    </w:p>
    <w:p>
      <w:pPr>
        <w:jc w:val="center"/>
        <w:rPr>
          <w:b/>
          <w:color w:val="auto"/>
          <w:sz w:val="48"/>
          <w:szCs w:val="48"/>
        </w:rPr>
      </w:pPr>
    </w:p>
    <w:p>
      <w:pPr>
        <w:pStyle w:val="24"/>
        <w:jc w:val="center"/>
        <w:rPr>
          <w:color w:val="auto"/>
        </w:rPr>
      </w:pPr>
    </w:p>
    <w:p>
      <w:pPr>
        <w:jc w:val="center"/>
        <w:rPr>
          <w:b/>
          <w:color w:val="auto"/>
          <w:sz w:val="36"/>
          <w:szCs w:val="36"/>
        </w:rPr>
      </w:pPr>
      <w:r>
        <w:rPr>
          <w:b/>
          <w:color w:val="auto"/>
          <w:sz w:val="36"/>
          <w:szCs w:val="36"/>
        </w:rPr>
        <w:t>（</w:t>
      </w:r>
      <w:r>
        <w:rPr>
          <w:rFonts w:hint="eastAsia"/>
          <w:b/>
          <w:color w:val="auto"/>
          <w:sz w:val="36"/>
          <w:szCs w:val="36"/>
          <w:lang w:eastAsia="zh-CN"/>
        </w:rPr>
        <w:t>报批</w:t>
      </w:r>
      <w:r>
        <w:rPr>
          <w:b/>
          <w:color w:val="auto"/>
          <w:sz w:val="36"/>
          <w:szCs w:val="36"/>
        </w:rPr>
        <w:t>本）</w:t>
      </w:r>
    </w:p>
    <w:p>
      <w:pPr>
        <w:jc w:val="center"/>
        <w:rPr>
          <w:b/>
          <w:color w:val="auto"/>
          <w:sz w:val="36"/>
          <w:szCs w:val="36"/>
        </w:rPr>
      </w:pPr>
    </w:p>
    <w:p>
      <w:pPr>
        <w:jc w:val="center"/>
        <w:rPr>
          <w:b/>
          <w:color w:val="auto"/>
          <w:sz w:val="36"/>
          <w:szCs w:val="36"/>
        </w:rPr>
      </w:pPr>
    </w:p>
    <w:p>
      <w:pPr>
        <w:jc w:val="center"/>
        <w:rPr>
          <w:b/>
          <w:color w:val="auto"/>
          <w:sz w:val="36"/>
          <w:szCs w:val="36"/>
        </w:rPr>
      </w:pPr>
    </w:p>
    <w:p>
      <w:pPr>
        <w:rPr>
          <w:b/>
          <w:color w:val="auto"/>
          <w:sz w:val="36"/>
          <w:szCs w:val="36"/>
        </w:rPr>
      </w:pPr>
    </w:p>
    <w:p>
      <w:pPr>
        <w:spacing w:line="360" w:lineRule="auto"/>
        <w:jc w:val="center"/>
        <w:rPr>
          <w:b/>
          <w:color w:val="auto"/>
          <w:sz w:val="30"/>
          <w:szCs w:val="30"/>
          <w:u w:val="single"/>
        </w:rPr>
      </w:pPr>
      <w:r>
        <w:rPr>
          <w:b/>
          <w:color w:val="auto"/>
          <w:sz w:val="30"/>
          <w:szCs w:val="30"/>
        </w:rPr>
        <w:t>项目名称：</w:t>
      </w:r>
      <w:r>
        <w:rPr>
          <w:b/>
          <w:color w:val="auto"/>
          <w:sz w:val="30"/>
          <w:szCs w:val="30"/>
          <w:u w:val="single"/>
        </w:rPr>
        <w:t>峨边彝族自治县宜坪乡桐花村农村生活污水治理项目</w:t>
      </w:r>
    </w:p>
    <w:p>
      <w:pPr>
        <w:spacing w:line="360" w:lineRule="auto"/>
        <w:ind w:firstLine="707"/>
        <w:jc w:val="center"/>
        <w:rPr>
          <w:b/>
          <w:color w:val="auto"/>
          <w:sz w:val="30"/>
        </w:rPr>
      </w:pPr>
    </w:p>
    <w:p>
      <w:pPr>
        <w:spacing w:line="360" w:lineRule="auto"/>
        <w:jc w:val="center"/>
        <w:rPr>
          <w:b/>
          <w:color w:val="auto"/>
          <w:spacing w:val="30"/>
          <w:sz w:val="30"/>
          <w:szCs w:val="30"/>
          <w:u w:val="single"/>
        </w:rPr>
      </w:pPr>
      <w:r>
        <w:rPr>
          <w:b/>
          <w:color w:val="auto"/>
          <w:sz w:val="30"/>
          <w:szCs w:val="30"/>
        </w:rPr>
        <w:t>建设单位(盖章)：</w:t>
      </w:r>
      <w:r>
        <w:rPr>
          <w:b/>
          <w:color w:val="auto"/>
          <w:sz w:val="30"/>
          <w:szCs w:val="30"/>
          <w:u w:val="single"/>
        </w:rPr>
        <w:t>峨边生态环境局</w:t>
      </w:r>
    </w:p>
    <w:p>
      <w:pPr>
        <w:spacing w:line="360" w:lineRule="auto"/>
        <w:jc w:val="center"/>
        <w:rPr>
          <w:b/>
          <w:color w:val="auto"/>
          <w:spacing w:val="30"/>
          <w:sz w:val="30"/>
          <w:szCs w:val="30"/>
          <w:u w:val="single"/>
        </w:rPr>
      </w:pPr>
    </w:p>
    <w:p>
      <w:pPr>
        <w:spacing w:line="360" w:lineRule="auto"/>
        <w:jc w:val="center"/>
        <w:rPr>
          <w:b/>
          <w:color w:val="auto"/>
          <w:spacing w:val="30"/>
          <w:u w:val="single"/>
        </w:rPr>
      </w:pPr>
    </w:p>
    <w:p>
      <w:pPr>
        <w:spacing w:line="360" w:lineRule="auto"/>
        <w:jc w:val="center"/>
        <w:rPr>
          <w:b/>
          <w:color w:val="auto"/>
          <w:spacing w:val="30"/>
          <w:u w:val="single"/>
        </w:rPr>
      </w:pPr>
    </w:p>
    <w:p>
      <w:pPr>
        <w:spacing w:line="360" w:lineRule="auto"/>
        <w:jc w:val="center"/>
        <w:rPr>
          <w:b/>
          <w:color w:val="auto"/>
          <w:spacing w:val="30"/>
          <w:u w:val="single"/>
        </w:rPr>
      </w:pPr>
    </w:p>
    <w:p>
      <w:pPr>
        <w:spacing w:line="360" w:lineRule="auto"/>
        <w:jc w:val="center"/>
        <w:rPr>
          <w:b/>
          <w:color w:val="auto"/>
          <w:spacing w:val="30"/>
          <w:sz w:val="30"/>
          <w:szCs w:val="30"/>
          <w:u w:val="single"/>
        </w:rPr>
      </w:pPr>
    </w:p>
    <w:p>
      <w:pPr>
        <w:spacing w:line="360" w:lineRule="auto"/>
        <w:rPr>
          <w:b/>
          <w:color w:val="auto"/>
          <w:spacing w:val="30"/>
          <w:sz w:val="30"/>
          <w:szCs w:val="30"/>
          <w:u w:val="single"/>
        </w:rPr>
      </w:pPr>
    </w:p>
    <w:p>
      <w:pPr>
        <w:jc w:val="center"/>
        <w:rPr>
          <w:b/>
          <w:color w:val="auto"/>
          <w:sz w:val="28"/>
          <w:szCs w:val="28"/>
        </w:rPr>
      </w:pPr>
    </w:p>
    <w:p>
      <w:pPr>
        <w:jc w:val="center"/>
        <w:rPr>
          <w:b/>
          <w:color w:val="auto"/>
          <w:sz w:val="28"/>
          <w:szCs w:val="28"/>
        </w:rPr>
      </w:pPr>
      <w:r>
        <w:rPr>
          <w:b/>
          <w:color w:val="auto"/>
          <w:sz w:val="28"/>
          <w:szCs w:val="28"/>
        </w:rPr>
        <w:t>编制单位：四川天和环境工程科技有限公司</w:t>
      </w:r>
    </w:p>
    <w:p>
      <w:pPr>
        <w:jc w:val="center"/>
        <w:rPr>
          <w:b/>
          <w:color w:val="auto"/>
          <w:sz w:val="28"/>
          <w:szCs w:val="28"/>
        </w:rPr>
      </w:pPr>
    </w:p>
    <w:p>
      <w:pPr>
        <w:jc w:val="center"/>
        <w:rPr>
          <w:rFonts w:eastAsia="黑体"/>
          <w:b/>
          <w:color w:val="auto"/>
          <w:sz w:val="28"/>
          <w:szCs w:val="28"/>
        </w:rPr>
      </w:pPr>
      <w:r>
        <w:rPr>
          <w:b/>
          <w:color w:val="auto"/>
          <w:sz w:val="28"/>
          <w:szCs w:val="28"/>
        </w:rPr>
        <w:t>编制日期：2020年</w:t>
      </w:r>
      <w:r>
        <w:rPr>
          <w:rFonts w:hint="eastAsia"/>
          <w:b/>
          <w:color w:val="auto"/>
          <w:sz w:val="28"/>
          <w:szCs w:val="28"/>
          <w:lang w:val="en-US" w:eastAsia="zh-CN"/>
        </w:rPr>
        <w:t>1</w:t>
      </w:r>
      <w:r>
        <w:rPr>
          <w:rFonts w:hint="eastAsia"/>
          <w:b/>
          <w:color w:val="auto"/>
          <w:sz w:val="28"/>
          <w:szCs w:val="28"/>
          <w:lang w:val="en-US" w:eastAsia="zh-CN"/>
        </w:rPr>
        <w:t>2</w:t>
      </w:r>
      <w:r>
        <w:rPr>
          <w:b/>
          <w:color w:val="auto"/>
          <w:sz w:val="28"/>
          <w:szCs w:val="28"/>
        </w:rPr>
        <w:t>月</w:t>
      </w:r>
    </w:p>
    <w:p>
      <w:pPr>
        <w:pStyle w:val="15"/>
        <w:spacing w:line="360" w:lineRule="auto"/>
        <w:jc w:val="center"/>
        <w:textAlignment w:val="center"/>
        <w:rPr>
          <w:rFonts w:eastAsia="黑体"/>
          <w:b/>
          <w:color w:val="auto"/>
          <w:szCs w:val="28"/>
        </w:rPr>
      </w:pPr>
    </w:p>
    <w:p>
      <w:pPr>
        <w:spacing w:line="360" w:lineRule="auto"/>
        <w:jc w:val="center"/>
        <w:rPr>
          <w:rFonts w:eastAsia="黑体"/>
          <w:b/>
          <w:color w:val="auto"/>
          <w:sz w:val="28"/>
          <w:szCs w:val="28"/>
        </w:rPr>
        <w:sectPr>
          <w:pgSz w:w="11906" w:h="16838"/>
          <w:pgMar w:top="1418" w:right="1418" w:bottom="1418" w:left="1418" w:header="851" w:footer="992" w:gutter="0"/>
          <w:pgBorders w:offsetFrom="page">
            <w:top w:val="none" w:sz="0" w:space="0"/>
            <w:left w:val="none" w:sz="0" w:space="0"/>
            <w:bottom w:val="none" w:sz="0" w:space="0"/>
            <w:right w:val="none" w:sz="0" w:space="0"/>
          </w:pgBorders>
          <w:cols w:space="720" w:num="1"/>
          <w:docGrid w:linePitch="312" w:charSpace="0"/>
        </w:sectPr>
      </w:pPr>
    </w:p>
    <w:p>
      <w:pPr>
        <w:spacing w:before="156" w:beforeLines="50" w:after="156" w:afterLines="50"/>
        <w:jc w:val="center"/>
        <w:rPr>
          <w:rFonts w:eastAsia="黑体"/>
          <w:color w:val="auto"/>
          <w:sz w:val="32"/>
          <w:szCs w:val="32"/>
        </w:rPr>
      </w:pPr>
      <w:r>
        <w:rPr>
          <w:rFonts w:eastAsia="黑体"/>
          <w:color w:val="auto"/>
          <w:sz w:val="32"/>
          <w:szCs w:val="32"/>
        </w:rPr>
        <w:t>《建设项目环境影响报告表》编制说明</w:t>
      </w:r>
    </w:p>
    <w:p>
      <w:pPr>
        <w:adjustRightInd w:val="0"/>
        <w:snapToGrid w:val="0"/>
        <w:spacing w:line="480" w:lineRule="auto"/>
        <w:ind w:firstLine="480" w:firstLineChars="200"/>
        <w:rPr>
          <w:color w:val="auto"/>
        </w:rPr>
      </w:pPr>
      <w:r>
        <w:rPr>
          <w:color w:val="auto"/>
        </w:rPr>
        <w:t>《建设项目环境影响报告表》由具有从事环境影响评价工作资质的单位编制。</w:t>
      </w:r>
    </w:p>
    <w:p>
      <w:pPr>
        <w:adjustRightInd w:val="0"/>
        <w:snapToGrid w:val="0"/>
        <w:spacing w:line="480" w:lineRule="auto"/>
        <w:ind w:firstLine="480" w:firstLineChars="200"/>
        <w:rPr>
          <w:color w:val="auto"/>
        </w:rPr>
      </w:pPr>
      <w:r>
        <w:rPr>
          <w:color w:val="auto"/>
        </w:rPr>
        <w:t>（1）项目名称--指项目立项批复时的名称，应不超过30个字(两个英文字段作一个汉字)。</w:t>
      </w:r>
    </w:p>
    <w:p>
      <w:pPr>
        <w:adjustRightInd w:val="0"/>
        <w:snapToGrid w:val="0"/>
        <w:spacing w:line="480" w:lineRule="auto"/>
        <w:ind w:firstLine="480" w:firstLineChars="200"/>
        <w:rPr>
          <w:color w:val="auto"/>
        </w:rPr>
      </w:pPr>
      <w:r>
        <w:rPr>
          <w:color w:val="auto"/>
        </w:rPr>
        <w:t>（2）建设地点--指项目所在地的名称，公路、铁路应填写起止地点。</w:t>
      </w:r>
    </w:p>
    <w:p>
      <w:pPr>
        <w:adjustRightInd w:val="0"/>
        <w:snapToGrid w:val="0"/>
        <w:spacing w:line="480" w:lineRule="auto"/>
        <w:ind w:firstLine="480" w:firstLineChars="200"/>
        <w:rPr>
          <w:color w:val="auto"/>
        </w:rPr>
      </w:pPr>
      <w:r>
        <w:rPr>
          <w:color w:val="auto"/>
        </w:rPr>
        <w:t>（3）行业类别--按国标填写。</w:t>
      </w:r>
    </w:p>
    <w:p>
      <w:pPr>
        <w:adjustRightInd w:val="0"/>
        <w:snapToGrid w:val="0"/>
        <w:spacing w:line="480" w:lineRule="auto"/>
        <w:ind w:firstLine="480" w:firstLineChars="200"/>
        <w:rPr>
          <w:color w:val="auto"/>
        </w:rPr>
      </w:pPr>
      <w:r>
        <w:rPr>
          <w:color w:val="auto"/>
        </w:rPr>
        <w:t>（4）总投资--指项目投资总额。</w:t>
      </w:r>
    </w:p>
    <w:p>
      <w:pPr>
        <w:adjustRightInd w:val="0"/>
        <w:snapToGrid w:val="0"/>
        <w:spacing w:line="480" w:lineRule="auto"/>
        <w:ind w:firstLine="480" w:firstLineChars="200"/>
        <w:rPr>
          <w:color w:val="auto"/>
        </w:rPr>
      </w:pPr>
      <w:r>
        <w:rPr>
          <w:color w:val="auto"/>
        </w:rPr>
        <w:t>（5）主要环境保护目标--指项目区周围一定范围内集中居民住宅区、学校、医院、保护文物、风景名胜区、水源地和生态敏感点等，应尽可能给出保护目标、性质、规模和厂界距离等。</w:t>
      </w:r>
    </w:p>
    <w:p>
      <w:pPr>
        <w:adjustRightInd w:val="0"/>
        <w:snapToGrid w:val="0"/>
        <w:spacing w:line="480" w:lineRule="auto"/>
        <w:ind w:firstLine="480" w:firstLineChars="200"/>
        <w:rPr>
          <w:color w:val="auto"/>
        </w:rPr>
      </w:pPr>
      <w:r>
        <w:rPr>
          <w:color w:val="auto"/>
        </w:rPr>
        <w:t>（6）结论与建议--给出本项目清洁生产、达标排放和总量控制的分析结论，确定污染防治措施的有效性，说明本项目对环境造成的影响，给出建设项目环境可行性的明确结论。同时提出减少环境影响的其他建议。</w:t>
      </w:r>
    </w:p>
    <w:p>
      <w:pPr>
        <w:adjustRightInd w:val="0"/>
        <w:snapToGrid w:val="0"/>
        <w:spacing w:line="480" w:lineRule="auto"/>
        <w:ind w:firstLine="480" w:firstLineChars="200"/>
        <w:rPr>
          <w:color w:val="auto"/>
        </w:rPr>
      </w:pPr>
      <w:r>
        <w:rPr>
          <w:color w:val="auto"/>
        </w:rPr>
        <w:t>（7）预审意见--由行业主管部门填写答复意见，无主管部门项目，可不填。</w:t>
      </w:r>
    </w:p>
    <w:p>
      <w:pPr>
        <w:adjustRightInd w:val="0"/>
        <w:snapToGrid w:val="0"/>
        <w:spacing w:line="480" w:lineRule="auto"/>
        <w:ind w:firstLine="480" w:firstLineChars="200"/>
        <w:rPr>
          <w:color w:val="auto"/>
          <w:sz w:val="28"/>
          <w:szCs w:val="28"/>
        </w:rPr>
      </w:pPr>
      <w:r>
        <w:rPr>
          <w:color w:val="auto"/>
        </w:rPr>
        <w:t>（8）审批意见--由负责审批该项目的环境保护行政主管部门批复。</w:t>
      </w:r>
    </w:p>
    <w:p>
      <w:pPr>
        <w:spacing w:line="360" w:lineRule="auto"/>
        <w:ind w:firstLine="480" w:firstLineChars="200"/>
        <w:rPr>
          <w:color w:val="auto"/>
          <w:highlight w:val="cyan"/>
        </w:rPr>
      </w:pPr>
    </w:p>
    <w:p>
      <w:pPr>
        <w:spacing w:line="360" w:lineRule="auto"/>
        <w:ind w:firstLine="560" w:firstLineChars="200"/>
        <w:rPr>
          <w:color w:val="auto"/>
          <w:sz w:val="28"/>
          <w:highlight w:val="cyan"/>
        </w:rPr>
        <w:sectPr>
          <w:footerReference r:id="rId4" w:type="first"/>
          <w:footerReference r:id="rId3" w:type="default"/>
          <w:pgSz w:w="11906" w:h="16838"/>
          <w:pgMar w:top="1440" w:right="1418" w:bottom="1440" w:left="1418" w:header="851" w:footer="851" w:gutter="0"/>
          <w:pgBorders w:offsetFrom="page">
            <w:top w:val="none" w:sz="0" w:space="0"/>
            <w:left w:val="none" w:sz="0" w:space="0"/>
            <w:bottom w:val="none" w:sz="0" w:space="0"/>
            <w:right w:val="none" w:sz="0" w:space="0"/>
          </w:pgBorders>
          <w:pgNumType w:start="1"/>
          <w:cols w:space="720" w:num="1"/>
          <w:titlePg/>
          <w:docGrid w:type="lines" w:linePitch="312" w:charSpace="0"/>
        </w:sectPr>
      </w:pPr>
    </w:p>
    <w:p>
      <w:pPr>
        <w:jc w:val="center"/>
        <w:rPr>
          <w:b/>
          <w:color w:val="auto"/>
          <w:sz w:val="28"/>
          <w:szCs w:val="28"/>
        </w:rPr>
      </w:pPr>
      <w:r>
        <w:rPr>
          <w:rFonts w:hint="eastAsia"/>
          <w:b/>
          <w:color w:val="auto"/>
          <w:sz w:val="28"/>
          <w:szCs w:val="28"/>
        </w:rPr>
        <w:t>专家意见修改清单</w:t>
      </w:r>
    </w:p>
    <w:tbl>
      <w:tblPr>
        <w:tblStyle w:val="2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4041"/>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72" w:type="dxa"/>
            <w:noWrap w:val="0"/>
            <w:vAlign w:val="center"/>
          </w:tcPr>
          <w:p>
            <w:pPr>
              <w:jc w:val="center"/>
              <w:rPr>
                <w:b/>
                <w:color w:val="auto"/>
              </w:rPr>
            </w:pPr>
            <w:r>
              <w:rPr>
                <w:rFonts w:hint="eastAsia"/>
                <w:b/>
                <w:color w:val="auto"/>
              </w:rPr>
              <w:t>序号</w:t>
            </w:r>
          </w:p>
        </w:tc>
        <w:tc>
          <w:tcPr>
            <w:tcW w:w="4041" w:type="dxa"/>
            <w:noWrap w:val="0"/>
            <w:vAlign w:val="center"/>
          </w:tcPr>
          <w:p>
            <w:pPr>
              <w:jc w:val="center"/>
              <w:rPr>
                <w:b/>
                <w:color w:val="auto"/>
              </w:rPr>
            </w:pPr>
            <w:r>
              <w:rPr>
                <w:rFonts w:hint="eastAsia"/>
                <w:b/>
                <w:color w:val="auto"/>
              </w:rPr>
              <w:t>专家意见</w:t>
            </w:r>
          </w:p>
        </w:tc>
        <w:tc>
          <w:tcPr>
            <w:tcW w:w="4111" w:type="dxa"/>
            <w:noWrap w:val="0"/>
            <w:vAlign w:val="center"/>
          </w:tcPr>
          <w:p>
            <w:pPr>
              <w:jc w:val="center"/>
              <w:rPr>
                <w:b/>
                <w:color w:val="auto"/>
              </w:rPr>
            </w:pPr>
            <w:r>
              <w:rPr>
                <w:rFonts w:hint="eastAsia"/>
                <w:b/>
                <w:color w:val="auto"/>
              </w:rPr>
              <w:t>修改内容及页码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b/>
                <w:color w:val="auto"/>
              </w:rPr>
            </w:pPr>
            <w:r>
              <w:rPr>
                <w:rFonts w:hint="eastAsia"/>
                <w:b/>
                <w:color w:val="auto"/>
              </w:rPr>
              <w:t>1</w:t>
            </w:r>
          </w:p>
        </w:tc>
        <w:tc>
          <w:tcPr>
            <w:tcW w:w="4041" w:type="dxa"/>
            <w:noWrap w:val="0"/>
            <w:vAlign w:val="center"/>
          </w:tcPr>
          <w:p>
            <w:pPr>
              <w:rPr>
                <w:bCs/>
                <w:color w:val="auto"/>
              </w:rPr>
            </w:pPr>
            <w:r>
              <w:rPr>
                <w:rFonts w:hint="eastAsia" w:hAnsi="宋体"/>
                <w:color w:val="auto"/>
                <w:szCs w:val="28"/>
              </w:rPr>
              <w:t>结合桐花村实际情况(烤酒作坊、家庭畜禽养殖较多等)，乡村振兴示范村、旅游沿线村庄、官料河沿线村庄打造以及该区域现有污水收集、排放情况以及存在的环境问题，细化项目由来及建设必要性。</w:t>
            </w:r>
          </w:p>
        </w:tc>
        <w:tc>
          <w:tcPr>
            <w:tcW w:w="4111" w:type="dxa"/>
            <w:noWrap w:val="0"/>
            <w:vAlign w:val="center"/>
          </w:tcPr>
          <w:p>
            <w:pPr>
              <w:jc w:val="left"/>
              <w:rPr>
                <w:rFonts w:hint="eastAsia"/>
                <w:bCs/>
                <w:color w:val="auto"/>
              </w:rPr>
            </w:pPr>
            <w:r>
              <w:rPr>
                <w:rFonts w:hint="eastAsia"/>
                <w:bCs/>
                <w:color w:val="auto"/>
              </w:rPr>
              <w:t>已</w:t>
            </w:r>
            <w:r>
              <w:rPr>
                <w:rFonts w:hint="eastAsia" w:hAnsi="宋体"/>
                <w:color w:val="auto"/>
                <w:szCs w:val="28"/>
              </w:rPr>
              <w:t>结合桐花村实际情况(烤酒作坊、家庭畜禽养殖较多等)，乡村振兴示范村、旅游沿线村庄、官料河沿线村庄打造以及该区域现有污水收集、排放情况以及存在的环境问题，</w:t>
            </w:r>
            <w:r>
              <w:rPr>
                <w:rFonts w:hint="eastAsia"/>
                <w:bCs/>
                <w:color w:val="auto"/>
              </w:rPr>
              <w:t>细化</w:t>
            </w:r>
            <w:r>
              <w:rPr>
                <w:rFonts w:hint="eastAsia" w:hAnsi="宋体"/>
                <w:color w:val="auto"/>
                <w:szCs w:val="28"/>
              </w:rPr>
              <w:t>项目由来及建设必要性，见p</w:t>
            </w:r>
            <w:r>
              <w:rPr>
                <w:rFonts w:hAnsi="宋体"/>
                <w:color w:val="auto"/>
                <w:szCs w:val="28"/>
              </w:rPr>
              <w:t>2</w:t>
            </w:r>
            <w:r>
              <w:rPr>
                <w:rFonts w:hint="eastAsia" w:hAnsi="宋体"/>
                <w:color w:val="auto"/>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b/>
                <w:color w:val="auto"/>
              </w:rPr>
            </w:pPr>
            <w:r>
              <w:rPr>
                <w:rFonts w:hint="eastAsia"/>
                <w:b/>
                <w:color w:val="auto"/>
              </w:rPr>
              <w:t>2</w:t>
            </w:r>
          </w:p>
        </w:tc>
        <w:tc>
          <w:tcPr>
            <w:tcW w:w="4041" w:type="dxa"/>
            <w:noWrap w:val="0"/>
            <w:vAlign w:val="center"/>
          </w:tcPr>
          <w:p>
            <w:pPr>
              <w:rPr>
                <w:bCs/>
                <w:color w:val="auto"/>
              </w:rPr>
            </w:pPr>
            <w:r>
              <w:rPr>
                <w:rFonts w:hint="eastAsia"/>
                <w:color w:val="auto"/>
              </w:rPr>
              <w:t>进一步核实项目建设内容，说明项目设置3个处理点的合理性</w:t>
            </w:r>
            <w:r>
              <w:rPr>
                <w:rFonts w:hint="eastAsia"/>
                <w:color w:val="auto"/>
                <w:lang w:eastAsia="zh-CN"/>
              </w:rPr>
              <w:t>；</w:t>
            </w:r>
            <w:r>
              <w:rPr>
                <w:rFonts w:hint="eastAsia"/>
                <w:color w:val="auto"/>
              </w:rPr>
              <w:t>结合《乐山市农村生活污水污染防治技术指南》相关要求，细化污水处理工艺介绍，说明进水水质、主要工艺参数、运行费用、运行管理要求等技术特点：校核并说明消纳土地情况。</w:t>
            </w:r>
          </w:p>
        </w:tc>
        <w:tc>
          <w:tcPr>
            <w:tcW w:w="4111" w:type="dxa"/>
            <w:noWrap w:val="0"/>
            <w:vAlign w:val="center"/>
          </w:tcPr>
          <w:p>
            <w:pPr>
              <w:jc w:val="left"/>
              <w:rPr>
                <w:rFonts w:hint="eastAsia"/>
                <w:bCs/>
                <w:color w:val="auto"/>
              </w:rPr>
            </w:pPr>
            <w:r>
              <w:rPr>
                <w:rFonts w:hint="eastAsia"/>
                <w:bCs/>
                <w:color w:val="auto"/>
              </w:rPr>
              <w:t>已进一步核实项目建设内容，见p</w:t>
            </w:r>
            <w:r>
              <w:rPr>
                <w:bCs/>
                <w:color w:val="auto"/>
              </w:rPr>
              <w:t>11</w:t>
            </w:r>
            <w:r>
              <w:rPr>
                <w:rFonts w:hint="eastAsia"/>
                <w:bCs/>
                <w:color w:val="auto"/>
                <w:lang w:eastAsia="zh-CN"/>
              </w:rPr>
              <w:t>；</w:t>
            </w:r>
            <w:r>
              <w:rPr>
                <w:rFonts w:hint="eastAsia"/>
                <w:color w:val="auto"/>
              </w:rPr>
              <w:t>说明项目设置3个处理点的合理性</w:t>
            </w:r>
            <w:r>
              <w:rPr>
                <w:rFonts w:hint="eastAsia"/>
                <w:color w:val="auto"/>
                <w:lang w:eastAsia="zh-CN"/>
              </w:rPr>
              <w:t>，见</w:t>
            </w:r>
            <w:r>
              <w:rPr>
                <w:rFonts w:hint="eastAsia"/>
                <w:color w:val="auto"/>
                <w:lang w:val="en-US" w:eastAsia="zh-CN"/>
              </w:rPr>
              <w:t>p2；已</w:t>
            </w:r>
            <w:r>
              <w:rPr>
                <w:rFonts w:hint="eastAsia"/>
                <w:color w:val="auto"/>
              </w:rPr>
              <w:t>结合《乐山市农村生活污水污染防治技术指南》相关要求，细化污水处理工艺介绍，</w:t>
            </w:r>
            <w:r>
              <w:rPr>
                <w:rFonts w:hint="eastAsia"/>
                <w:color w:val="auto"/>
                <w:lang w:eastAsia="zh-CN"/>
              </w:rPr>
              <w:t>见</w:t>
            </w:r>
            <w:r>
              <w:rPr>
                <w:rFonts w:hint="eastAsia"/>
                <w:color w:val="auto"/>
                <w:lang w:val="en-US" w:eastAsia="zh-CN"/>
              </w:rPr>
              <w:t>p46、p47；已</w:t>
            </w:r>
            <w:r>
              <w:rPr>
                <w:rFonts w:hint="eastAsia"/>
                <w:color w:val="auto"/>
              </w:rPr>
              <w:t>说明进水水质、主要工艺参数、运行费用、运行管理要求等技术特点</w:t>
            </w:r>
            <w:r>
              <w:rPr>
                <w:rFonts w:hint="eastAsia"/>
                <w:color w:val="auto"/>
                <w:lang w:eastAsia="zh-CN"/>
              </w:rPr>
              <w:t>，见</w:t>
            </w:r>
            <w:r>
              <w:rPr>
                <w:rFonts w:hint="eastAsia"/>
                <w:color w:val="auto"/>
                <w:lang w:val="en-US" w:eastAsia="zh-CN"/>
              </w:rPr>
              <w:t>p15、p16</w:t>
            </w:r>
            <w:r>
              <w:rPr>
                <w:rFonts w:hint="eastAsia"/>
                <w:bCs/>
                <w:color w:val="auto"/>
              </w:rPr>
              <w:t>。</w:t>
            </w:r>
            <w:r>
              <w:rPr>
                <w:rFonts w:hint="eastAsia"/>
                <w:color w:val="auto"/>
              </w:rPr>
              <w:t>已校核并说明消纳土地情况</w:t>
            </w:r>
            <w:r>
              <w:rPr>
                <w:rFonts w:hint="eastAsia"/>
                <w:bCs/>
                <w:color w:val="auto"/>
              </w:rPr>
              <w:t>，见</w:t>
            </w:r>
            <w:r>
              <w:rPr>
                <w:rFonts w:hint="eastAsia"/>
                <w:color w:val="auto"/>
              </w:rPr>
              <w:t>p</w:t>
            </w:r>
            <w:r>
              <w:rPr>
                <w:color w:val="auto"/>
              </w:rPr>
              <w:t>11</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b/>
                <w:color w:val="auto"/>
              </w:rPr>
            </w:pPr>
            <w:r>
              <w:rPr>
                <w:rFonts w:hint="eastAsia"/>
                <w:b/>
                <w:color w:val="auto"/>
              </w:rPr>
              <w:t>3</w:t>
            </w:r>
          </w:p>
        </w:tc>
        <w:tc>
          <w:tcPr>
            <w:tcW w:w="4041" w:type="dxa"/>
            <w:noWrap w:val="0"/>
            <w:vAlign w:val="center"/>
          </w:tcPr>
          <w:p>
            <w:pPr>
              <w:rPr>
                <w:rFonts w:hint="eastAsia"/>
                <w:color w:val="auto"/>
              </w:rPr>
            </w:pPr>
            <w:r>
              <w:rPr>
                <w:rFonts w:hint="eastAsia"/>
                <w:color w:val="auto"/>
              </w:rPr>
              <w:t>完善施工期污染防治、水土流失防治及生态环境保护措施。</w:t>
            </w:r>
          </w:p>
        </w:tc>
        <w:tc>
          <w:tcPr>
            <w:tcW w:w="4111" w:type="dxa"/>
            <w:noWrap w:val="0"/>
            <w:vAlign w:val="center"/>
          </w:tcPr>
          <w:p>
            <w:pPr>
              <w:jc w:val="left"/>
              <w:rPr>
                <w:bCs/>
                <w:color w:val="auto"/>
              </w:rPr>
            </w:pPr>
            <w:r>
              <w:rPr>
                <w:rFonts w:hint="eastAsia"/>
                <w:color w:val="auto"/>
              </w:rPr>
              <w:t>已完善施工期污染防治、水土流失防治及生态环境保护措施，见p</w:t>
            </w:r>
            <w:r>
              <w:rPr>
                <w:color w:val="auto"/>
              </w:rPr>
              <w:t>37</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b/>
                <w:color w:val="auto"/>
              </w:rPr>
            </w:pPr>
            <w:r>
              <w:rPr>
                <w:rFonts w:hint="eastAsia"/>
                <w:b/>
                <w:color w:val="auto"/>
              </w:rPr>
              <w:t>4</w:t>
            </w:r>
          </w:p>
        </w:tc>
        <w:tc>
          <w:tcPr>
            <w:tcW w:w="4041" w:type="dxa"/>
            <w:noWrap w:val="0"/>
            <w:vAlign w:val="center"/>
          </w:tcPr>
          <w:p>
            <w:pPr>
              <w:rPr>
                <w:bCs/>
                <w:color w:val="auto"/>
              </w:rPr>
            </w:pPr>
            <w:r>
              <w:rPr>
                <w:rFonts w:hint="eastAsia"/>
                <w:color w:val="auto"/>
              </w:rPr>
              <w:t>强化项目建设的环境正效应分析。</w:t>
            </w:r>
          </w:p>
        </w:tc>
        <w:tc>
          <w:tcPr>
            <w:tcW w:w="4111" w:type="dxa"/>
            <w:noWrap w:val="0"/>
            <w:vAlign w:val="center"/>
          </w:tcPr>
          <w:p>
            <w:pPr>
              <w:jc w:val="left"/>
              <w:rPr>
                <w:bCs/>
                <w:color w:val="auto"/>
              </w:rPr>
            </w:pPr>
            <w:r>
              <w:rPr>
                <w:rFonts w:hint="eastAsia"/>
                <w:color w:val="auto"/>
              </w:rPr>
              <w:t>已强化项目建设的环境正效应分析，见p</w:t>
            </w:r>
            <w:r>
              <w:rPr>
                <w:color w:val="auto"/>
              </w:rPr>
              <w:t>73</w:t>
            </w:r>
            <w:r>
              <w:rPr>
                <w:rFonts w:hint="eastAsia"/>
                <w:color w:val="auto"/>
              </w:rPr>
              <w:t>、p</w:t>
            </w:r>
            <w:r>
              <w:rPr>
                <w:color w:val="auto"/>
              </w:rPr>
              <w:t>74</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b/>
                <w:color w:val="auto"/>
              </w:rPr>
            </w:pPr>
            <w:r>
              <w:rPr>
                <w:rFonts w:hint="eastAsia"/>
                <w:b/>
                <w:color w:val="auto"/>
              </w:rPr>
              <w:t>5</w:t>
            </w:r>
          </w:p>
        </w:tc>
        <w:tc>
          <w:tcPr>
            <w:tcW w:w="4041" w:type="dxa"/>
            <w:noWrap w:val="0"/>
            <w:vAlign w:val="center"/>
          </w:tcPr>
          <w:p>
            <w:pPr>
              <w:rPr>
                <w:bCs/>
                <w:color w:val="auto"/>
              </w:rPr>
            </w:pPr>
            <w:r>
              <w:rPr>
                <w:rFonts w:hint="eastAsia"/>
                <w:color w:val="auto"/>
              </w:rPr>
              <w:t>校核地下水现状监测资料。</w:t>
            </w:r>
          </w:p>
        </w:tc>
        <w:tc>
          <w:tcPr>
            <w:tcW w:w="4111" w:type="dxa"/>
            <w:noWrap w:val="0"/>
            <w:vAlign w:val="center"/>
          </w:tcPr>
          <w:p>
            <w:pPr>
              <w:jc w:val="left"/>
              <w:rPr>
                <w:rFonts w:hint="eastAsia" w:eastAsia="宋体"/>
                <w:bCs/>
                <w:color w:val="auto"/>
                <w:lang w:val="en-US" w:eastAsia="zh-CN"/>
              </w:rPr>
            </w:pPr>
            <w:r>
              <w:rPr>
                <w:rFonts w:hint="eastAsia"/>
                <w:color w:val="auto"/>
                <w:lang w:eastAsia="zh-CN"/>
              </w:rPr>
              <w:t>已</w:t>
            </w:r>
            <w:r>
              <w:rPr>
                <w:rFonts w:hint="eastAsia"/>
                <w:color w:val="auto"/>
              </w:rPr>
              <w:t>校核地下水现状监测资料</w:t>
            </w:r>
            <w:r>
              <w:rPr>
                <w:rFonts w:hint="eastAsia"/>
                <w:color w:val="auto"/>
                <w:lang w:eastAsia="zh-CN"/>
              </w:rPr>
              <w:t>，见</w:t>
            </w:r>
            <w:r>
              <w:rPr>
                <w:rFonts w:hint="eastAsia"/>
                <w:color w:val="auto"/>
                <w:lang w:val="en-US" w:eastAsia="zh-CN"/>
              </w:rPr>
              <w:t>p28。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noWrap w:val="0"/>
            <w:vAlign w:val="center"/>
          </w:tcPr>
          <w:p>
            <w:pPr>
              <w:jc w:val="center"/>
              <w:rPr>
                <w:rFonts w:hint="eastAsia"/>
                <w:b/>
                <w:color w:val="auto"/>
              </w:rPr>
            </w:pPr>
            <w:r>
              <w:rPr>
                <w:rFonts w:hint="eastAsia"/>
                <w:b/>
                <w:color w:val="auto"/>
              </w:rPr>
              <w:t>6</w:t>
            </w:r>
          </w:p>
        </w:tc>
        <w:tc>
          <w:tcPr>
            <w:tcW w:w="4041" w:type="dxa"/>
            <w:noWrap w:val="0"/>
            <w:vAlign w:val="center"/>
          </w:tcPr>
          <w:p>
            <w:pPr>
              <w:rPr>
                <w:bCs/>
                <w:color w:val="auto"/>
              </w:rPr>
            </w:pPr>
            <w:r>
              <w:rPr>
                <w:rFonts w:hint="eastAsia"/>
                <w:color w:val="auto"/>
              </w:rPr>
              <w:t>校核文本，规范图件。完善管线建设方案（穿越、跨越）。</w:t>
            </w:r>
          </w:p>
        </w:tc>
        <w:tc>
          <w:tcPr>
            <w:tcW w:w="4111" w:type="dxa"/>
            <w:noWrap w:val="0"/>
            <w:vAlign w:val="center"/>
          </w:tcPr>
          <w:p>
            <w:pPr>
              <w:jc w:val="left"/>
              <w:rPr>
                <w:rFonts w:hint="eastAsia" w:eastAsia="宋体"/>
                <w:bCs/>
                <w:color w:val="auto"/>
                <w:lang w:val="en-US" w:eastAsia="zh-CN"/>
              </w:rPr>
            </w:pPr>
            <w:r>
              <w:rPr>
                <w:rFonts w:hint="eastAsia"/>
                <w:bCs/>
                <w:color w:val="auto"/>
              </w:rPr>
              <w:t>已校核文本，规范图件，见文本、附图、附件。</w:t>
            </w:r>
            <w:r>
              <w:rPr>
                <w:rFonts w:hint="eastAsia"/>
                <w:bCs/>
                <w:color w:val="auto"/>
                <w:lang w:eastAsia="zh-CN"/>
              </w:rPr>
              <w:t>项目管线不涉及穿越、跨越河流，见</w:t>
            </w:r>
            <w:r>
              <w:rPr>
                <w:rFonts w:hint="eastAsia"/>
                <w:bCs/>
                <w:color w:val="auto"/>
                <w:lang w:val="en-US" w:eastAsia="zh-CN"/>
              </w:rPr>
              <w:t>p12</w:t>
            </w:r>
            <w:r>
              <w:rPr>
                <w:rFonts w:hint="eastAsia"/>
                <w:bCs/>
                <w:color w:val="auto"/>
                <w:lang w:eastAsia="zh-CN"/>
              </w:rPr>
              <w:t>。</w:t>
            </w:r>
          </w:p>
        </w:tc>
      </w:tr>
    </w:tbl>
    <w:p>
      <w:pPr>
        <w:spacing w:line="360" w:lineRule="auto"/>
        <w:ind w:firstLine="560" w:firstLineChars="200"/>
        <w:rPr>
          <w:color w:val="auto"/>
          <w:sz w:val="28"/>
          <w:highlight w:val="cyan"/>
        </w:rPr>
        <w:sectPr>
          <w:pgSz w:w="11906" w:h="16838"/>
          <w:pgMar w:top="1440" w:right="1418" w:bottom="1440" w:left="1418" w:header="851" w:footer="851" w:gutter="0"/>
          <w:pgBorders w:offsetFrom="page">
            <w:top w:val="none" w:sz="0" w:space="0"/>
            <w:left w:val="none" w:sz="0" w:space="0"/>
            <w:bottom w:val="none" w:sz="0" w:space="0"/>
            <w:right w:val="none" w:sz="0" w:space="0"/>
          </w:pgBorders>
          <w:pgNumType w:start="1"/>
          <w:cols w:space="720" w:num="1"/>
          <w:titlePg/>
          <w:docGrid w:type="lines" w:linePitch="312" w:charSpace="0"/>
        </w:sectPr>
      </w:pPr>
    </w:p>
    <w:p>
      <w:pPr>
        <w:outlineLvl w:val="0"/>
        <w:rPr>
          <w:rFonts w:eastAsia="黑体"/>
          <w:color w:val="auto"/>
          <w:sz w:val="32"/>
          <w:szCs w:val="32"/>
        </w:rPr>
      </w:pPr>
      <w:r>
        <w:rPr>
          <w:rFonts w:eastAsia="黑体"/>
          <w:color w:val="auto"/>
          <w:sz w:val="32"/>
          <w:szCs w:val="32"/>
        </w:rPr>
        <w:t>建设项目基本情况                                 （表一）</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5" w:type="dxa"/>
          <w:bottom w:w="0" w:type="dxa"/>
          <w:right w:w="85" w:type="dxa"/>
        </w:tblCellMar>
      </w:tblPr>
      <w:tblGrid>
        <w:gridCol w:w="1257"/>
        <w:gridCol w:w="2036"/>
        <w:gridCol w:w="1352"/>
        <w:gridCol w:w="1300"/>
        <w:gridCol w:w="1294"/>
        <w:gridCol w:w="20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520" w:hRule="atLeast"/>
          <w:jc w:val="center"/>
        </w:trPr>
        <w:tc>
          <w:tcPr>
            <w:tcW w:w="1257" w:type="dxa"/>
            <w:tcBorders>
              <w:bottom w:val="single" w:color="auto" w:sz="6" w:space="0"/>
              <w:right w:val="single" w:color="auto" w:sz="6" w:space="0"/>
            </w:tcBorders>
            <w:noWrap w:val="0"/>
            <w:vAlign w:val="center"/>
          </w:tcPr>
          <w:p>
            <w:pPr>
              <w:jc w:val="center"/>
              <w:rPr>
                <w:color w:val="auto"/>
              </w:rPr>
            </w:pPr>
            <w:r>
              <w:rPr>
                <w:color w:val="auto"/>
              </w:rPr>
              <w:t>项目名称</w:t>
            </w:r>
          </w:p>
        </w:tc>
        <w:tc>
          <w:tcPr>
            <w:tcW w:w="7983" w:type="dxa"/>
            <w:gridSpan w:val="5"/>
            <w:tcBorders>
              <w:left w:val="single" w:color="auto" w:sz="6" w:space="0"/>
              <w:bottom w:val="single" w:color="auto" w:sz="6" w:space="0"/>
            </w:tcBorders>
            <w:noWrap w:val="0"/>
            <w:vAlign w:val="center"/>
          </w:tcPr>
          <w:p>
            <w:pPr>
              <w:spacing w:line="360" w:lineRule="auto"/>
              <w:jc w:val="center"/>
              <w:rPr>
                <w:color w:val="auto"/>
              </w:rPr>
            </w:pPr>
            <w:r>
              <w:rPr>
                <w:color w:val="auto"/>
              </w:rPr>
              <w:t>峨边彝族自治县宜坪乡桐花村农村生活污水治理项目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520" w:hRule="atLeast"/>
          <w:jc w:val="center"/>
        </w:trPr>
        <w:tc>
          <w:tcPr>
            <w:tcW w:w="1257" w:type="dxa"/>
            <w:tcBorders>
              <w:bottom w:val="single" w:color="auto" w:sz="6" w:space="0"/>
              <w:right w:val="single" w:color="auto" w:sz="6" w:space="0"/>
            </w:tcBorders>
            <w:noWrap w:val="0"/>
            <w:vAlign w:val="center"/>
          </w:tcPr>
          <w:p>
            <w:pPr>
              <w:jc w:val="center"/>
              <w:rPr>
                <w:color w:val="auto"/>
              </w:rPr>
            </w:pPr>
            <w:r>
              <w:rPr>
                <w:color w:val="auto"/>
              </w:rPr>
              <w:t>建设单位</w:t>
            </w:r>
          </w:p>
        </w:tc>
        <w:tc>
          <w:tcPr>
            <w:tcW w:w="7983" w:type="dxa"/>
            <w:gridSpan w:val="5"/>
            <w:tcBorders>
              <w:left w:val="single" w:color="auto" w:sz="6" w:space="0"/>
              <w:bottom w:val="single" w:color="auto" w:sz="6" w:space="0"/>
            </w:tcBorders>
            <w:noWrap w:val="0"/>
            <w:vAlign w:val="center"/>
          </w:tcPr>
          <w:p>
            <w:pPr>
              <w:spacing w:line="360" w:lineRule="auto"/>
              <w:jc w:val="center"/>
              <w:rPr>
                <w:color w:val="auto"/>
              </w:rPr>
            </w:pPr>
            <w:r>
              <w:rPr>
                <w:color w:val="auto"/>
              </w:rPr>
              <w:t>峨边生态环境局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343"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法人代表</w:t>
            </w:r>
          </w:p>
        </w:tc>
        <w:tc>
          <w:tcPr>
            <w:tcW w:w="3388"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color w:val="auto"/>
              </w:rPr>
            </w:pPr>
            <w:r>
              <w:rPr>
                <w:color w:val="auto"/>
              </w:rPr>
              <w:t>左明</w:t>
            </w:r>
          </w:p>
        </w:tc>
        <w:tc>
          <w:tcPr>
            <w:tcW w:w="1300"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color w:val="auto"/>
              </w:rPr>
            </w:pPr>
            <w:r>
              <w:rPr>
                <w:color w:val="auto"/>
              </w:rPr>
              <w:t>联系人</w:t>
            </w:r>
          </w:p>
        </w:tc>
        <w:tc>
          <w:tcPr>
            <w:tcW w:w="3295" w:type="dxa"/>
            <w:gridSpan w:val="2"/>
            <w:tcBorders>
              <w:top w:val="single" w:color="auto" w:sz="6" w:space="0"/>
              <w:left w:val="single" w:color="auto" w:sz="6" w:space="0"/>
              <w:bottom w:val="single" w:color="auto" w:sz="6" w:space="0"/>
            </w:tcBorders>
            <w:noWrap w:val="0"/>
            <w:vAlign w:val="center"/>
          </w:tcPr>
          <w:p>
            <w:pPr>
              <w:spacing w:line="360" w:lineRule="auto"/>
              <w:jc w:val="center"/>
              <w:rPr>
                <w:color w:val="auto"/>
              </w:rPr>
            </w:pPr>
            <w:r>
              <w:rPr>
                <w:rFonts w:hint="eastAsia"/>
                <w:color w:val="auto"/>
                <w:lang w:eastAsia="zh-CN"/>
              </w:rPr>
              <w:t>武</w:t>
            </w:r>
            <w:r>
              <w:rPr>
                <w:color w:val="auto"/>
              </w:rPr>
              <w:t>仕强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520"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通讯地址</w:t>
            </w:r>
          </w:p>
        </w:tc>
        <w:tc>
          <w:tcPr>
            <w:tcW w:w="7983" w:type="dxa"/>
            <w:gridSpan w:val="5"/>
            <w:tcBorders>
              <w:top w:val="single" w:color="auto" w:sz="6" w:space="0"/>
              <w:left w:val="single" w:color="auto" w:sz="6" w:space="0"/>
              <w:bottom w:val="single" w:color="auto" w:sz="6" w:space="0"/>
            </w:tcBorders>
            <w:noWrap w:val="0"/>
            <w:vAlign w:val="center"/>
          </w:tcPr>
          <w:p>
            <w:pPr>
              <w:jc w:val="center"/>
              <w:rPr>
                <w:color w:val="auto"/>
              </w:rPr>
            </w:pPr>
            <w:r>
              <w:rPr>
                <w:color w:val="auto"/>
              </w:rPr>
              <w:t>峨边彝族自治县沙坪镇滨河路28号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392"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联系电话</w:t>
            </w:r>
          </w:p>
        </w:tc>
        <w:tc>
          <w:tcPr>
            <w:tcW w:w="2036"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bCs/>
                <w:color w:val="auto"/>
              </w:rPr>
              <w:t>13708137366</w:t>
            </w:r>
          </w:p>
        </w:tc>
        <w:tc>
          <w:tcPr>
            <w:tcW w:w="1352"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传真</w:t>
            </w:r>
          </w:p>
        </w:tc>
        <w:tc>
          <w:tcPr>
            <w:tcW w:w="1300"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w:t>
            </w:r>
          </w:p>
        </w:tc>
        <w:tc>
          <w:tcPr>
            <w:tcW w:w="1294"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邮政编码</w:t>
            </w:r>
          </w:p>
        </w:tc>
        <w:tc>
          <w:tcPr>
            <w:tcW w:w="2001" w:type="dxa"/>
            <w:tcBorders>
              <w:top w:val="single" w:color="auto" w:sz="6" w:space="0"/>
              <w:left w:val="single" w:color="auto" w:sz="6" w:space="0"/>
              <w:bottom w:val="single" w:color="auto" w:sz="6" w:space="0"/>
            </w:tcBorders>
            <w:noWrap w:val="0"/>
            <w:vAlign w:val="center"/>
          </w:tcPr>
          <w:p>
            <w:pPr>
              <w:jc w:val="center"/>
              <w:rPr>
                <w:color w:val="auto"/>
              </w:rPr>
            </w:pPr>
            <w:r>
              <w:rPr>
                <w:color w:val="auto"/>
              </w:rPr>
              <w:t>614300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470"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建设地点</w:t>
            </w:r>
          </w:p>
        </w:tc>
        <w:tc>
          <w:tcPr>
            <w:tcW w:w="7983" w:type="dxa"/>
            <w:gridSpan w:val="5"/>
            <w:tcBorders>
              <w:top w:val="single" w:color="auto" w:sz="6" w:space="0"/>
              <w:left w:val="single" w:color="auto" w:sz="6" w:space="0"/>
              <w:bottom w:val="single" w:color="auto" w:sz="6" w:space="0"/>
            </w:tcBorders>
            <w:noWrap w:val="0"/>
            <w:vAlign w:val="center"/>
          </w:tcPr>
          <w:p>
            <w:pPr>
              <w:jc w:val="center"/>
              <w:rPr>
                <w:color w:val="auto"/>
              </w:rPr>
            </w:pPr>
            <w:r>
              <w:rPr>
                <w:bCs/>
                <w:color w:val="auto"/>
              </w:rPr>
              <w:t>乐山市峨边彝族自治县宜坪乡桐花村</w:t>
            </w:r>
            <w:r>
              <w:rPr>
                <w:color w:val="auto"/>
              </w:rPr>
              <w:t>（经度：</w:t>
            </w:r>
            <w:r>
              <w:rPr>
                <w:bCs/>
                <w:color w:val="auto"/>
              </w:rPr>
              <w:t>103°11′21.5″</w:t>
            </w:r>
            <w:r>
              <w:rPr>
                <w:color w:val="auto"/>
              </w:rPr>
              <w:t>，纬度：</w:t>
            </w:r>
            <w:r>
              <w:rPr>
                <w:bCs/>
                <w:color w:val="auto"/>
              </w:rPr>
              <w:t>29°13′29.5″</w:t>
            </w:r>
            <w:r>
              <w:rPr>
                <w:color w:val="auto"/>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392"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立项审批部门</w:t>
            </w:r>
          </w:p>
        </w:tc>
        <w:tc>
          <w:tcPr>
            <w:tcW w:w="338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bCs/>
                <w:color w:val="auto"/>
              </w:rPr>
              <w:t>峨边彝族自治</w:t>
            </w:r>
            <w:r>
              <w:rPr>
                <w:color w:val="auto"/>
              </w:rPr>
              <w:t>县发展和改革局</w:t>
            </w:r>
          </w:p>
        </w:tc>
        <w:tc>
          <w:tcPr>
            <w:tcW w:w="1300"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批准文号</w:t>
            </w:r>
          </w:p>
        </w:tc>
        <w:tc>
          <w:tcPr>
            <w:tcW w:w="3295" w:type="dxa"/>
            <w:gridSpan w:val="2"/>
            <w:tcBorders>
              <w:top w:val="single" w:color="auto" w:sz="6" w:space="0"/>
              <w:left w:val="single" w:color="auto" w:sz="6" w:space="0"/>
              <w:bottom w:val="single" w:color="auto" w:sz="6" w:space="0"/>
            </w:tcBorders>
            <w:noWrap w:val="0"/>
            <w:vAlign w:val="center"/>
          </w:tcPr>
          <w:p>
            <w:pPr>
              <w:jc w:val="center"/>
              <w:rPr>
                <w:color w:val="auto"/>
              </w:rPr>
            </w:pPr>
            <w:r>
              <w:rPr>
                <w:color w:val="auto"/>
              </w:rPr>
              <w:t>峨边发改审[2020]123号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406"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建设性质</w:t>
            </w:r>
          </w:p>
        </w:tc>
        <w:tc>
          <w:tcPr>
            <w:tcW w:w="338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sym w:font="Wingdings" w:char="00FE"/>
            </w:r>
            <w:r>
              <w:rPr>
                <w:color w:val="auto"/>
              </w:rPr>
              <w:t xml:space="preserve">新建 </w:t>
            </w:r>
            <w:r>
              <w:rPr>
                <w:color w:val="auto"/>
              </w:rPr>
              <w:sym w:font="Wingdings" w:char="00A8"/>
            </w:r>
            <w:r>
              <w:rPr>
                <w:color w:val="auto"/>
              </w:rPr>
              <w:t xml:space="preserve">改扩建 </w:t>
            </w:r>
            <w:r>
              <w:rPr>
                <w:color w:val="auto"/>
              </w:rPr>
              <w:sym w:font="Wingdings 2" w:char="00A3"/>
            </w:r>
            <w:r>
              <w:rPr>
                <w:color w:val="auto"/>
              </w:rPr>
              <w:t>技改</w:t>
            </w:r>
          </w:p>
        </w:tc>
        <w:tc>
          <w:tcPr>
            <w:tcW w:w="1300"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行业类别</w:t>
            </w:r>
          </w:p>
        </w:tc>
        <w:tc>
          <w:tcPr>
            <w:tcW w:w="3295" w:type="dxa"/>
            <w:gridSpan w:val="2"/>
            <w:tcBorders>
              <w:top w:val="single" w:color="auto" w:sz="6" w:space="0"/>
              <w:left w:val="single" w:color="auto" w:sz="6" w:space="0"/>
              <w:bottom w:val="single" w:color="auto" w:sz="6" w:space="0"/>
            </w:tcBorders>
            <w:noWrap w:val="0"/>
            <w:vAlign w:val="center"/>
          </w:tcPr>
          <w:p>
            <w:pPr>
              <w:jc w:val="center"/>
              <w:rPr>
                <w:color w:val="auto"/>
              </w:rPr>
            </w:pPr>
            <w:r>
              <w:rPr>
                <w:color w:val="auto"/>
              </w:rPr>
              <w:t>D4620污水处理及其再生利用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531"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占地面积</w:t>
            </w:r>
          </w:p>
        </w:tc>
        <w:tc>
          <w:tcPr>
            <w:tcW w:w="3388" w:type="dxa"/>
            <w:gridSpan w:val="2"/>
            <w:tcBorders>
              <w:top w:val="single" w:color="auto" w:sz="6" w:space="0"/>
              <w:left w:val="single" w:color="auto" w:sz="6" w:space="0"/>
              <w:bottom w:val="single" w:color="auto" w:sz="6" w:space="0"/>
              <w:right w:val="single" w:color="auto" w:sz="4" w:space="0"/>
            </w:tcBorders>
            <w:noWrap w:val="0"/>
            <w:vAlign w:val="center"/>
          </w:tcPr>
          <w:p>
            <w:pPr>
              <w:jc w:val="center"/>
              <w:rPr>
                <w:color w:val="auto"/>
              </w:rPr>
            </w:pPr>
            <w:r>
              <w:rPr>
                <w:color w:val="auto"/>
              </w:rPr>
              <w:t>420m</w:t>
            </w:r>
            <w:r>
              <w:rPr>
                <w:color w:val="auto"/>
                <w:vertAlign w:val="superscript"/>
              </w:rPr>
              <w:t>2</w:t>
            </w:r>
          </w:p>
        </w:tc>
        <w:tc>
          <w:tcPr>
            <w:tcW w:w="2594" w:type="dxa"/>
            <w:gridSpan w:val="2"/>
            <w:tcBorders>
              <w:top w:val="single" w:color="auto" w:sz="6" w:space="0"/>
              <w:left w:val="single" w:color="auto" w:sz="4" w:space="0"/>
              <w:bottom w:val="single" w:color="auto" w:sz="6" w:space="0"/>
              <w:right w:val="single" w:color="auto" w:sz="4" w:space="0"/>
            </w:tcBorders>
            <w:noWrap w:val="0"/>
            <w:vAlign w:val="center"/>
          </w:tcPr>
          <w:p>
            <w:pPr>
              <w:jc w:val="center"/>
              <w:rPr>
                <w:color w:val="auto"/>
              </w:rPr>
            </w:pPr>
            <w:r>
              <w:rPr>
                <w:color w:val="auto"/>
              </w:rPr>
              <w:t>绿化面积</w:t>
            </w:r>
          </w:p>
        </w:tc>
        <w:tc>
          <w:tcPr>
            <w:tcW w:w="2001" w:type="dxa"/>
            <w:tcBorders>
              <w:top w:val="single" w:color="auto" w:sz="6" w:space="0"/>
              <w:left w:val="single" w:color="auto" w:sz="4" w:space="0"/>
              <w:bottom w:val="single" w:color="auto" w:sz="6" w:space="0"/>
            </w:tcBorders>
            <w:noWrap w:val="0"/>
            <w:vAlign w:val="center"/>
          </w:tcPr>
          <w:p>
            <w:pPr>
              <w:jc w:val="center"/>
              <w:rPr>
                <w:color w:val="auto"/>
              </w:rPr>
            </w:pPr>
            <w:r>
              <w:rPr>
                <w:rFonts w:hint="eastAsia"/>
                <w:color w:val="auto"/>
              </w:rPr>
              <w:t>5</w:t>
            </w:r>
            <w:r>
              <w:rPr>
                <w:color w:val="auto"/>
              </w:rPr>
              <w:t>0m</w:t>
            </w:r>
            <w:r>
              <w:rPr>
                <w:color w:val="auto"/>
                <w:vertAlign w:val="superscript"/>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800"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rPr>
            </w:pPr>
            <w:r>
              <w:rPr>
                <w:color w:val="auto"/>
              </w:rPr>
              <w:t>总投资(万元)</w:t>
            </w:r>
          </w:p>
        </w:tc>
        <w:tc>
          <w:tcPr>
            <w:tcW w:w="2036"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178</w:t>
            </w:r>
          </w:p>
        </w:tc>
        <w:tc>
          <w:tcPr>
            <w:tcW w:w="1352" w:type="dxa"/>
            <w:tcBorders>
              <w:top w:val="single" w:color="auto" w:sz="6" w:space="0"/>
              <w:left w:val="single" w:color="auto" w:sz="6" w:space="0"/>
              <w:bottom w:val="single" w:color="auto" w:sz="6" w:space="0"/>
              <w:right w:val="single" w:color="auto" w:sz="6" w:space="0"/>
            </w:tcBorders>
            <w:noWrap w:val="0"/>
            <w:vAlign w:val="center"/>
          </w:tcPr>
          <w:p>
            <w:pPr>
              <w:jc w:val="center"/>
              <w:rPr>
                <w:color w:val="auto"/>
              </w:rPr>
            </w:pPr>
            <w:r>
              <w:rPr>
                <w:color w:val="auto"/>
              </w:rPr>
              <w:t>环保投资</w:t>
            </w:r>
          </w:p>
          <w:p>
            <w:pPr>
              <w:wordWrap w:val="0"/>
              <w:jc w:val="center"/>
              <w:rPr>
                <w:color w:val="auto"/>
              </w:rPr>
            </w:pPr>
            <w:r>
              <w:rPr>
                <w:color w:val="auto"/>
              </w:rPr>
              <w:t>(万元)</w:t>
            </w:r>
          </w:p>
        </w:tc>
        <w:tc>
          <w:tcPr>
            <w:tcW w:w="1300" w:type="dxa"/>
            <w:tcBorders>
              <w:top w:val="single" w:color="auto" w:sz="6" w:space="0"/>
              <w:left w:val="single" w:color="auto" w:sz="6" w:space="0"/>
              <w:bottom w:val="single" w:color="auto" w:sz="6" w:space="0"/>
              <w:right w:val="single" w:color="auto" w:sz="4" w:space="0"/>
            </w:tcBorders>
            <w:noWrap w:val="0"/>
            <w:vAlign w:val="center"/>
          </w:tcPr>
          <w:p>
            <w:pPr>
              <w:jc w:val="center"/>
              <w:rPr>
                <w:rFonts w:hint="eastAsia"/>
                <w:color w:val="auto"/>
              </w:rPr>
            </w:pPr>
            <w:r>
              <w:rPr>
                <w:rFonts w:hint="eastAsia"/>
                <w:color w:val="auto"/>
              </w:rPr>
              <w:t>8.5</w:t>
            </w:r>
          </w:p>
        </w:tc>
        <w:tc>
          <w:tcPr>
            <w:tcW w:w="1294" w:type="dxa"/>
            <w:tcBorders>
              <w:top w:val="single" w:color="auto" w:sz="6" w:space="0"/>
              <w:left w:val="single" w:color="auto" w:sz="4" w:space="0"/>
              <w:bottom w:val="single" w:color="auto" w:sz="6" w:space="0"/>
              <w:right w:val="single" w:color="auto" w:sz="4" w:space="0"/>
            </w:tcBorders>
            <w:noWrap w:val="0"/>
            <w:vAlign w:val="center"/>
          </w:tcPr>
          <w:p>
            <w:pPr>
              <w:jc w:val="center"/>
              <w:rPr>
                <w:color w:val="auto"/>
              </w:rPr>
            </w:pPr>
            <w:r>
              <w:rPr>
                <w:color w:val="auto"/>
              </w:rPr>
              <w:t>环保投资占总投资比例</w:t>
            </w:r>
          </w:p>
        </w:tc>
        <w:tc>
          <w:tcPr>
            <w:tcW w:w="2001" w:type="dxa"/>
            <w:tcBorders>
              <w:top w:val="single" w:color="auto" w:sz="6" w:space="0"/>
              <w:left w:val="single" w:color="auto" w:sz="4" w:space="0"/>
              <w:bottom w:val="single" w:color="auto" w:sz="6" w:space="0"/>
            </w:tcBorders>
            <w:noWrap w:val="0"/>
            <w:vAlign w:val="center"/>
          </w:tcPr>
          <w:p>
            <w:pPr>
              <w:jc w:val="center"/>
              <w:rPr>
                <w:rFonts w:hint="eastAsia"/>
                <w:color w:val="auto"/>
              </w:rPr>
            </w:pPr>
            <w:r>
              <w:rPr>
                <w:color w:val="auto"/>
              </w:rPr>
              <w:t>4.7</w:t>
            </w:r>
            <w:r>
              <w:rPr>
                <w:rFonts w:hint="eastAsia"/>
                <w:color w:val="auto"/>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513" w:hRule="atLeast"/>
          <w:jc w:val="center"/>
        </w:trPr>
        <w:tc>
          <w:tcPr>
            <w:tcW w:w="1257" w:type="dxa"/>
            <w:tcBorders>
              <w:top w:val="single" w:color="auto" w:sz="6" w:space="0"/>
              <w:bottom w:val="single" w:color="auto" w:sz="6" w:space="0"/>
              <w:right w:val="single" w:color="auto" w:sz="6" w:space="0"/>
            </w:tcBorders>
            <w:noWrap w:val="0"/>
            <w:vAlign w:val="center"/>
          </w:tcPr>
          <w:p>
            <w:pPr>
              <w:jc w:val="center"/>
              <w:rPr>
                <w:color w:val="auto"/>
                <w:highlight w:val="cyan"/>
              </w:rPr>
            </w:pPr>
            <w:r>
              <w:rPr>
                <w:color w:val="auto"/>
              </w:rPr>
              <w:t>评价经费</w:t>
            </w:r>
          </w:p>
        </w:tc>
        <w:tc>
          <w:tcPr>
            <w:tcW w:w="3388" w:type="dxa"/>
            <w:gridSpan w:val="2"/>
            <w:tcBorders>
              <w:top w:val="single" w:color="auto" w:sz="6" w:space="0"/>
              <w:left w:val="single" w:color="auto" w:sz="6" w:space="0"/>
              <w:bottom w:val="single" w:color="auto" w:sz="6" w:space="0"/>
              <w:right w:val="single" w:color="auto" w:sz="6" w:space="0"/>
            </w:tcBorders>
            <w:noWrap w:val="0"/>
            <w:vAlign w:val="center"/>
          </w:tcPr>
          <w:p>
            <w:pPr>
              <w:ind w:left="-148"/>
              <w:jc w:val="center"/>
              <w:rPr>
                <w:color w:val="auto"/>
                <w:highlight w:val="cyan"/>
              </w:rPr>
            </w:pPr>
            <w:r>
              <w:rPr>
                <w:color w:val="auto"/>
              </w:rPr>
              <w:t>/</w:t>
            </w:r>
          </w:p>
        </w:tc>
        <w:tc>
          <w:tcPr>
            <w:tcW w:w="2594" w:type="dxa"/>
            <w:gridSpan w:val="2"/>
            <w:tcBorders>
              <w:top w:val="single" w:color="auto" w:sz="6" w:space="0"/>
              <w:left w:val="single" w:color="auto" w:sz="6" w:space="0"/>
              <w:bottom w:val="single" w:color="auto" w:sz="6" w:space="0"/>
              <w:right w:val="single" w:color="auto" w:sz="4" w:space="0"/>
            </w:tcBorders>
            <w:noWrap w:val="0"/>
            <w:vAlign w:val="center"/>
          </w:tcPr>
          <w:p>
            <w:pPr>
              <w:ind w:left="-108"/>
              <w:jc w:val="center"/>
              <w:rPr>
                <w:color w:val="auto"/>
              </w:rPr>
            </w:pPr>
            <w:r>
              <w:rPr>
                <w:color w:val="auto"/>
              </w:rPr>
              <w:t>预期投产日期</w:t>
            </w:r>
          </w:p>
        </w:tc>
        <w:tc>
          <w:tcPr>
            <w:tcW w:w="2001" w:type="dxa"/>
            <w:tcBorders>
              <w:top w:val="single" w:color="auto" w:sz="6" w:space="0"/>
              <w:left w:val="single" w:color="auto" w:sz="4" w:space="0"/>
              <w:bottom w:val="single" w:color="auto" w:sz="6" w:space="0"/>
            </w:tcBorders>
            <w:noWrap w:val="0"/>
            <w:vAlign w:val="center"/>
          </w:tcPr>
          <w:p>
            <w:pPr>
              <w:jc w:val="center"/>
              <w:rPr>
                <w:color w:val="auto"/>
              </w:rPr>
            </w:pPr>
            <w:r>
              <w:rPr>
                <w:color w:val="auto"/>
              </w:rPr>
              <w:t>2021年6月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1020" w:hRule="atLeast"/>
          <w:jc w:val="center"/>
        </w:trPr>
        <w:tc>
          <w:tcPr>
            <w:tcW w:w="9240" w:type="dxa"/>
            <w:gridSpan w:val="6"/>
            <w:tcBorders>
              <w:top w:val="single" w:color="auto" w:sz="6" w:space="0"/>
              <w:bottom w:val="single" w:color="auto" w:sz="4" w:space="0"/>
            </w:tcBorders>
            <w:noWrap w:val="0"/>
            <w:vAlign w:val="top"/>
          </w:tcPr>
          <w:p>
            <w:pPr>
              <w:adjustRightInd w:val="0"/>
              <w:snapToGrid w:val="0"/>
              <w:spacing w:line="360" w:lineRule="auto"/>
              <w:rPr>
                <w:rFonts w:hint="eastAsia" w:ascii="黑体" w:hAnsi="黑体" w:eastAsia="黑体" w:cs="黑体"/>
                <w:color w:val="auto"/>
              </w:rPr>
            </w:pPr>
            <w:r>
              <w:rPr>
                <w:rFonts w:hint="eastAsia" w:ascii="黑体" w:hAnsi="黑体" w:eastAsia="黑体" w:cs="黑体"/>
                <w:color w:val="auto"/>
              </w:rPr>
              <w:t>工程内容及规模</w:t>
            </w:r>
          </w:p>
          <w:p>
            <w:pPr>
              <w:adjustRightInd w:val="0"/>
              <w:snapToGrid w:val="0"/>
              <w:spacing w:line="360" w:lineRule="auto"/>
              <w:ind w:firstLine="482" w:firstLineChars="200"/>
              <w:rPr>
                <w:b/>
                <w:bCs/>
                <w:color w:val="auto"/>
              </w:rPr>
            </w:pPr>
            <w:r>
              <w:rPr>
                <w:b/>
                <w:bCs/>
                <w:color w:val="auto"/>
              </w:rPr>
              <w:t>一、项目背景及任务由来</w:t>
            </w:r>
          </w:p>
          <w:p>
            <w:pPr>
              <w:spacing w:line="360" w:lineRule="auto"/>
              <w:ind w:firstLine="480" w:firstLineChars="200"/>
              <w:rPr>
                <w:color w:val="auto"/>
              </w:rPr>
            </w:pPr>
            <w:r>
              <w:rPr>
                <w:color w:val="auto"/>
              </w:rPr>
              <w:t>习近平总书记在十九大报告中提出“当前是决胜全面建成小康社会的时期，开启全面建成社会主义现代化国家新征程”的时期，要坚决打好精准脱贫、污染防治的攻坚战，实施精准脱贫战略与乡村振兴战略相结合。</w:t>
            </w:r>
          </w:p>
          <w:p>
            <w:pPr>
              <w:spacing w:line="360" w:lineRule="auto"/>
              <w:ind w:firstLine="480" w:firstLineChars="200"/>
              <w:rPr>
                <w:color w:val="auto"/>
              </w:rPr>
            </w:pPr>
            <w:r>
              <w:rPr>
                <w:color w:val="auto"/>
              </w:rPr>
              <w:t>2018年2月，中共中央办公厅、国务院办公厅印发了《农村人居环境整治三年行动方案》。方案提出：改善农村人居环境，建设美丽宜居乡村，是实施乡村振兴战略的一项重要任务，事关全面建成小康社会，事关广大农民根本福祉，事关农村社会文明和谐。</w:t>
            </w:r>
          </w:p>
          <w:p>
            <w:pPr>
              <w:spacing w:line="360" w:lineRule="auto"/>
              <w:ind w:firstLine="480" w:firstLineChars="200"/>
              <w:rPr>
                <w:color w:val="auto"/>
              </w:rPr>
            </w:pPr>
            <w:r>
              <w:rPr>
                <w:color w:val="auto"/>
              </w:rPr>
              <w:t>2018年8月，四川省出台了《四川省农村人居环境整治三年行动实施方案》，提出到2020年，力争实现90%以上的行政村生活垃圾得到治理，卫生厕所普及率达到85%左右，50%左右的行政村农村生活污水得到有效处理，村内道路通行条件明显改善，村容村貌显著提升，管护长效机制初步建立。</w:t>
            </w:r>
          </w:p>
          <w:p>
            <w:pPr>
              <w:spacing w:line="360" w:lineRule="auto"/>
              <w:ind w:firstLine="480" w:firstLineChars="200"/>
              <w:rPr>
                <w:color w:val="auto"/>
              </w:rPr>
            </w:pPr>
            <w:r>
              <w:rPr>
                <w:color w:val="auto"/>
              </w:rPr>
              <w:t>2019年2月，中共乐山市委农村工作领导小组印发了《乐山市农村人居环境整治村庄清洁行动实施方案》，方案要求扎实推进农村人居环境整治工作，根据《四川省农村人居环境整</w:t>
            </w:r>
            <w:r>
              <w:rPr>
                <w:rFonts w:ascii="宋体" w:hAnsi="宋体"/>
                <w:color w:val="auto"/>
              </w:rPr>
              <w:t>治村庄清洁行动方案》要求，结合乐山市实际情况推进全市农村人居环境整治，切实解决村庄环境“脏乱差”问题。</w:t>
            </w:r>
          </w:p>
          <w:p>
            <w:pPr>
              <w:spacing w:line="360" w:lineRule="auto"/>
              <w:ind w:firstLine="480" w:firstLineChars="200"/>
              <w:rPr>
                <w:color w:val="auto"/>
                <w:kern w:val="0"/>
              </w:rPr>
            </w:pPr>
            <w:r>
              <w:rPr>
                <w:color w:val="auto"/>
                <w:kern w:val="0"/>
              </w:rPr>
              <w:t>2019年8月，峨边彝族自治县人居环境整治暨移风易俗指挥部出台《峨边彝族自治县人居环境整治三年行动实施方案》，明确提出要全力推进人居环境整治工作,确保到2020 年实现全县人居环境明显改善，村容村貌有效提升，群众的环保意识普遍增强，90%以上行政村垃圾得到有效治理，户用卫生厕所普及率85%以上，50%以上行政村农村生活污水得到有效处理，农村自来水普及率达到100%，建成</w:t>
            </w:r>
            <w:r>
              <w:rPr>
                <w:rFonts w:hint="eastAsia"/>
                <w:color w:val="auto"/>
                <w:kern w:val="0"/>
              </w:rPr>
              <w:t>“</w:t>
            </w:r>
            <w:r>
              <w:rPr>
                <w:color w:val="auto"/>
                <w:kern w:val="0"/>
              </w:rPr>
              <w:t>美丽四川·宜居乡村</w:t>
            </w:r>
            <w:r>
              <w:rPr>
                <w:rFonts w:hint="eastAsia"/>
                <w:color w:val="auto"/>
                <w:kern w:val="0"/>
              </w:rPr>
              <w:t>”</w:t>
            </w:r>
            <w:r>
              <w:rPr>
                <w:color w:val="auto"/>
                <w:kern w:val="0"/>
              </w:rPr>
              <w:t>达标村不少于70个，</w:t>
            </w:r>
            <w:r>
              <w:rPr>
                <w:rFonts w:ascii="宋体" w:hAnsi="宋体"/>
                <w:color w:val="auto"/>
                <w:kern w:val="0"/>
              </w:rPr>
              <w:t>“</w:t>
            </w:r>
            <w:r>
              <w:rPr>
                <w:color w:val="auto"/>
                <w:kern w:val="0"/>
              </w:rPr>
              <w:t>水美乡村</w:t>
            </w:r>
            <w:r>
              <w:rPr>
                <w:rFonts w:ascii="宋体" w:hAnsi="宋体"/>
                <w:color w:val="auto"/>
                <w:kern w:val="0"/>
              </w:rPr>
              <w:t>”</w:t>
            </w:r>
            <w:r>
              <w:rPr>
                <w:color w:val="auto"/>
                <w:kern w:val="0"/>
              </w:rPr>
              <w:t>不少于10个。</w:t>
            </w:r>
          </w:p>
          <w:p>
            <w:pPr>
              <w:spacing w:line="360" w:lineRule="auto"/>
              <w:ind w:firstLine="480" w:firstLineChars="200"/>
              <w:rPr>
                <w:color w:val="auto"/>
              </w:rPr>
            </w:pPr>
            <w:r>
              <w:rPr>
                <w:color w:val="auto"/>
              </w:rPr>
              <w:t>2020年5月，中共乐山市委农村工作领导小组印发《乐山市2020年度农村人居环境整治实施方案》，制定《乐山市2020年度农村生活污水治理专项工作实施方案》，提出峨边县2020年要完成：生活污水得到有效处理的村占比≥50%，生活污水得到有效处理的农户占比≥40%。</w:t>
            </w:r>
          </w:p>
          <w:p>
            <w:pPr>
              <w:spacing w:line="360" w:lineRule="auto"/>
              <w:ind w:firstLine="480" w:firstLineChars="200"/>
              <w:rPr>
                <w:bCs/>
                <w:color w:val="auto"/>
              </w:rPr>
            </w:pPr>
            <w:r>
              <w:rPr>
                <w:color w:val="auto"/>
              </w:rPr>
              <w:t>为打造乡村振兴示范，充分发挥示范带动作用，在</w:t>
            </w:r>
            <w:r>
              <w:rPr>
                <w:bCs/>
                <w:color w:val="auto"/>
              </w:rPr>
              <w:t>2020年，实施乡村振兴示范村</w:t>
            </w:r>
            <w:r>
              <w:rPr>
                <w:rFonts w:hint="eastAsia"/>
                <w:bCs/>
                <w:color w:val="auto"/>
              </w:rPr>
              <w:t>，</w:t>
            </w:r>
            <w:r>
              <w:rPr>
                <w:bCs/>
                <w:color w:val="auto"/>
              </w:rPr>
              <w:t>宜坪乡桐花村、大堡镇九家村、新林镇黄泥村，开展农村生活污水治理示范建设，让农村生活污水得到有效收集处理。</w:t>
            </w:r>
          </w:p>
          <w:p>
            <w:pPr>
              <w:adjustRightInd w:val="0"/>
              <w:snapToGrid w:val="0"/>
              <w:spacing w:line="360" w:lineRule="auto"/>
              <w:ind w:firstLine="480" w:firstLineChars="200"/>
              <w:rPr>
                <w:color w:val="auto"/>
              </w:rPr>
            </w:pPr>
            <w:r>
              <w:rPr>
                <w:color w:val="auto"/>
              </w:rPr>
              <w:t>桐花村位于峨边彝族自治县宜坪乡</w:t>
            </w:r>
            <w:r>
              <w:rPr>
                <w:rFonts w:hint="eastAsia"/>
                <w:color w:val="auto"/>
              </w:rPr>
              <w:t>，南侧为官料河。</w:t>
            </w:r>
            <w:r>
              <w:rPr>
                <w:color w:val="auto"/>
              </w:rPr>
              <w:t>经调查，村内现有37户村民有家庭烤酒作坊，烤酒产生的废水</w:t>
            </w:r>
            <w:r>
              <w:rPr>
                <w:rFonts w:hint="eastAsia"/>
                <w:color w:val="auto"/>
              </w:rPr>
              <w:t>、</w:t>
            </w:r>
            <w:r>
              <w:rPr>
                <w:color w:val="auto"/>
              </w:rPr>
              <w:t>废渣</w:t>
            </w:r>
            <w:r>
              <w:rPr>
                <w:rFonts w:hint="eastAsia"/>
                <w:color w:val="auto"/>
              </w:rPr>
              <w:t>直接</w:t>
            </w:r>
            <w:r>
              <w:rPr>
                <w:color w:val="auto"/>
              </w:rPr>
              <w:t>用作</w:t>
            </w:r>
            <w:r>
              <w:rPr>
                <w:rFonts w:hint="eastAsia"/>
                <w:color w:val="auto"/>
              </w:rPr>
              <w:t>畜禽养殖不外排，</w:t>
            </w:r>
            <w:r>
              <w:rPr>
                <w:color w:val="auto"/>
              </w:rPr>
              <w:t>村内</w:t>
            </w:r>
            <w:r>
              <w:rPr>
                <w:rFonts w:hint="eastAsia"/>
                <w:color w:val="auto"/>
              </w:rPr>
              <w:t>约有5</w:t>
            </w:r>
            <w:r>
              <w:rPr>
                <w:color w:val="auto"/>
              </w:rPr>
              <w:t>0</w:t>
            </w:r>
            <w:r>
              <w:rPr>
                <w:rFonts w:hint="eastAsia"/>
                <w:color w:val="auto"/>
              </w:rPr>
              <w:t>户村民进行家庭畜禽养殖，畜禽养殖废水用作农肥。</w:t>
            </w:r>
            <w:r>
              <w:rPr>
                <w:color w:val="auto"/>
              </w:rPr>
              <w:t>桐花村</w:t>
            </w:r>
            <w:r>
              <w:rPr>
                <w:rFonts w:hint="eastAsia"/>
                <w:color w:val="auto"/>
              </w:rPr>
              <w:t>现还未有专门的生活污水收集管网覆盖和污水处理设施，村民生活污水直接外排至官料河，无法集中收集处理。</w:t>
            </w:r>
          </w:p>
          <w:p>
            <w:pPr>
              <w:adjustRightInd w:val="0"/>
              <w:snapToGrid w:val="0"/>
              <w:spacing w:line="360" w:lineRule="auto"/>
              <w:ind w:firstLine="480" w:firstLineChars="200"/>
              <w:rPr>
                <w:color w:val="auto"/>
              </w:rPr>
            </w:pPr>
            <w:r>
              <w:rPr>
                <w:rFonts w:hint="eastAsia"/>
                <w:color w:val="auto"/>
              </w:rPr>
              <w:t>因此，</w:t>
            </w:r>
            <w:r>
              <w:rPr>
                <w:rFonts w:hint="eastAsia"/>
                <w:bCs/>
                <w:color w:val="auto"/>
              </w:rPr>
              <w:t>为改善当地生态环境和水域环境，满足</w:t>
            </w:r>
            <w:r>
              <w:rPr>
                <w:rFonts w:hint="eastAsia" w:hAnsi="宋体"/>
                <w:color w:val="auto"/>
                <w:szCs w:val="28"/>
              </w:rPr>
              <w:t>旅游沿线村庄、官料河沿线村庄打造</w:t>
            </w:r>
            <w:r>
              <w:rPr>
                <w:rFonts w:hint="eastAsia"/>
                <w:bCs/>
                <w:color w:val="auto"/>
              </w:rPr>
              <w:t>，根据</w:t>
            </w:r>
            <w:r>
              <w:rPr>
                <w:rFonts w:hint="eastAsia"/>
                <w:color w:val="auto"/>
              </w:rPr>
              <w:t>《乐山市农村生活污水污染防治技术指南》相关要求，</w:t>
            </w:r>
            <w:r>
              <w:rPr>
                <w:color w:val="auto"/>
              </w:rPr>
              <w:t>峨边生态环境局</w:t>
            </w:r>
            <w:r>
              <w:rPr>
                <w:rFonts w:hint="eastAsia"/>
                <w:color w:val="auto"/>
              </w:rPr>
              <w:t>拟</w:t>
            </w:r>
            <w:r>
              <w:rPr>
                <w:color w:val="auto"/>
              </w:rPr>
              <w:t>投资178万</w:t>
            </w:r>
            <w:r>
              <w:rPr>
                <w:rFonts w:hint="eastAsia"/>
                <w:color w:val="auto"/>
              </w:rPr>
              <w:t>元</w:t>
            </w:r>
            <w:r>
              <w:rPr>
                <w:color w:val="auto"/>
              </w:rPr>
              <w:t>，在峨边彝族自治县宜坪乡桐花村新建</w:t>
            </w:r>
            <w:r>
              <w:rPr>
                <w:rFonts w:hint="eastAsia"/>
                <w:color w:val="auto"/>
              </w:rPr>
              <w:t>生活污水收集管网和污水处理设施</w:t>
            </w:r>
            <w:r>
              <w:rPr>
                <w:rFonts w:hint="eastAsia"/>
                <w:bCs/>
                <w:color w:val="auto"/>
              </w:rPr>
              <w:t>。因地势高差原因，部分区域污水不能自流入污水处理设施，考虑到建提升泵成本较高，因此本项目</w:t>
            </w:r>
            <w:r>
              <w:rPr>
                <w:color w:val="auto"/>
              </w:rPr>
              <w:t>污水收集分为东部片区、南部片区和西部片区共三个片区。南部片区人口约40人</w:t>
            </w:r>
            <w:r>
              <w:rPr>
                <w:rFonts w:hint="eastAsia"/>
                <w:color w:val="auto"/>
              </w:rPr>
              <w:t>，</w:t>
            </w:r>
            <w:r>
              <w:rPr>
                <w:color w:val="auto"/>
              </w:rPr>
              <w:t>西部片区人口约90人</w:t>
            </w:r>
            <w:r>
              <w:rPr>
                <w:rFonts w:hint="eastAsia"/>
                <w:color w:val="auto"/>
              </w:rPr>
              <w:t>，</w:t>
            </w:r>
            <w:r>
              <w:rPr>
                <w:bCs/>
                <w:color w:val="auto"/>
              </w:rPr>
              <w:t>针对人户相对小聚集</w:t>
            </w:r>
            <w:r>
              <w:rPr>
                <w:rFonts w:hint="eastAsia"/>
                <w:bCs/>
                <w:color w:val="auto"/>
              </w:rPr>
              <w:t>区</w:t>
            </w:r>
            <w:r>
              <w:rPr>
                <w:bCs/>
                <w:color w:val="auto"/>
              </w:rPr>
              <w:t>，在人户5户以上60户以下或30人以上300人以下聚集区采用化粪池（化粪池2、化粪池3）+人工湿地治理模式，</w:t>
            </w:r>
            <w:r>
              <w:rPr>
                <w:rFonts w:hint="eastAsia"/>
                <w:bCs/>
                <w:color w:val="auto"/>
              </w:rPr>
              <w:t>经处理后用于农灌，并且</w:t>
            </w:r>
            <w:r>
              <w:rPr>
                <w:color w:val="auto"/>
              </w:rPr>
              <w:t>铺设</w:t>
            </w:r>
            <w:r>
              <w:rPr>
                <w:rFonts w:hint="eastAsia"/>
                <w:color w:val="auto"/>
              </w:rPr>
              <w:t>村内污水收集管网，</w:t>
            </w:r>
            <w:r>
              <w:rPr>
                <w:color w:val="auto"/>
              </w:rPr>
              <w:t>南部片区</w:t>
            </w:r>
            <w:r>
              <w:rPr>
                <w:rFonts w:hint="eastAsia"/>
                <w:color w:val="auto"/>
              </w:rPr>
              <w:t>建设</w:t>
            </w:r>
            <w:r>
              <w:rPr>
                <w:color w:val="auto"/>
              </w:rPr>
              <w:t>污水干管180m</w:t>
            </w:r>
            <w:r>
              <w:rPr>
                <w:rFonts w:hint="eastAsia"/>
                <w:color w:val="auto"/>
              </w:rPr>
              <w:t>，</w:t>
            </w:r>
            <w:r>
              <w:rPr>
                <w:color w:val="auto"/>
              </w:rPr>
              <w:t>西部片区</w:t>
            </w:r>
            <w:r>
              <w:rPr>
                <w:rFonts w:hint="eastAsia"/>
                <w:color w:val="auto"/>
              </w:rPr>
              <w:t>建设</w:t>
            </w:r>
            <w:r>
              <w:rPr>
                <w:color w:val="auto"/>
              </w:rPr>
              <w:t>污水干管576m。东部片区</w:t>
            </w:r>
            <w:r>
              <w:rPr>
                <w:bCs/>
                <w:color w:val="auto"/>
              </w:rPr>
              <w:t>农村生活污水经化粪池统一收集后再经</w:t>
            </w:r>
            <w:r>
              <w:rPr>
                <w:rFonts w:hint="eastAsia"/>
                <w:bCs/>
                <w:color w:val="auto"/>
              </w:rPr>
              <w:t>M</w:t>
            </w:r>
            <w:r>
              <w:rPr>
                <w:bCs/>
                <w:color w:val="auto"/>
              </w:rPr>
              <w:t>BR一体化设备处理，处理后排放的生活污水达到《农村生活污水处理设施水污染物排放标准》（DB51/2626-2019）一级标准，其处理规模为60m</w:t>
            </w:r>
            <w:r>
              <w:rPr>
                <w:bCs/>
                <w:color w:val="auto"/>
                <w:vertAlign w:val="superscript"/>
              </w:rPr>
              <w:t>3</w:t>
            </w:r>
            <w:r>
              <w:rPr>
                <w:bCs/>
                <w:color w:val="auto"/>
              </w:rPr>
              <w:t>/d，</w:t>
            </w:r>
            <w:r>
              <w:rPr>
                <w:color w:val="auto"/>
              </w:rPr>
              <w:t>服务人口约370人</w:t>
            </w:r>
            <w:r>
              <w:rPr>
                <w:rFonts w:hint="eastAsia"/>
                <w:color w:val="auto"/>
              </w:rPr>
              <w:t>，建设</w:t>
            </w:r>
            <w:r>
              <w:rPr>
                <w:color w:val="auto"/>
              </w:rPr>
              <w:t>污水干管1255m</w:t>
            </w:r>
            <w:r>
              <w:rPr>
                <w:bCs/>
                <w:color w:val="auto"/>
              </w:rPr>
              <w:t>。</w:t>
            </w:r>
          </w:p>
          <w:p>
            <w:pPr>
              <w:adjustRightInd w:val="0"/>
              <w:snapToGrid w:val="0"/>
              <w:spacing w:line="360" w:lineRule="auto"/>
              <w:ind w:firstLine="480" w:firstLineChars="200"/>
              <w:rPr>
                <w:color w:val="auto"/>
              </w:rPr>
            </w:pPr>
            <w:r>
              <w:rPr>
                <w:color w:val="auto"/>
              </w:rPr>
              <w:t>根据《中华人民共和国环境保护法》、《中华人民共和国环境影响评价法》和《建设项目环境保护管理条例》(国务院第682号令)中有关规定，依据《建设项目环境影响评价分类管理名录》（2017年9月1日起施行），本项目属于</w:t>
            </w:r>
            <w:r>
              <w:rPr>
                <w:rFonts w:ascii="宋体" w:hAnsi="宋体"/>
                <w:color w:val="auto"/>
              </w:rPr>
              <w:t xml:space="preserve">“三十三、水的生产和供应业  </w:t>
            </w:r>
            <w:r>
              <w:rPr>
                <w:color w:val="auto"/>
              </w:rPr>
              <w:t>96</w:t>
            </w:r>
            <w:r>
              <w:rPr>
                <w:rFonts w:ascii="宋体" w:hAnsi="宋体"/>
                <w:color w:val="auto"/>
              </w:rPr>
              <w:t xml:space="preserve"> 生活污水集中处理”，应编制环境影响报告表。</w:t>
            </w:r>
            <w:r>
              <w:rPr>
                <w:color w:val="auto"/>
              </w:rPr>
              <w:t>峨边生态环境局委托我公司进行该建设项目的环评工作。我单位在接到委托后，按项目特点与专业要求，进行现场踏勘、收集资料，针对本项目可能涉及的污染问题，从工程角度和环境角度进行了分析，并对工程中的污染等问题提出了相应的防治对策和管理措施，尤其对工程可能带来的环境正负影响和效益进行了客观的论述，在此基础上，编制了该环境影响报告表，为环境保护工作提供科学的依据。</w:t>
            </w:r>
          </w:p>
          <w:p>
            <w:pPr>
              <w:tabs>
                <w:tab w:val="left" w:pos="351"/>
              </w:tabs>
              <w:adjustRightInd w:val="0"/>
              <w:snapToGrid w:val="0"/>
              <w:spacing w:line="360" w:lineRule="auto"/>
              <w:ind w:firstLine="482" w:firstLineChars="200"/>
              <w:rPr>
                <w:b/>
                <w:bCs/>
                <w:color w:val="auto"/>
              </w:rPr>
            </w:pPr>
            <w:r>
              <w:rPr>
                <w:b/>
                <w:bCs/>
                <w:color w:val="auto"/>
              </w:rPr>
              <w:t>二、编制依据</w:t>
            </w:r>
          </w:p>
          <w:p>
            <w:pPr>
              <w:adjustRightInd w:val="0"/>
              <w:snapToGrid w:val="0"/>
              <w:spacing w:line="360" w:lineRule="auto"/>
              <w:ind w:firstLine="480" w:firstLineChars="200"/>
              <w:rPr>
                <w:color w:val="auto"/>
              </w:rPr>
            </w:pPr>
            <w:r>
              <w:rPr>
                <w:color w:val="auto"/>
              </w:rPr>
              <w:t>1.法律、法规</w:t>
            </w:r>
          </w:p>
          <w:p>
            <w:pPr>
              <w:adjustRightInd w:val="0"/>
              <w:snapToGrid w:val="0"/>
              <w:spacing w:line="360" w:lineRule="auto"/>
              <w:ind w:firstLine="480" w:firstLineChars="200"/>
              <w:rPr>
                <w:color w:val="auto"/>
              </w:rPr>
            </w:pPr>
            <w:r>
              <w:rPr>
                <w:color w:val="auto"/>
              </w:rPr>
              <w:t>（1）《中华人民共和国环境保护法》，2015年1月1日施行；</w:t>
            </w:r>
          </w:p>
          <w:p>
            <w:pPr>
              <w:adjustRightInd w:val="0"/>
              <w:snapToGrid w:val="0"/>
              <w:spacing w:line="360" w:lineRule="auto"/>
              <w:ind w:firstLine="480" w:firstLineChars="200"/>
              <w:rPr>
                <w:color w:val="auto"/>
              </w:rPr>
            </w:pPr>
            <w:r>
              <w:rPr>
                <w:color w:val="auto"/>
              </w:rPr>
              <w:t>（2）《中华人民共和国水土保持法》，2011年3月1日施行；</w:t>
            </w:r>
          </w:p>
          <w:p>
            <w:pPr>
              <w:adjustRightInd w:val="0"/>
              <w:snapToGrid w:val="0"/>
              <w:spacing w:line="360" w:lineRule="auto"/>
              <w:ind w:firstLine="480" w:firstLineChars="200"/>
              <w:rPr>
                <w:color w:val="auto"/>
              </w:rPr>
            </w:pPr>
            <w:r>
              <w:rPr>
                <w:color w:val="auto"/>
              </w:rPr>
              <w:t>（3）《中华人民共和国水污染防治法》，2018年1月1日修订；</w:t>
            </w:r>
          </w:p>
          <w:p>
            <w:pPr>
              <w:adjustRightInd w:val="0"/>
              <w:snapToGrid w:val="0"/>
              <w:spacing w:line="360" w:lineRule="auto"/>
              <w:ind w:firstLine="480" w:firstLineChars="200"/>
              <w:rPr>
                <w:color w:val="auto"/>
              </w:rPr>
            </w:pPr>
            <w:r>
              <w:rPr>
                <w:color w:val="auto"/>
              </w:rPr>
              <w:t>（4）《中华人民共和国环境噪声污染防治法》，2018年12月29日修订版；</w:t>
            </w:r>
          </w:p>
          <w:p>
            <w:pPr>
              <w:adjustRightInd w:val="0"/>
              <w:snapToGrid w:val="0"/>
              <w:spacing w:line="360" w:lineRule="auto"/>
              <w:ind w:firstLine="480" w:firstLineChars="200"/>
              <w:rPr>
                <w:color w:val="auto"/>
              </w:rPr>
            </w:pPr>
            <w:r>
              <w:rPr>
                <w:color w:val="auto"/>
              </w:rPr>
              <w:t>（5）《中华人民共和国大气污染防治法》，2018年10月26日施行；</w:t>
            </w:r>
          </w:p>
          <w:p>
            <w:pPr>
              <w:adjustRightInd w:val="0"/>
              <w:snapToGrid w:val="0"/>
              <w:spacing w:line="360" w:lineRule="auto"/>
              <w:ind w:firstLine="480" w:firstLineChars="200"/>
              <w:rPr>
                <w:color w:val="auto"/>
              </w:rPr>
            </w:pPr>
            <w:r>
              <w:rPr>
                <w:color w:val="auto"/>
              </w:rPr>
              <w:t>（6）《中华人民共和国环境影响评价法》，2018年12月29日修订版；</w:t>
            </w:r>
          </w:p>
          <w:p>
            <w:pPr>
              <w:adjustRightInd w:val="0"/>
              <w:snapToGrid w:val="0"/>
              <w:spacing w:line="360" w:lineRule="auto"/>
              <w:ind w:firstLine="480" w:firstLineChars="200"/>
              <w:rPr>
                <w:color w:val="auto"/>
              </w:rPr>
            </w:pPr>
            <w:r>
              <w:rPr>
                <w:color w:val="auto"/>
              </w:rPr>
              <w:t>（7）《中华人民共和国土地管理法》，2019年8月26日修正；</w:t>
            </w:r>
          </w:p>
          <w:p>
            <w:pPr>
              <w:adjustRightInd w:val="0"/>
              <w:snapToGrid w:val="0"/>
              <w:spacing w:line="360" w:lineRule="auto"/>
              <w:ind w:firstLine="480" w:firstLineChars="200"/>
              <w:rPr>
                <w:color w:val="auto"/>
              </w:rPr>
            </w:pPr>
            <w:r>
              <w:rPr>
                <w:color w:val="auto"/>
              </w:rPr>
              <w:t>（8）《中华人民共和国固体废物污染环境防治法》，2020年4月29日修订；</w:t>
            </w:r>
          </w:p>
          <w:p>
            <w:pPr>
              <w:adjustRightInd w:val="0"/>
              <w:snapToGrid w:val="0"/>
              <w:spacing w:line="360" w:lineRule="auto"/>
              <w:ind w:firstLine="480" w:firstLineChars="200"/>
              <w:rPr>
                <w:color w:val="auto"/>
              </w:rPr>
            </w:pPr>
            <w:r>
              <w:rPr>
                <w:color w:val="auto"/>
              </w:rPr>
              <w:t>（9）《建设项目环境保护管理条例》，国务院令第682号，2017年10月1日施行；</w:t>
            </w:r>
          </w:p>
          <w:p>
            <w:pPr>
              <w:adjustRightInd w:val="0"/>
              <w:snapToGrid w:val="0"/>
              <w:spacing w:line="360" w:lineRule="auto"/>
              <w:ind w:firstLine="480" w:firstLineChars="200"/>
              <w:rPr>
                <w:color w:val="auto"/>
              </w:rPr>
            </w:pPr>
            <w:r>
              <w:rPr>
                <w:color w:val="auto"/>
              </w:rPr>
              <w:t>（10）《国务院关于落实科学发展观加强环境保护的决定》（国发[2005]39号）；</w:t>
            </w:r>
          </w:p>
          <w:p>
            <w:pPr>
              <w:adjustRightInd w:val="0"/>
              <w:snapToGrid w:val="0"/>
              <w:spacing w:line="360" w:lineRule="auto"/>
              <w:ind w:firstLine="480" w:firstLineChars="200"/>
              <w:rPr>
                <w:color w:val="auto"/>
              </w:rPr>
            </w:pPr>
            <w:r>
              <w:rPr>
                <w:color w:val="auto"/>
              </w:rPr>
              <w:t>（11）《国务院关于环境保护若干问题的决定》（[1996]31号，1996年8月3日颁布）；</w:t>
            </w:r>
          </w:p>
          <w:p>
            <w:pPr>
              <w:adjustRightInd w:val="0"/>
              <w:snapToGrid w:val="0"/>
              <w:spacing w:line="360" w:lineRule="auto"/>
              <w:ind w:firstLine="480" w:firstLineChars="200"/>
              <w:rPr>
                <w:color w:val="auto"/>
              </w:rPr>
            </w:pPr>
            <w:r>
              <w:rPr>
                <w:color w:val="auto"/>
              </w:rPr>
              <w:t>（12）《建设项目环境影响评价分类管理名录》（生态环境部令第1号）；</w:t>
            </w:r>
          </w:p>
          <w:p>
            <w:pPr>
              <w:adjustRightInd w:val="0"/>
              <w:snapToGrid w:val="0"/>
              <w:spacing w:line="360" w:lineRule="auto"/>
              <w:ind w:firstLine="480" w:firstLineChars="200"/>
              <w:rPr>
                <w:color w:val="auto"/>
              </w:rPr>
            </w:pPr>
            <w:r>
              <w:rPr>
                <w:color w:val="auto"/>
              </w:rPr>
              <w:t>（13）《产业结构调整指导目录》（2019年本）；</w:t>
            </w:r>
          </w:p>
          <w:p>
            <w:pPr>
              <w:adjustRightInd w:val="0"/>
              <w:snapToGrid w:val="0"/>
              <w:spacing w:line="360" w:lineRule="auto"/>
              <w:ind w:firstLine="480" w:firstLineChars="200"/>
              <w:rPr>
                <w:color w:val="auto"/>
              </w:rPr>
            </w:pPr>
            <w:r>
              <w:rPr>
                <w:color w:val="auto"/>
              </w:rPr>
              <w:t>2.技术规范</w:t>
            </w:r>
          </w:p>
          <w:p>
            <w:pPr>
              <w:adjustRightInd w:val="0"/>
              <w:snapToGrid w:val="0"/>
              <w:spacing w:line="360" w:lineRule="auto"/>
              <w:ind w:firstLine="480" w:firstLineChars="200"/>
              <w:rPr>
                <w:color w:val="auto"/>
              </w:rPr>
            </w:pPr>
            <w:r>
              <w:rPr>
                <w:color w:val="auto"/>
              </w:rPr>
              <w:t>（1）《建设项目环境影响评价技术导则 总纲》（HJ2.1-2016）；</w:t>
            </w:r>
          </w:p>
          <w:p>
            <w:pPr>
              <w:adjustRightInd w:val="0"/>
              <w:snapToGrid w:val="0"/>
              <w:spacing w:line="360" w:lineRule="auto"/>
              <w:ind w:firstLine="480" w:firstLineChars="200"/>
              <w:rPr>
                <w:color w:val="auto"/>
              </w:rPr>
            </w:pPr>
            <w:r>
              <w:rPr>
                <w:color w:val="auto"/>
              </w:rPr>
              <w:t>（2）《环境影响评价技术导则 大气环境》（HJ2.2-2018）；</w:t>
            </w:r>
          </w:p>
          <w:p>
            <w:pPr>
              <w:adjustRightInd w:val="0"/>
              <w:snapToGrid w:val="0"/>
              <w:spacing w:line="360" w:lineRule="auto"/>
              <w:ind w:firstLine="480" w:firstLineChars="200"/>
              <w:rPr>
                <w:color w:val="auto"/>
              </w:rPr>
            </w:pPr>
            <w:r>
              <w:rPr>
                <w:color w:val="auto"/>
              </w:rPr>
              <w:t>（3）《环境影响评价技术导则 地表水环境》（HJ2.3-2018）；</w:t>
            </w:r>
          </w:p>
          <w:p>
            <w:pPr>
              <w:adjustRightInd w:val="0"/>
              <w:snapToGrid w:val="0"/>
              <w:spacing w:line="360" w:lineRule="auto"/>
              <w:ind w:firstLine="480" w:firstLineChars="200"/>
              <w:rPr>
                <w:color w:val="auto"/>
              </w:rPr>
            </w:pPr>
            <w:r>
              <w:rPr>
                <w:color w:val="auto"/>
              </w:rPr>
              <w:t>（4）《环境影响评价技术导则地下水环境》（HJ610-2016）；</w:t>
            </w:r>
          </w:p>
          <w:p>
            <w:pPr>
              <w:adjustRightInd w:val="0"/>
              <w:snapToGrid w:val="0"/>
              <w:spacing w:line="360" w:lineRule="auto"/>
              <w:ind w:firstLine="480" w:firstLineChars="200"/>
              <w:rPr>
                <w:color w:val="auto"/>
              </w:rPr>
            </w:pPr>
            <w:r>
              <w:rPr>
                <w:color w:val="auto"/>
              </w:rPr>
              <w:t>（5）《环境影响评价技术导则 声环境》（HJ2.4-2009）；</w:t>
            </w:r>
          </w:p>
          <w:p>
            <w:pPr>
              <w:adjustRightInd w:val="0"/>
              <w:snapToGrid w:val="0"/>
              <w:spacing w:line="360" w:lineRule="auto"/>
              <w:ind w:firstLine="480" w:firstLineChars="200"/>
              <w:rPr>
                <w:color w:val="auto"/>
              </w:rPr>
            </w:pPr>
            <w:r>
              <w:rPr>
                <w:color w:val="auto"/>
              </w:rPr>
              <w:t>（6）《环境影响评价技术导则 生态影响》（HJ19-2011）</w:t>
            </w:r>
            <w:r>
              <w:rPr>
                <w:rFonts w:hint="eastAsia"/>
                <w:color w:val="auto"/>
              </w:rPr>
              <w:t>；</w:t>
            </w:r>
          </w:p>
          <w:p>
            <w:pPr>
              <w:adjustRightInd w:val="0"/>
              <w:snapToGrid w:val="0"/>
              <w:spacing w:line="360" w:lineRule="auto"/>
              <w:ind w:firstLine="480" w:firstLineChars="200"/>
              <w:rPr>
                <w:color w:val="auto"/>
              </w:rPr>
            </w:pPr>
            <w:r>
              <w:rPr>
                <w:color w:val="auto"/>
              </w:rPr>
              <w:t>（7）《坏境影响评价技术导则 土壤环境（试行）》（HJ964-2018）</w:t>
            </w:r>
            <w:r>
              <w:rPr>
                <w:rFonts w:hint="eastAsia"/>
                <w:color w:val="auto"/>
              </w:rPr>
              <w:t>；</w:t>
            </w:r>
          </w:p>
          <w:p>
            <w:pPr>
              <w:pStyle w:val="2"/>
              <w:spacing w:after="0"/>
              <w:ind w:left="0" w:leftChars="0" w:firstLine="480"/>
              <w:rPr>
                <w:rFonts w:ascii="Times New Roman" w:hAnsi="Times New Roman"/>
                <w:color w:val="auto"/>
                <w:kern w:val="2"/>
                <w:sz w:val="24"/>
              </w:rPr>
            </w:pPr>
            <w:r>
              <w:rPr>
                <w:rFonts w:ascii="Times New Roman" w:hAnsi="Times New Roman"/>
                <w:color w:val="auto"/>
                <w:kern w:val="2"/>
                <w:sz w:val="24"/>
              </w:rPr>
              <w:t>（8）《乐山市农村生活污水污染防治技术指南》。</w:t>
            </w:r>
          </w:p>
          <w:p>
            <w:pPr>
              <w:adjustRightInd w:val="0"/>
              <w:snapToGrid w:val="0"/>
              <w:spacing w:line="360" w:lineRule="auto"/>
              <w:ind w:firstLine="480" w:firstLineChars="200"/>
              <w:rPr>
                <w:color w:val="auto"/>
              </w:rPr>
            </w:pPr>
            <w:r>
              <w:rPr>
                <w:color w:val="auto"/>
              </w:rPr>
              <w:t>3.建设项目有关资料</w:t>
            </w:r>
          </w:p>
          <w:p>
            <w:pPr>
              <w:adjustRightInd w:val="0"/>
              <w:snapToGrid w:val="0"/>
              <w:spacing w:line="360" w:lineRule="auto"/>
              <w:ind w:firstLine="480" w:firstLineChars="200"/>
              <w:rPr>
                <w:color w:val="auto"/>
              </w:rPr>
            </w:pPr>
            <w:r>
              <w:rPr>
                <w:color w:val="auto"/>
              </w:rPr>
              <w:t>（1）环境影响评价委托书；</w:t>
            </w:r>
          </w:p>
          <w:p>
            <w:pPr>
              <w:adjustRightInd w:val="0"/>
              <w:snapToGrid w:val="0"/>
              <w:spacing w:line="360" w:lineRule="auto"/>
              <w:ind w:firstLine="480" w:firstLineChars="200"/>
              <w:rPr>
                <w:color w:val="auto"/>
              </w:rPr>
            </w:pPr>
            <w:r>
              <w:rPr>
                <w:color w:val="auto"/>
              </w:rPr>
              <w:t>（2）《峨边彝族自治县农村生活污水治理项目可行性研究报告》批复；</w:t>
            </w:r>
          </w:p>
          <w:p>
            <w:pPr>
              <w:adjustRightInd w:val="0"/>
              <w:snapToGrid w:val="0"/>
              <w:spacing w:line="360" w:lineRule="auto"/>
              <w:ind w:firstLine="480" w:firstLineChars="200"/>
              <w:rPr>
                <w:color w:val="auto"/>
              </w:rPr>
            </w:pPr>
            <w:r>
              <w:rPr>
                <w:color w:val="auto"/>
              </w:rPr>
              <w:t>（3）本项目的初步设计资料及图纸；</w:t>
            </w:r>
          </w:p>
          <w:p>
            <w:pPr>
              <w:adjustRightInd w:val="0"/>
              <w:snapToGrid w:val="0"/>
              <w:spacing w:line="360" w:lineRule="auto"/>
              <w:ind w:firstLine="480" w:firstLineChars="200"/>
              <w:rPr>
                <w:color w:val="auto"/>
              </w:rPr>
            </w:pPr>
            <w:r>
              <w:rPr>
                <w:color w:val="auto"/>
              </w:rPr>
              <w:t>（4）建设项目选址意见书；</w:t>
            </w:r>
          </w:p>
          <w:p>
            <w:pPr>
              <w:adjustRightInd w:val="0"/>
              <w:snapToGrid w:val="0"/>
              <w:spacing w:line="360" w:lineRule="auto"/>
              <w:ind w:firstLine="480" w:firstLineChars="200"/>
              <w:rPr>
                <w:color w:val="auto"/>
              </w:rPr>
            </w:pPr>
            <w:r>
              <w:rPr>
                <w:color w:val="auto"/>
              </w:rPr>
              <w:t>（5）建设单位提供的其他资料。</w:t>
            </w:r>
          </w:p>
          <w:p>
            <w:pPr>
              <w:adjustRightInd w:val="0"/>
              <w:snapToGrid w:val="0"/>
              <w:spacing w:line="360" w:lineRule="auto"/>
              <w:ind w:firstLine="482" w:firstLineChars="200"/>
              <w:rPr>
                <w:b/>
                <w:bCs/>
                <w:color w:val="auto"/>
              </w:rPr>
            </w:pPr>
            <w:r>
              <w:rPr>
                <w:b/>
                <w:bCs/>
                <w:color w:val="auto"/>
              </w:rPr>
              <w:t>三、项目建设的可行性和必要性</w:t>
            </w:r>
          </w:p>
          <w:p>
            <w:pPr>
              <w:adjustRightInd w:val="0"/>
              <w:snapToGrid w:val="0"/>
              <w:spacing w:line="360" w:lineRule="auto"/>
              <w:ind w:firstLine="480" w:firstLineChars="200"/>
              <w:rPr>
                <w:color w:val="auto"/>
              </w:rPr>
            </w:pPr>
            <w:r>
              <w:rPr>
                <w:color w:val="auto"/>
              </w:rPr>
              <w:t>1.建设项目产业政策符合性分析</w:t>
            </w:r>
          </w:p>
          <w:p>
            <w:pPr>
              <w:adjustRightInd w:val="0"/>
              <w:snapToGrid w:val="0"/>
              <w:spacing w:line="360" w:lineRule="auto"/>
              <w:ind w:firstLine="480" w:firstLineChars="200"/>
              <w:rPr>
                <w:color w:val="auto"/>
              </w:rPr>
            </w:pPr>
            <w:r>
              <w:rPr>
                <w:color w:val="auto"/>
              </w:rPr>
              <w:t>本项目为污水处理设施建设项目，根据《产业结构调整指导目录（2019年本）》中相关规定，本项目属于鼓励类中第四十三款“环境保护与资源节约综合利用”中的第20条“‘城镇垃圾、农村生活垃圾、农村生活污水、污泥及其他固体废弃物减量化、资源化、无害化处理和综合利用工程”，属于鼓励类，因此本项目的建设符合国家的产业政策。</w:t>
            </w:r>
          </w:p>
          <w:p>
            <w:pPr>
              <w:adjustRightInd w:val="0"/>
              <w:snapToGrid w:val="0"/>
              <w:spacing w:line="360" w:lineRule="auto"/>
              <w:ind w:firstLine="480" w:firstLineChars="200"/>
              <w:rPr>
                <w:color w:val="auto"/>
              </w:rPr>
            </w:pPr>
            <w:r>
              <w:rPr>
                <w:color w:val="auto"/>
              </w:rPr>
              <w:t>并且，本项目已取得峨边彝族自治县发展和改革局出具的关于“四川省峨边彝族自治县农村生活污水治理项目可行性研究报告”的批复，批复文号：峨边发改审[2020]123号。</w:t>
            </w:r>
          </w:p>
          <w:p>
            <w:pPr>
              <w:adjustRightInd w:val="0"/>
              <w:snapToGrid w:val="0"/>
              <w:spacing w:line="360" w:lineRule="auto"/>
              <w:ind w:firstLine="480" w:firstLineChars="200"/>
              <w:rPr>
                <w:color w:val="auto"/>
              </w:rPr>
            </w:pPr>
            <w:r>
              <w:rPr>
                <w:color w:val="auto"/>
              </w:rPr>
              <w:t>因此，本次项目符合国家相关政策的规定。</w:t>
            </w:r>
          </w:p>
          <w:p>
            <w:pPr>
              <w:adjustRightInd w:val="0"/>
              <w:snapToGrid w:val="0"/>
              <w:spacing w:line="360" w:lineRule="auto"/>
              <w:ind w:firstLine="480" w:firstLineChars="200"/>
              <w:rPr>
                <w:color w:val="auto"/>
              </w:rPr>
            </w:pPr>
            <w:r>
              <w:rPr>
                <w:color w:val="auto"/>
              </w:rPr>
              <w:t>2.建设项目规划相符性及选址合理性分析</w:t>
            </w:r>
          </w:p>
          <w:p>
            <w:pPr>
              <w:adjustRightInd w:val="0"/>
              <w:snapToGrid w:val="0"/>
              <w:spacing w:line="360" w:lineRule="auto"/>
              <w:ind w:firstLine="480" w:firstLineChars="200"/>
              <w:rPr>
                <w:color w:val="auto"/>
              </w:rPr>
            </w:pPr>
            <w:r>
              <w:rPr>
                <w:color w:val="auto"/>
              </w:rPr>
              <w:t>（1）与峨边彝族自治县总体规划和土地利用规划的符合性分析</w:t>
            </w:r>
          </w:p>
          <w:p>
            <w:pPr>
              <w:adjustRightInd w:val="0"/>
              <w:snapToGrid w:val="0"/>
              <w:spacing w:line="360" w:lineRule="auto"/>
              <w:ind w:firstLine="480" w:firstLineChars="200"/>
              <w:rPr>
                <w:color w:val="auto"/>
              </w:rPr>
            </w:pPr>
            <w:r>
              <w:rPr>
                <w:color w:val="auto"/>
              </w:rPr>
              <w:t>本项目所在场地为非基本农田保护区，根据峨边彝族自治县自然资源局出具的《建设项目用地预审与选址意见书》（峨2002-39号），本项目的建设符合国土空间用途管制要求、符合峨边彝族自治县总体规划。</w:t>
            </w:r>
          </w:p>
          <w:p>
            <w:pPr>
              <w:widowControl/>
              <w:adjustRightInd w:val="0"/>
              <w:snapToGrid w:val="0"/>
              <w:spacing w:line="360" w:lineRule="auto"/>
              <w:ind w:firstLine="460"/>
              <w:rPr>
                <w:color w:val="auto"/>
              </w:rPr>
            </w:pPr>
            <w:r>
              <w:rPr>
                <w:color w:val="auto"/>
              </w:rPr>
              <w:t>（2）与《四川省农村生活污水治理三年推进方案》（川环发〔2020〕13号）相符性分析</w:t>
            </w:r>
          </w:p>
          <w:p>
            <w:pPr>
              <w:adjustRightInd w:val="0"/>
              <w:snapToGrid w:val="0"/>
              <w:spacing w:line="360" w:lineRule="auto"/>
              <w:ind w:firstLine="480" w:firstLineChars="200"/>
              <w:rPr>
                <w:color w:val="auto"/>
              </w:rPr>
            </w:pPr>
            <w:r>
              <w:rPr>
                <w:color w:val="auto"/>
              </w:rPr>
              <w:t>根据《四川省农村生活污水治理三年推进方案》（川环发〔2020〕13号）的要求中，第四点：加快污水处理设施及配套管网建设。持续开展农村生活污水治理“千村示范工程”建设，探索并推广成熟经验。优先安排农村居民聚居点（区）建设生活污水处理设施，统筹推进乡人民政府所在地（乡集镇）的污水治理，有序开展污水处理设施建设。根据村庄格局、地形地貌等合理确定污水管网（沟）布设方案，配套管网须与新建污水处理设施同步设计、同步建设、同步验收。常住人口1000人以上和600人以上的聚居点（区）分别于2020年底和2021年底实现农村生活污水基本得到有效治理；到2022年底，乡人民政府所在地（乡集镇）实现污水处理设施全覆盖。</w:t>
            </w:r>
          </w:p>
          <w:p>
            <w:pPr>
              <w:adjustRightInd w:val="0"/>
              <w:snapToGrid w:val="0"/>
              <w:spacing w:line="360" w:lineRule="auto"/>
              <w:ind w:firstLine="480" w:firstLineChars="200"/>
              <w:rPr>
                <w:color w:val="auto"/>
              </w:rPr>
            </w:pPr>
            <w:r>
              <w:rPr>
                <w:color w:val="auto"/>
              </w:rPr>
              <w:t>本项目为峨边彝族自治县宜坪乡桐花村农村生活污水治理项目，符合《四川省农村生活污水治理三年推进方案》（川环发〔2020〕13号）的相关要求。</w:t>
            </w:r>
          </w:p>
          <w:p>
            <w:pPr>
              <w:adjustRightInd w:val="0"/>
              <w:snapToGrid w:val="0"/>
              <w:spacing w:line="360" w:lineRule="auto"/>
              <w:ind w:firstLine="480" w:firstLineChars="200"/>
              <w:rPr>
                <w:color w:val="auto"/>
              </w:rPr>
            </w:pPr>
            <w:r>
              <w:rPr>
                <w:color w:val="auto"/>
              </w:rPr>
              <w:t>（3）项目选址合理性分析</w:t>
            </w:r>
          </w:p>
          <w:p>
            <w:pPr>
              <w:adjustRightInd w:val="0"/>
              <w:snapToGrid w:val="0"/>
              <w:spacing w:line="360" w:lineRule="auto"/>
              <w:ind w:firstLine="480" w:firstLineChars="200"/>
              <w:rPr>
                <w:color w:val="auto"/>
              </w:rPr>
            </w:pPr>
            <w:r>
              <w:rPr>
                <w:color w:val="auto"/>
              </w:rPr>
              <w:t>本项目位于峨边彝族自治县宜坪乡桐花村，项目所在区域内电力、电讯、给水、交通等基础配套设施较齐全。具体位置见附图1。</w:t>
            </w:r>
          </w:p>
          <w:p>
            <w:pPr>
              <w:adjustRightInd w:val="0"/>
              <w:snapToGrid w:val="0"/>
              <w:spacing w:line="360" w:lineRule="auto"/>
              <w:ind w:firstLine="480" w:firstLineChars="200"/>
              <w:rPr>
                <w:color w:val="auto"/>
              </w:rPr>
            </w:pPr>
            <w:r>
              <w:rPr>
                <w:color w:val="auto"/>
              </w:rPr>
              <w:t>其中，“化粪池1+MBR一体化设备”污水处理设施位于宜坪乡桐花村南侧，紧邻官料河，地形高程约613m，地势条件较好，位于桐花村较低出，地势高差约50m。宜坪乡桐花村居民排放的生活污水可自流进入一体化污水处理设备，无需泵提升。污水处理设备南侧为官料河，桐花村生活污水经处理达标后可就近排入官料河。</w:t>
            </w:r>
          </w:p>
          <w:p>
            <w:pPr>
              <w:adjustRightInd w:val="0"/>
              <w:snapToGrid w:val="0"/>
              <w:spacing w:line="360" w:lineRule="auto"/>
              <w:ind w:firstLine="480" w:firstLineChars="200"/>
              <w:rPr>
                <w:color w:val="auto"/>
              </w:rPr>
            </w:pPr>
            <w:r>
              <w:rPr>
                <w:color w:val="auto"/>
              </w:rPr>
              <w:t>“化粪池2+人工湿地”污水处理设施位于宜坪乡桐花村西南侧，地形高程约671m，地势条件较好，地高差约5m。宜坪乡桐花村居民排放的生活污水可自流进入化粪池2，无需泵提升。桐花村生活污水经化粪池2处理后进入人工湿地。</w:t>
            </w:r>
          </w:p>
          <w:p>
            <w:pPr>
              <w:adjustRightInd w:val="0"/>
              <w:snapToGrid w:val="0"/>
              <w:spacing w:line="360" w:lineRule="auto"/>
              <w:ind w:firstLine="480" w:firstLineChars="200"/>
              <w:rPr>
                <w:color w:val="auto"/>
              </w:rPr>
            </w:pPr>
            <w:r>
              <w:rPr>
                <w:color w:val="auto"/>
              </w:rPr>
              <w:t>“化粪池3+人工湿地”污水处理设施位于宜坪乡桐花村西侧，地形高程约669m，地势条件较好，地高差约8m。宜坪乡桐花村居民排放的生活污水可自流进入化粪池3，无需泵提升。桐花村生活污水经化粪池3处理后进入人工湿地。</w:t>
            </w:r>
          </w:p>
          <w:p>
            <w:pPr>
              <w:adjustRightInd w:val="0"/>
              <w:snapToGrid w:val="0"/>
              <w:spacing w:line="360" w:lineRule="auto"/>
              <w:ind w:firstLine="480" w:firstLineChars="200"/>
              <w:rPr>
                <w:color w:val="auto"/>
              </w:rPr>
            </w:pPr>
            <w:r>
              <w:rPr>
                <w:color w:val="auto"/>
              </w:rPr>
              <w:t>宜坪乡桐花村污水治理项目管网设计方案能够充分利用重力流，管线沿道路布置，施工较方便。</w:t>
            </w:r>
          </w:p>
          <w:p>
            <w:pPr>
              <w:adjustRightInd w:val="0"/>
              <w:snapToGrid w:val="0"/>
              <w:spacing w:line="360" w:lineRule="auto"/>
              <w:ind w:firstLine="480" w:firstLineChars="200"/>
              <w:rPr>
                <w:color w:val="auto"/>
              </w:rPr>
            </w:pPr>
            <w:r>
              <w:rPr>
                <w:color w:val="auto"/>
              </w:rPr>
              <w:t>综上所述，本项目的选址合理。</w:t>
            </w:r>
          </w:p>
          <w:p>
            <w:pPr>
              <w:adjustRightInd w:val="0"/>
              <w:snapToGrid w:val="0"/>
              <w:spacing w:line="360" w:lineRule="auto"/>
              <w:ind w:firstLine="480" w:firstLineChars="200"/>
              <w:rPr>
                <w:color w:val="auto"/>
              </w:rPr>
            </w:pPr>
            <w:r>
              <w:rPr>
                <w:color w:val="auto"/>
              </w:rPr>
              <w:t>（4）外环境相容性分析</w:t>
            </w:r>
          </w:p>
          <w:p>
            <w:pPr>
              <w:adjustRightInd w:val="0"/>
              <w:snapToGrid w:val="0"/>
              <w:spacing w:line="360" w:lineRule="auto"/>
              <w:ind w:firstLine="480" w:firstLineChars="200"/>
              <w:rPr>
                <w:color w:val="auto"/>
              </w:rPr>
            </w:pPr>
            <w:r>
              <w:rPr>
                <w:color w:val="auto"/>
              </w:rPr>
              <w:t>1）“化粪池1+MBR一体化设备”污水处理设施：</w:t>
            </w:r>
          </w:p>
          <w:p>
            <w:pPr>
              <w:adjustRightInd w:val="0"/>
              <w:snapToGrid w:val="0"/>
              <w:spacing w:line="360" w:lineRule="auto"/>
              <w:ind w:firstLine="480" w:firstLineChars="200"/>
              <w:rPr>
                <w:color w:val="auto"/>
              </w:rPr>
            </w:pPr>
            <w:r>
              <w:rPr>
                <w:color w:val="auto"/>
              </w:rPr>
              <w:t>该污水治理项目位于桐花村南侧（东经103°11′21″，北纬29°13′29″），根据现场勘察，该污水治理设施东侧为一片空地；南侧与县道X149相邻，与官料河相邻；西侧为一片空地；北侧为一片空地，北侧100m处为桐花村居民。</w:t>
            </w:r>
          </w:p>
          <w:p>
            <w:pPr>
              <w:adjustRightInd w:val="0"/>
              <w:snapToGrid w:val="0"/>
              <w:spacing w:line="360" w:lineRule="auto"/>
              <w:ind w:firstLine="480" w:firstLineChars="200"/>
              <w:rPr>
                <w:color w:val="auto"/>
              </w:rPr>
            </w:pPr>
            <w:r>
              <w:rPr>
                <w:color w:val="auto"/>
              </w:rPr>
              <w:t>2）化粪池2+人工湿地：</w:t>
            </w:r>
          </w:p>
          <w:p>
            <w:pPr>
              <w:adjustRightInd w:val="0"/>
              <w:snapToGrid w:val="0"/>
              <w:spacing w:line="360" w:lineRule="auto"/>
              <w:ind w:firstLine="480" w:firstLineChars="200"/>
              <w:rPr>
                <w:color w:val="auto"/>
              </w:rPr>
            </w:pPr>
            <w:r>
              <w:rPr>
                <w:color w:val="auto"/>
              </w:rPr>
              <w:t>该污水治理项目位于桐花村西南侧（东经103°11′18″，北纬29°13′33″），根据现场勘察，该污水治理设施东侧为空地，东侧25m处为桐花村居民；南侧为空地，南侧115m处为县道X149，县道X149与官料河相邻；西侧为空地，西侧20m处为桐花村居民；北侧5m处为桐花村居民。</w:t>
            </w:r>
          </w:p>
          <w:p>
            <w:pPr>
              <w:adjustRightInd w:val="0"/>
              <w:snapToGrid w:val="0"/>
              <w:spacing w:line="360" w:lineRule="auto"/>
              <w:ind w:firstLine="480" w:firstLineChars="200"/>
              <w:rPr>
                <w:color w:val="auto"/>
              </w:rPr>
            </w:pPr>
            <w:r>
              <w:rPr>
                <w:color w:val="auto"/>
              </w:rPr>
              <w:t>3）化粪池3+人工湿地：</w:t>
            </w:r>
          </w:p>
          <w:p>
            <w:pPr>
              <w:adjustRightInd w:val="0"/>
              <w:snapToGrid w:val="0"/>
              <w:spacing w:line="360" w:lineRule="auto"/>
              <w:ind w:firstLine="480" w:firstLineChars="200"/>
              <w:rPr>
                <w:color w:val="auto"/>
              </w:rPr>
            </w:pPr>
            <w:r>
              <w:rPr>
                <w:color w:val="auto"/>
              </w:rPr>
              <w:t>该污水治理项目位于桐花村西南侧（东经103°11′9″，北纬29°13′34″），根据现场勘察，该污水治理设施东侧为空地，东侧120m处为桐花村居民；南侧为空地，南侧150m处为县道X149县道X149与官料河相邻；西侧为空地；北侧为空地。</w:t>
            </w:r>
          </w:p>
          <w:p>
            <w:pPr>
              <w:adjustRightInd w:val="0"/>
              <w:snapToGrid w:val="0"/>
              <w:spacing w:line="360" w:lineRule="auto"/>
              <w:ind w:firstLine="480" w:firstLineChars="200"/>
              <w:rPr>
                <w:color w:val="auto"/>
              </w:rPr>
            </w:pPr>
            <w:r>
              <w:rPr>
                <w:color w:val="auto"/>
              </w:rPr>
              <w:t>（5）“三线一单”符合性分析</w:t>
            </w:r>
          </w:p>
          <w:p>
            <w:pPr>
              <w:adjustRightInd w:val="0"/>
              <w:snapToGrid w:val="0"/>
              <w:spacing w:line="360" w:lineRule="auto"/>
              <w:ind w:firstLine="480"/>
              <w:rPr>
                <w:color w:val="auto"/>
              </w:rPr>
            </w:pPr>
            <w:r>
              <w:rPr>
                <w:color w:val="auto"/>
              </w:rPr>
              <w:t>1）生态保护红线</w:t>
            </w:r>
          </w:p>
          <w:p>
            <w:pPr>
              <w:adjustRightInd w:val="0"/>
              <w:snapToGrid w:val="0"/>
              <w:spacing w:line="360" w:lineRule="auto"/>
              <w:ind w:firstLine="480"/>
              <w:rPr>
                <w:color w:val="auto"/>
              </w:rPr>
            </w:pPr>
            <w:r>
              <w:rPr>
                <w:color w:val="auto"/>
              </w:rPr>
              <w:t>根据《四川省人民政府关于印发四川省生态保护红线实施意见的通知》（川府发[2016]45号）：</w:t>
            </w:r>
          </w:p>
          <w:p>
            <w:pPr>
              <w:adjustRightInd w:val="0"/>
              <w:snapToGrid w:val="0"/>
              <w:spacing w:line="360" w:lineRule="auto"/>
              <w:ind w:firstLine="480" w:firstLineChars="200"/>
              <w:rPr>
                <w:color w:val="auto"/>
              </w:rPr>
            </w:pPr>
            <w:r>
              <w:rPr>
                <w:color w:val="auto"/>
              </w:rPr>
              <w:t>①管控区域</w:t>
            </w:r>
          </w:p>
          <w:p>
            <w:pPr>
              <w:adjustRightInd w:val="0"/>
              <w:snapToGrid w:val="0"/>
              <w:spacing w:line="360" w:lineRule="auto"/>
              <w:ind w:firstLine="480" w:firstLineChars="200"/>
              <w:rPr>
                <w:color w:val="auto"/>
              </w:rPr>
            </w:pPr>
            <w:r>
              <w:rPr>
                <w:color w:val="auto"/>
              </w:rPr>
              <w:t>四川省生态保护红线的空间格局为“四轴九核”，总面积为19.7万平方公里，占全省辖区面积的40.6%。其中一类管控区3.8万平方公里，约占比7.8%；二类管控区15.9万平方公里，约占比32.8%。</w:t>
            </w:r>
          </w:p>
          <w:p>
            <w:pPr>
              <w:adjustRightInd w:val="0"/>
              <w:snapToGrid w:val="0"/>
              <w:spacing w:line="360" w:lineRule="auto"/>
              <w:ind w:firstLine="480"/>
              <w:rPr>
                <w:color w:val="auto"/>
              </w:rPr>
            </w:pPr>
            <w:r>
              <w:rPr>
                <w:color w:val="auto"/>
              </w:rPr>
              <w:t>②管控要求</w:t>
            </w:r>
          </w:p>
          <w:p>
            <w:pPr>
              <w:adjustRightInd w:val="0"/>
              <w:snapToGrid w:val="0"/>
              <w:spacing w:line="360" w:lineRule="auto"/>
              <w:ind w:firstLine="480" w:firstLineChars="200"/>
              <w:rPr>
                <w:color w:val="auto"/>
              </w:rPr>
            </w:pPr>
            <w:r>
              <w:rPr>
                <w:color w:val="auto"/>
              </w:rPr>
              <w:t>生态保护红线实施分类管控，按照保护和管理的严格程度，将生态保护红线区划分为一类管控区和二类管控区。划入红线区的自然保护区、森林公园、风景名胜区、地质公园、饮用水水源保护区、湿地公园、水产种质资源保护区等各类自然保护地，要依据已有法律法规实施严格保护。</w:t>
            </w:r>
          </w:p>
          <w:p>
            <w:pPr>
              <w:pStyle w:val="72"/>
              <w:snapToGrid w:val="0"/>
              <w:spacing w:line="360" w:lineRule="auto"/>
              <w:jc w:val="center"/>
              <w:rPr>
                <w:rFonts w:ascii="Times New Roman" w:eastAsia="黑体" w:cs="Times New Roman"/>
                <w:color w:val="auto"/>
                <w:spacing w:val="20"/>
              </w:rPr>
            </w:pPr>
            <w:r>
              <w:rPr>
                <w:rFonts w:ascii="Times New Roman" w:eastAsia="黑体" w:cs="Times New Roman"/>
                <w:color w:val="auto"/>
                <w:spacing w:val="20"/>
              </w:rPr>
              <w:t>表1-1  生态红线区块名称及面积</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5"/>
              <w:gridCol w:w="665"/>
              <w:gridCol w:w="856"/>
              <w:gridCol w:w="838"/>
              <w:gridCol w:w="617"/>
              <w:gridCol w:w="847"/>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840" w:type="dxa"/>
                  <w:gridSpan w:val="7"/>
                  <w:noWrap w:val="0"/>
                  <w:vAlign w:val="center"/>
                </w:tcPr>
                <w:p>
                  <w:pPr>
                    <w:adjustRightInd w:val="0"/>
                    <w:snapToGrid w:val="0"/>
                    <w:jc w:val="center"/>
                    <w:rPr>
                      <w:b/>
                      <w:bCs/>
                      <w:color w:val="auto"/>
                      <w:sz w:val="21"/>
                      <w:szCs w:val="21"/>
                    </w:rPr>
                  </w:pPr>
                  <w:r>
                    <w:rPr>
                      <w:b/>
                      <w:bCs/>
                      <w:color w:val="auto"/>
                      <w:sz w:val="21"/>
                      <w:szCs w:val="21"/>
                    </w:rPr>
                    <w:t>专栏1生态红线区块名称及面积（单位：万平方公里）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vMerge w:val="restart"/>
                  <w:noWrap w:val="0"/>
                  <w:vAlign w:val="center"/>
                </w:tcPr>
                <w:p>
                  <w:pPr>
                    <w:adjustRightInd w:val="0"/>
                    <w:snapToGrid w:val="0"/>
                    <w:jc w:val="center"/>
                    <w:rPr>
                      <w:b/>
                      <w:bCs/>
                      <w:color w:val="auto"/>
                      <w:sz w:val="21"/>
                      <w:szCs w:val="21"/>
                    </w:rPr>
                  </w:pPr>
                  <w:r>
                    <w:rPr>
                      <w:b/>
                      <w:bCs/>
                      <w:color w:val="auto"/>
                      <w:sz w:val="21"/>
                      <w:szCs w:val="21"/>
                    </w:rPr>
                    <w:t>生态红线区块名称</w:t>
                  </w:r>
                </w:p>
              </w:tc>
              <w:tc>
                <w:tcPr>
                  <w:tcW w:w="2359" w:type="dxa"/>
                  <w:gridSpan w:val="3"/>
                  <w:noWrap w:val="0"/>
                  <w:vAlign w:val="center"/>
                </w:tcPr>
                <w:p>
                  <w:pPr>
                    <w:adjustRightInd w:val="0"/>
                    <w:snapToGrid w:val="0"/>
                    <w:jc w:val="center"/>
                    <w:rPr>
                      <w:b/>
                      <w:bCs/>
                      <w:color w:val="auto"/>
                      <w:sz w:val="21"/>
                      <w:szCs w:val="21"/>
                    </w:rPr>
                  </w:pPr>
                  <w:r>
                    <w:rPr>
                      <w:b/>
                      <w:bCs/>
                      <w:color w:val="auto"/>
                      <w:sz w:val="21"/>
                      <w:szCs w:val="21"/>
                    </w:rPr>
                    <w:t>红线区面积</w:t>
                  </w:r>
                </w:p>
              </w:tc>
              <w:tc>
                <w:tcPr>
                  <w:tcW w:w="2266" w:type="dxa"/>
                  <w:gridSpan w:val="3"/>
                  <w:noWrap w:val="0"/>
                  <w:vAlign w:val="center"/>
                </w:tcPr>
                <w:p>
                  <w:pPr>
                    <w:adjustRightInd w:val="0"/>
                    <w:snapToGrid w:val="0"/>
                    <w:jc w:val="center"/>
                    <w:rPr>
                      <w:b/>
                      <w:bCs/>
                      <w:color w:val="auto"/>
                      <w:sz w:val="21"/>
                      <w:szCs w:val="21"/>
                    </w:rPr>
                  </w:pPr>
                  <w:r>
                    <w:rPr>
                      <w:b/>
                      <w:bCs/>
                      <w:color w:val="auto"/>
                      <w:sz w:val="21"/>
                      <w:szCs w:val="21"/>
                    </w:rPr>
                    <w:t>占全省面积比（%）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4215" w:type="dxa"/>
                  <w:vMerge w:val="continue"/>
                  <w:noWrap w:val="0"/>
                  <w:vAlign w:val="center"/>
                </w:tcPr>
                <w:p>
                  <w:pPr>
                    <w:adjustRightInd w:val="0"/>
                    <w:snapToGrid w:val="0"/>
                    <w:jc w:val="center"/>
                    <w:rPr>
                      <w:b/>
                      <w:bCs/>
                      <w:color w:val="auto"/>
                      <w:sz w:val="21"/>
                      <w:szCs w:val="21"/>
                    </w:rPr>
                  </w:pPr>
                </w:p>
              </w:tc>
              <w:tc>
                <w:tcPr>
                  <w:tcW w:w="665" w:type="dxa"/>
                  <w:noWrap w:val="0"/>
                  <w:vAlign w:val="center"/>
                </w:tcPr>
                <w:p>
                  <w:pPr>
                    <w:adjustRightInd w:val="0"/>
                    <w:snapToGrid w:val="0"/>
                    <w:jc w:val="center"/>
                    <w:rPr>
                      <w:b/>
                      <w:bCs/>
                      <w:color w:val="auto"/>
                      <w:sz w:val="21"/>
                      <w:szCs w:val="21"/>
                    </w:rPr>
                  </w:pPr>
                  <w:r>
                    <w:rPr>
                      <w:b/>
                      <w:bCs/>
                      <w:color w:val="auto"/>
                      <w:sz w:val="21"/>
                      <w:szCs w:val="21"/>
                    </w:rPr>
                    <w:t>总</w:t>
                  </w:r>
                </w:p>
                <w:p>
                  <w:pPr>
                    <w:adjustRightInd w:val="0"/>
                    <w:snapToGrid w:val="0"/>
                    <w:jc w:val="center"/>
                    <w:rPr>
                      <w:b/>
                      <w:bCs/>
                      <w:color w:val="auto"/>
                      <w:sz w:val="21"/>
                      <w:szCs w:val="21"/>
                    </w:rPr>
                  </w:pPr>
                  <w:r>
                    <w:rPr>
                      <w:b/>
                      <w:bCs/>
                      <w:color w:val="auto"/>
                      <w:sz w:val="21"/>
                      <w:szCs w:val="21"/>
                    </w:rPr>
                    <w:t>面</w:t>
                  </w:r>
                </w:p>
                <w:p>
                  <w:pPr>
                    <w:adjustRightInd w:val="0"/>
                    <w:snapToGrid w:val="0"/>
                    <w:jc w:val="center"/>
                    <w:rPr>
                      <w:b/>
                      <w:bCs/>
                      <w:color w:val="auto"/>
                      <w:sz w:val="21"/>
                      <w:szCs w:val="21"/>
                    </w:rPr>
                  </w:pPr>
                  <w:r>
                    <w:rPr>
                      <w:b/>
                      <w:bCs/>
                      <w:color w:val="auto"/>
                      <w:sz w:val="21"/>
                      <w:szCs w:val="21"/>
                    </w:rPr>
                    <w:t>积</w:t>
                  </w:r>
                </w:p>
              </w:tc>
              <w:tc>
                <w:tcPr>
                  <w:tcW w:w="856" w:type="dxa"/>
                  <w:noWrap w:val="0"/>
                  <w:vAlign w:val="center"/>
                </w:tcPr>
                <w:p>
                  <w:pPr>
                    <w:adjustRightInd w:val="0"/>
                    <w:snapToGrid w:val="0"/>
                    <w:jc w:val="center"/>
                    <w:rPr>
                      <w:b/>
                      <w:bCs/>
                      <w:color w:val="auto"/>
                      <w:sz w:val="21"/>
                      <w:szCs w:val="21"/>
                    </w:rPr>
                  </w:pPr>
                  <w:r>
                    <w:rPr>
                      <w:b/>
                      <w:bCs/>
                      <w:color w:val="auto"/>
                      <w:sz w:val="21"/>
                      <w:szCs w:val="21"/>
                    </w:rPr>
                    <w:t>一类管控区</w:t>
                  </w:r>
                </w:p>
              </w:tc>
              <w:tc>
                <w:tcPr>
                  <w:tcW w:w="838" w:type="dxa"/>
                  <w:noWrap w:val="0"/>
                  <w:vAlign w:val="center"/>
                </w:tcPr>
                <w:p>
                  <w:pPr>
                    <w:adjustRightInd w:val="0"/>
                    <w:snapToGrid w:val="0"/>
                    <w:jc w:val="center"/>
                    <w:rPr>
                      <w:b/>
                      <w:bCs/>
                      <w:color w:val="auto"/>
                      <w:sz w:val="21"/>
                      <w:szCs w:val="21"/>
                    </w:rPr>
                  </w:pPr>
                  <w:r>
                    <w:rPr>
                      <w:b/>
                      <w:bCs/>
                      <w:color w:val="auto"/>
                      <w:sz w:val="21"/>
                      <w:szCs w:val="21"/>
                    </w:rPr>
                    <w:t>二类</w:t>
                  </w:r>
                </w:p>
                <w:p>
                  <w:pPr>
                    <w:adjustRightInd w:val="0"/>
                    <w:snapToGrid w:val="0"/>
                    <w:jc w:val="center"/>
                    <w:rPr>
                      <w:b/>
                      <w:bCs/>
                      <w:color w:val="auto"/>
                      <w:sz w:val="21"/>
                      <w:szCs w:val="21"/>
                    </w:rPr>
                  </w:pPr>
                  <w:r>
                    <w:rPr>
                      <w:b/>
                      <w:bCs/>
                      <w:color w:val="auto"/>
                      <w:sz w:val="21"/>
                      <w:szCs w:val="21"/>
                    </w:rPr>
                    <w:t>管控区</w:t>
                  </w:r>
                </w:p>
              </w:tc>
              <w:tc>
                <w:tcPr>
                  <w:tcW w:w="617" w:type="dxa"/>
                  <w:noWrap w:val="0"/>
                  <w:vAlign w:val="center"/>
                </w:tcPr>
                <w:p>
                  <w:pPr>
                    <w:adjustRightInd w:val="0"/>
                    <w:snapToGrid w:val="0"/>
                    <w:jc w:val="center"/>
                    <w:rPr>
                      <w:b/>
                      <w:bCs/>
                      <w:color w:val="auto"/>
                      <w:sz w:val="21"/>
                      <w:szCs w:val="21"/>
                    </w:rPr>
                  </w:pPr>
                  <w:r>
                    <w:rPr>
                      <w:b/>
                      <w:bCs/>
                      <w:color w:val="auto"/>
                      <w:sz w:val="21"/>
                      <w:szCs w:val="21"/>
                    </w:rPr>
                    <w:t>总</w:t>
                  </w:r>
                </w:p>
                <w:p>
                  <w:pPr>
                    <w:adjustRightInd w:val="0"/>
                    <w:snapToGrid w:val="0"/>
                    <w:jc w:val="center"/>
                    <w:rPr>
                      <w:b/>
                      <w:bCs/>
                      <w:color w:val="auto"/>
                      <w:sz w:val="21"/>
                      <w:szCs w:val="21"/>
                    </w:rPr>
                  </w:pPr>
                  <w:r>
                    <w:rPr>
                      <w:b/>
                      <w:bCs/>
                      <w:color w:val="auto"/>
                      <w:sz w:val="21"/>
                      <w:szCs w:val="21"/>
                    </w:rPr>
                    <w:t>占</w:t>
                  </w:r>
                </w:p>
                <w:p>
                  <w:pPr>
                    <w:adjustRightInd w:val="0"/>
                    <w:snapToGrid w:val="0"/>
                    <w:jc w:val="center"/>
                    <w:rPr>
                      <w:b/>
                      <w:bCs/>
                      <w:color w:val="auto"/>
                      <w:sz w:val="21"/>
                      <w:szCs w:val="21"/>
                    </w:rPr>
                  </w:pPr>
                  <w:r>
                    <w:rPr>
                      <w:b/>
                      <w:bCs/>
                      <w:color w:val="auto"/>
                      <w:sz w:val="21"/>
                      <w:szCs w:val="21"/>
                    </w:rPr>
                    <w:t>比</w:t>
                  </w:r>
                </w:p>
              </w:tc>
              <w:tc>
                <w:tcPr>
                  <w:tcW w:w="847" w:type="dxa"/>
                  <w:noWrap w:val="0"/>
                  <w:vAlign w:val="center"/>
                </w:tcPr>
                <w:p>
                  <w:pPr>
                    <w:adjustRightInd w:val="0"/>
                    <w:snapToGrid w:val="0"/>
                    <w:jc w:val="center"/>
                    <w:rPr>
                      <w:b/>
                      <w:bCs/>
                      <w:color w:val="auto"/>
                      <w:sz w:val="21"/>
                      <w:szCs w:val="21"/>
                    </w:rPr>
                  </w:pPr>
                  <w:r>
                    <w:rPr>
                      <w:b/>
                      <w:bCs/>
                      <w:color w:val="auto"/>
                      <w:sz w:val="21"/>
                      <w:szCs w:val="21"/>
                    </w:rPr>
                    <w:t>一类管控区</w:t>
                  </w:r>
                </w:p>
              </w:tc>
              <w:tc>
                <w:tcPr>
                  <w:tcW w:w="802" w:type="dxa"/>
                  <w:noWrap w:val="0"/>
                  <w:vAlign w:val="center"/>
                </w:tcPr>
                <w:p>
                  <w:pPr>
                    <w:adjustRightInd w:val="0"/>
                    <w:snapToGrid w:val="0"/>
                    <w:jc w:val="center"/>
                    <w:rPr>
                      <w:b/>
                      <w:bCs/>
                      <w:color w:val="auto"/>
                      <w:sz w:val="21"/>
                      <w:szCs w:val="21"/>
                    </w:rPr>
                  </w:pPr>
                  <w:r>
                    <w:rPr>
                      <w:b/>
                      <w:bCs/>
                      <w:color w:val="auto"/>
                      <w:sz w:val="21"/>
                      <w:szCs w:val="21"/>
                    </w:rPr>
                    <w:t>二类管控区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合计</w:t>
                  </w:r>
                </w:p>
              </w:tc>
              <w:tc>
                <w:tcPr>
                  <w:tcW w:w="665" w:type="dxa"/>
                  <w:noWrap w:val="0"/>
                  <w:vAlign w:val="center"/>
                </w:tcPr>
                <w:p>
                  <w:pPr>
                    <w:adjustRightInd w:val="0"/>
                    <w:snapToGrid w:val="0"/>
                    <w:jc w:val="center"/>
                    <w:rPr>
                      <w:color w:val="auto"/>
                      <w:sz w:val="21"/>
                      <w:szCs w:val="21"/>
                    </w:rPr>
                  </w:pPr>
                  <w:r>
                    <w:rPr>
                      <w:color w:val="auto"/>
                      <w:sz w:val="21"/>
                      <w:szCs w:val="21"/>
                    </w:rPr>
                    <w:t>19.7</w:t>
                  </w:r>
                </w:p>
              </w:tc>
              <w:tc>
                <w:tcPr>
                  <w:tcW w:w="856" w:type="dxa"/>
                  <w:noWrap w:val="0"/>
                  <w:vAlign w:val="center"/>
                </w:tcPr>
                <w:p>
                  <w:pPr>
                    <w:adjustRightInd w:val="0"/>
                    <w:snapToGrid w:val="0"/>
                    <w:jc w:val="center"/>
                    <w:rPr>
                      <w:color w:val="auto"/>
                      <w:sz w:val="21"/>
                      <w:szCs w:val="21"/>
                    </w:rPr>
                  </w:pPr>
                  <w:r>
                    <w:rPr>
                      <w:color w:val="auto"/>
                      <w:sz w:val="21"/>
                      <w:szCs w:val="21"/>
                    </w:rPr>
                    <w:t>3.8</w:t>
                  </w:r>
                </w:p>
              </w:tc>
              <w:tc>
                <w:tcPr>
                  <w:tcW w:w="838" w:type="dxa"/>
                  <w:noWrap w:val="0"/>
                  <w:vAlign w:val="center"/>
                </w:tcPr>
                <w:p>
                  <w:pPr>
                    <w:adjustRightInd w:val="0"/>
                    <w:snapToGrid w:val="0"/>
                    <w:jc w:val="center"/>
                    <w:rPr>
                      <w:color w:val="auto"/>
                      <w:sz w:val="21"/>
                      <w:szCs w:val="21"/>
                    </w:rPr>
                  </w:pPr>
                  <w:r>
                    <w:rPr>
                      <w:color w:val="auto"/>
                      <w:sz w:val="21"/>
                      <w:szCs w:val="21"/>
                    </w:rPr>
                    <w:t>15.9</w:t>
                  </w:r>
                </w:p>
              </w:tc>
              <w:tc>
                <w:tcPr>
                  <w:tcW w:w="617" w:type="dxa"/>
                  <w:noWrap w:val="0"/>
                  <w:vAlign w:val="center"/>
                </w:tcPr>
                <w:p>
                  <w:pPr>
                    <w:adjustRightInd w:val="0"/>
                    <w:snapToGrid w:val="0"/>
                    <w:jc w:val="center"/>
                    <w:rPr>
                      <w:color w:val="auto"/>
                      <w:sz w:val="21"/>
                      <w:szCs w:val="21"/>
                    </w:rPr>
                  </w:pPr>
                  <w:r>
                    <w:rPr>
                      <w:color w:val="auto"/>
                      <w:sz w:val="21"/>
                      <w:szCs w:val="21"/>
                    </w:rPr>
                    <w:t>40.6</w:t>
                  </w:r>
                </w:p>
              </w:tc>
              <w:tc>
                <w:tcPr>
                  <w:tcW w:w="847" w:type="dxa"/>
                  <w:noWrap w:val="0"/>
                  <w:vAlign w:val="center"/>
                </w:tcPr>
                <w:p>
                  <w:pPr>
                    <w:adjustRightInd w:val="0"/>
                    <w:snapToGrid w:val="0"/>
                    <w:jc w:val="center"/>
                    <w:rPr>
                      <w:color w:val="auto"/>
                      <w:sz w:val="21"/>
                      <w:szCs w:val="21"/>
                    </w:rPr>
                  </w:pPr>
                  <w:r>
                    <w:rPr>
                      <w:color w:val="auto"/>
                      <w:sz w:val="21"/>
                      <w:szCs w:val="21"/>
                    </w:rPr>
                    <w:t>7.8</w:t>
                  </w:r>
                </w:p>
              </w:tc>
              <w:tc>
                <w:tcPr>
                  <w:tcW w:w="802" w:type="dxa"/>
                  <w:noWrap w:val="0"/>
                  <w:vAlign w:val="center"/>
                </w:tcPr>
                <w:p>
                  <w:pPr>
                    <w:adjustRightInd w:val="0"/>
                    <w:snapToGrid w:val="0"/>
                    <w:jc w:val="center"/>
                    <w:rPr>
                      <w:color w:val="auto"/>
                      <w:sz w:val="21"/>
                      <w:szCs w:val="21"/>
                    </w:rPr>
                  </w:pPr>
                  <w:r>
                    <w:rPr>
                      <w:color w:val="auto"/>
                      <w:sz w:val="21"/>
                      <w:szCs w:val="21"/>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雅砻江源水源涵养红线区</w:t>
                  </w:r>
                </w:p>
              </w:tc>
              <w:tc>
                <w:tcPr>
                  <w:tcW w:w="665" w:type="dxa"/>
                  <w:noWrap w:val="0"/>
                  <w:vAlign w:val="center"/>
                </w:tcPr>
                <w:p>
                  <w:pPr>
                    <w:adjustRightInd w:val="0"/>
                    <w:snapToGrid w:val="0"/>
                    <w:jc w:val="center"/>
                    <w:rPr>
                      <w:color w:val="auto"/>
                      <w:sz w:val="21"/>
                      <w:szCs w:val="21"/>
                    </w:rPr>
                  </w:pPr>
                  <w:r>
                    <w:rPr>
                      <w:color w:val="auto"/>
                      <w:sz w:val="21"/>
                      <w:szCs w:val="21"/>
                    </w:rPr>
                    <w:t>4.0</w:t>
                  </w:r>
                </w:p>
              </w:tc>
              <w:tc>
                <w:tcPr>
                  <w:tcW w:w="856" w:type="dxa"/>
                  <w:noWrap w:val="0"/>
                  <w:vAlign w:val="center"/>
                </w:tcPr>
                <w:p>
                  <w:pPr>
                    <w:adjustRightInd w:val="0"/>
                    <w:snapToGrid w:val="0"/>
                    <w:jc w:val="center"/>
                    <w:rPr>
                      <w:color w:val="auto"/>
                      <w:sz w:val="21"/>
                      <w:szCs w:val="21"/>
                    </w:rPr>
                  </w:pPr>
                  <w:r>
                    <w:rPr>
                      <w:color w:val="auto"/>
                      <w:sz w:val="21"/>
                      <w:szCs w:val="21"/>
                    </w:rPr>
                    <w:t>0.5</w:t>
                  </w:r>
                </w:p>
              </w:tc>
              <w:tc>
                <w:tcPr>
                  <w:tcW w:w="838" w:type="dxa"/>
                  <w:noWrap w:val="0"/>
                  <w:vAlign w:val="center"/>
                </w:tcPr>
                <w:p>
                  <w:pPr>
                    <w:adjustRightInd w:val="0"/>
                    <w:snapToGrid w:val="0"/>
                    <w:jc w:val="center"/>
                    <w:rPr>
                      <w:color w:val="auto"/>
                      <w:sz w:val="21"/>
                      <w:szCs w:val="21"/>
                    </w:rPr>
                  </w:pPr>
                  <w:r>
                    <w:rPr>
                      <w:color w:val="auto"/>
                      <w:sz w:val="21"/>
                      <w:szCs w:val="21"/>
                    </w:rPr>
                    <w:t>3.6</w:t>
                  </w:r>
                </w:p>
              </w:tc>
              <w:tc>
                <w:tcPr>
                  <w:tcW w:w="617" w:type="dxa"/>
                  <w:noWrap w:val="0"/>
                  <w:vAlign w:val="center"/>
                </w:tcPr>
                <w:p>
                  <w:pPr>
                    <w:adjustRightInd w:val="0"/>
                    <w:snapToGrid w:val="0"/>
                    <w:jc w:val="center"/>
                    <w:rPr>
                      <w:color w:val="auto"/>
                      <w:sz w:val="21"/>
                      <w:szCs w:val="21"/>
                    </w:rPr>
                  </w:pPr>
                  <w:r>
                    <w:rPr>
                      <w:color w:val="auto"/>
                      <w:sz w:val="21"/>
                      <w:szCs w:val="21"/>
                    </w:rPr>
                    <w:t>8.3</w:t>
                  </w:r>
                </w:p>
              </w:tc>
              <w:tc>
                <w:tcPr>
                  <w:tcW w:w="847" w:type="dxa"/>
                  <w:noWrap w:val="0"/>
                  <w:vAlign w:val="center"/>
                </w:tcPr>
                <w:p>
                  <w:pPr>
                    <w:adjustRightInd w:val="0"/>
                    <w:snapToGrid w:val="0"/>
                    <w:jc w:val="center"/>
                    <w:rPr>
                      <w:color w:val="auto"/>
                      <w:sz w:val="21"/>
                      <w:szCs w:val="21"/>
                    </w:rPr>
                  </w:pPr>
                  <w:r>
                    <w:rPr>
                      <w:color w:val="auto"/>
                      <w:sz w:val="21"/>
                      <w:szCs w:val="21"/>
                    </w:rPr>
                    <w:t>0.9</w:t>
                  </w:r>
                </w:p>
              </w:tc>
              <w:tc>
                <w:tcPr>
                  <w:tcW w:w="802" w:type="dxa"/>
                  <w:noWrap w:val="0"/>
                  <w:vAlign w:val="center"/>
                </w:tcPr>
                <w:p>
                  <w:pPr>
                    <w:adjustRightInd w:val="0"/>
                    <w:snapToGrid w:val="0"/>
                    <w:jc w:val="center"/>
                    <w:rPr>
                      <w:color w:val="auto"/>
                      <w:sz w:val="21"/>
                      <w:szCs w:val="21"/>
                    </w:rPr>
                  </w:pPr>
                  <w:r>
                    <w:rPr>
                      <w:color w:val="auto"/>
                      <w:sz w:val="21"/>
                      <w:szCs w:val="21"/>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大渡河源水源涵养红线区</w:t>
                  </w:r>
                </w:p>
              </w:tc>
              <w:tc>
                <w:tcPr>
                  <w:tcW w:w="665" w:type="dxa"/>
                  <w:noWrap w:val="0"/>
                  <w:vAlign w:val="center"/>
                </w:tcPr>
                <w:p>
                  <w:pPr>
                    <w:adjustRightInd w:val="0"/>
                    <w:snapToGrid w:val="0"/>
                    <w:jc w:val="center"/>
                    <w:rPr>
                      <w:color w:val="auto"/>
                      <w:sz w:val="21"/>
                      <w:szCs w:val="21"/>
                    </w:rPr>
                  </w:pPr>
                  <w:r>
                    <w:rPr>
                      <w:color w:val="auto"/>
                      <w:sz w:val="21"/>
                      <w:szCs w:val="21"/>
                    </w:rPr>
                    <w:t>1.8</w:t>
                  </w:r>
                </w:p>
              </w:tc>
              <w:tc>
                <w:tcPr>
                  <w:tcW w:w="856" w:type="dxa"/>
                  <w:noWrap w:val="0"/>
                  <w:vAlign w:val="center"/>
                </w:tcPr>
                <w:p>
                  <w:pPr>
                    <w:adjustRightInd w:val="0"/>
                    <w:snapToGrid w:val="0"/>
                    <w:jc w:val="center"/>
                    <w:rPr>
                      <w:color w:val="auto"/>
                      <w:sz w:val="21"/>
                      <w:szCs w:val="21"/>
                    </w:rPr>
                  </w:pPr>
                  <w:r>
                    <w:rPr>
                      <w:color w:val="auto"/>
                      <w:sz w:val="21"/>
                      <w:szCs w:val="21"/>
                    </w:rPr>
                    <w:t>0.1</w:t>
                  </w:r>
                </w:p>
              </w:tc>
              <w:tc>
                <w:tcPr>
                  <w:tcW w:w="838" w:type="dxa"/>
                  <w:noWrap w:val="0"/>
                  <w:vAlign w:val="center"/>
                </w:tcPr>
                <w:p>
                  <w:pPr>
                    <w:adjustRightInd w:val="0"/>
                    <w:snapToGrid w:val="0"/>
                    <w:jc w:val="center"/>
                    <w:rPr>
                      <w:color w:val="auto"/>
                      <w:sz w:val="21"/>
                      <w:szCs w:val="21"/>
                    </w:rPr>
                  </w:pPr>
                  <w:r>
                    <w:rPr>
                      <w:color w:val="auto"/>
                      <w:sz w:val="21"/>
                      <w:szCs w:val="21"/>
                    </w:rPr>
                    <w:t>1.7</w:t>
                  </w:r>
                </w:p>
              </w:tc>
              <w:tc>
                <w:tcPr>
                  <w:tcW w:w="617" w:type="dxa"/>
                  <w:noWrap w:val="0"/>
                  <w:vAlign w:val="center"/>
                </w:tcPr>
                <w:p>
                  <w:pPr>
                    <w:adjustRightInd w:val="0"/>
                    <w:snapToGrid w:val="0"/>
                    <w:jc w:val="center"/>
                    <w:rPr>
                      <w:color w:val="auto"/>
                      <w:sz w:val="21"/>
                      <w:szCs w:val="21"/>
                    </w:rPr>
                  </w:pPr>
                  <w:r>
                    <w:rPr>
                      <w:color w:val="auto"/>
                      <w:sz w:val="21"/>
                      <w:szCs w:val="21"/>
                    </w:rPr>
                    <w:t>3.8</w:t>
                  </w:r>
                </w:p>
              </w:tc>
              <w:tc>
                <w:tcPr>
                  <w:tcW w:w="847" w:type="dxa"/>
                  <w:noWrap w:val="0"/>
                  <w:vAlign w:val="center"/>
                </w:tcPr>
                <w:p>
                  <w:pPr>
                    <w:adjustRightInd w:val="0"/>
                    <w:snapToGrid w:val="0"/>
                    <w:jc w:val="center"/>
                    <w:rPr>
                      <w:color w:val="auto"/>
                      <w:sz w:val="21"/>
                      <w:szCs w:val="21"/>
                    </w:rPr>
                  </w:pPr>
                  <w:r>
                    <w:rPr>
                      <w:color w:val="auto"/>
                      <w:sz w:val="21"/>
                      <w:szCs w:val="21"/>
                    </w:rPr>
                    <w:t>0.2</w:t>
                  </w:r>
                </w:p>
              </w:tc>
              <w:tc>
                <w:tcPr>
                  <w:tcW w:w="802" w:type="dxa"/>
                  <w:noWrap w:val="0"/>
                  <w:vAlign w:val="center"/>
                </w:tcPr>
                <w:p>
                  <w:pPr>
                    <w:adjustRightInd w:val="0"/>
                    <w:snapToGrid w:val="0"/>
                    <w:jc w:val="center"/>
                    <w:rPr>
                      <w:color w:val="auto"/>
                      <w:sz w:val="21"/>
                      <w:szCs w:val="21"/>
                    </w:rPr>
                  </w:pPr>
                  <w:r>
                    <w:rPr>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黄河源水源涵养-生物多样性保护红线区</w:t>
                  </w:r>
                </w:p>
              </w:tc>
              <w:tc>
                <w:tcPr>
                  <w:tcW w:w="665" w:type="dxa"/>
                  <w:noWrap w:val="0"/>
                  <w:vAlign w:val="center"/>
                </w:tcPr>
                <w:p>
                  <w:pPr>
                    <w:adjustRightInd w:val="0"/>
                    <w:snapToGrid w:val="0"/>
                    <w:jc w:val="center"/>
                    <w:rPr>
                      <w:color w:val="auto"/>
                      <w:sz w:val="21"/>
                      <w:szCs w:val="21"/>
                    </w:rPr>
                  </w:pPr>
                  <w:r>
                    <w:rPr>
                      <w:color w:val="auto"/>
                      <w:sz w:val="21"/>
                      <w:szCs w:val="21"/>
                    </w:rPr>
                    <w:t>1.3</w:t>
                  </w:r>
                </w:p>
              </w:tc>
              <w:tc>
                <w:tcPr>
                  <w:tcW w:w="856" w:type="dxa"/>
                  <w:noWrap w:val="0"/>
                  <w:vAlign w:val="center"/>
                </w:tcPr>
                <w:p>
                  <w:pPr>
                    <w:adjustRightInd w:val="0"/>
                    <w:snapToGrid w:val="0"/>
                    <w:jc w:val="center"/>
                    <w:rPr>
                      <w:color w:val="auto"/>
                      <w:sz w:val="21"/>
                      <w:szCs w:val="21"/>
                    </w:rPr>
                  </w:pPr>
                  <w:r>
                    <w:rPr>
                      <w:color w:val="auto"/>
                      <w:sz w:val="21"/>
                      <w:szCs w:val="21"/>
                    </w:rPr>
                    <w:t>0.2</w:t>
                  </w:r>
                </w:p>
              </w:tc>
              <w:tc>
                <w:tcPr>
                  <w:tcW w:w="838" w:type="dxa"/>
                  <w:noWrap w:val="0"/>
                  <w:vAlign w:val="center"/>
                </w:tcPr>
                <w:p>
                  <w:pPr>
                    <w:adjustRightInd w:val="0"/>
                    <w:snapToGrid w:val="0"/>
                    <w:jc w:val="center"/>
                    <w:rPr>
                      <w:color w:val="auto"/>
                      <w:sz w:val="21"/>
                      <w:szCs w:val="21"/>
                    </w:rPr>
                  </w:pPr>
                  <w:r>
                    <w:rPr>
                      <w:color w:val="auto"/>
                      <w:sz w:val="21"/>
                      <w:szCs w:val="21"/>
                    </w:rPr>
                    <w:t>1.1</w:t>
                  </w:r>
                </w:p>
              </w:tc>
              <w:tc>
                <w:tcPr>
                  <w:tcW w:w="617" w:type="dxa"/>
                  <w:noWrap w:val="0"/>
                  <w:vAlign w:val="center"/>
                </w:tcPr>
                <w:p>
                  <w:pPr>
                    <w:adjustRightInd w:val="0"/>
                    <w:snapToGrid w:val="0"/>
                    <w:jc w:val="center"/>
                    <w:rPr>
                      <w:color w:val="auto"/>
                      <w:sz w:val="21"/>
                      <w:szCs w:val="21"/>
                    </w:rPr>
                  </w:pPr>
                  <w:r>
                    <w:rPr>
                      <w:color w:val="auto"/>
                      <w:sz w:val="21"/>
                      <w:szCs w:val="21"/>
                    </w:rPr>
                    <w:t>2.7</w:t>
                  </w:r>
                </w:p>
              </w:tc>
              <w:tc>
                <w:tcPr>
                  <w:tcW w:w="847" w:type="dxa"/>
                  <w:noWrap w:val="0"/>
                  <w:vAlign w:val="center"/>
                </w:tcPr>
                <w:p>
                  <w:pPr>
                    <w:adjustRightInd w:val="0"/>
                    <w:snapToGrid w:val="0"/>
                    <w:jc w:val="center"/>
                    <w:rPr>
                      <w:color w:val="auto"/>
                      <w:sz w:val="21"/>
                      <w:szCs w:val="21"/>
                    </w:rPr>
                  </w:pPr>
                  <w:r>
                    <w:rPr>
                      <w:color w:val="auto"/>
                      <w:sz w:val="21"/>
                      <w:szCs w:val="21"/>
                    </w:rPr>
                    <w:t>0.4</w:t>
                  </w:r>
                </w:p>
              </w:tc>
              <w:tc>
                <w:tcPr>
                  <w:tcW w:w="802" w:type="dxa"/>
                  <w:noWrap w:val="0"/>
                  <w:vAlign w:val="center"/>
                </w:tcPr>
                <w:p>
                  <w:pPr>
                    <w:adjustRightInd w:val="0"/>
                    <w:snapToGrid w:val="0"/>
                    <w:jc w:val="center"/>
                    <w:rPr>
                      <w:color w:val="auto"/>
                      <w:sz w:val="21"/>
                      <w:szCs w:val="21"/>
                    </w:rPr>
                  </w:pPr>
                  <w:r>
                    <w:rPr>
                      <w:color w:val="auto"/>
                      <w:sz w:val="21"/>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沙鲁里山生物多样性保护红线区</w:t>
                  </w:r>
                </w:p>
              </w:tc>
              <w:tc>
                <w:tcPr>
                  <w:tcW w:w="665" w:type="dxa"/>
                  <w:noWrap w:val="0"/>
                  <w:vAlign w:val="center"/>
                </w:tcPr>
                <w:p>
                  <w:pPr>
                    <w:adjustRightInd w:val="0"/>
                    <w:snapToGrid w:val="0"/>
                    <w:jc w:val="center"/>
                    <w:rPr>
                      <w:color w:val="auto"/>
                      <w:sz w:val="21"/>
                      <w:szCs w:val="21"/>
                    </w:rPr>
                  </w:pPr>
                  <w:r>
                    <w:rPr>
                      <w:color w:val="auto"/>
                      <w:sz w:val="21"/>
                      <w:szCs w:val="21"/>
                    </w:rPr>
                    <w:t>3.3</w:t>
                  </w:r>
                </w:p>
              </w:tc>
              <w:tc>
                <w:tcPr>
                  <w:tcW w:w="856" w:type="dxa"/>
                  <w:noWrap w:val="0"/>
                  <w:vAlign w:val="center"/>
                </w:tcPr>
                <w:p>
                  <w:pPr>
                    <w:adjustRightInd w:val="0"/>
                    <w:snapToGrid w:val="0"/>
                    <w:jc w:val="center"/>
                    <w:rPr>
                      <w:color w:val="auto"/>
                      <w:sz w:val="21"/>
                      <w:szCs w:val="21"/>
                    </w:rPr>
                  </w:pPr>
                  <w:r>
                    <w:rPr>
                      <w:color w:val="auto"/>
                      <w:sz w:val="21"/>
                      <w:szCs w:val="21"/>
                    </w:rPr>
                    <w:t>0.8</w:t>
                  </w:r>
                </w:p>
              </w:tc>
              <w:tc>
                <w:tcPr>
                  <w:tcW w:w="838" w:type="dxa"/>
                  <w:noWrap w:val="0"/>
                  <w:vAlign w:val="center"/>
                </w:tcPr>
                <w:p>
                  <w:pPr>
                    <w:adjustRightInd w:val="0"/>
                    <w:snapToGrid w:val="0"/>
                    <w:jc w:val="center"/>
                    <w:rPr>
                      <w:color w:val="auto"/>
                      <w:sz w:val="21"/>
                      <w:szCs w:val="21"/>
                    </w:rPr>
                  </w:pPr>
                  <w:r>
                    <w:rPr>
                      <w:color w:val="auto"/>
                      <w:sz w:val="21"/>
                      <w:szCs w:val="21"/>
                    </w:rPr>
                    <w:t>2.5</w:t>
                  </w:r>
                </w:p>
              </w:tc>
              <w:tc>
                <w:tcPr>
                  <w:tcW w:w="617" w:type="dxa"/>
                  <w:noWrap w:val="0"/>
                  <w:vAlign w:val="center"/>
                </w:tcPr>
                <w:p>
                  <w:pPr>
                    <w:adjustRightInd w:val="0"/>
                    <w:snapToGrid w:val="0"/>
                    <w:jc w:val="center"/>
                    <w:rPr>
                      <w:color w:val="auto"/>
                      <w:sz w:val="21"/>
                      <w:szCs w:val="21"/>
                    </w:rPr>
                  </w:pPr>
                  <w:r>
                    <w:rPr>
                      <w:color w:val="auto"/>
                      <w:sz w:val="21"/>
                      <w:szCs w:val="21"/>
                    </w:rPr>
                    <w:t>6.7</w:t>
                  </w:r>
                </w:p>
              </w:tc>
              <w:tc>
                <w:tcPr>
                  <w:tcW w:w="847" w:type="dxa"/>
                  <w:noWrap w:val="0"/>
                  <w:vAlign w:val="center"/>
                </w:tcPr>
                <w:p>
                  <w:pPr>
                    <w:adjustRightInd w:val="0"/>
                    <w:snapToGrid w:val="0"/>
                    <w:jc w:val="center"/>
                    <w:rPr>
                      <w:color w:val="auto"/>
                      <w:sz w:val="21"/>
                      <w:szCs w:val="21"/>
                    </w:rPr>
                  </w:pPr>
                  <w:r>
                    <w:rPr>
                      <w:color w:val="auto"/>
                      <w:sz w:val="21"/>
                      <w:szCs w:val="21"/>
                    </w:rPr>
                    <w:t>1.6</w:t>
                  </w:r>
                </w:p>
              </w:tc>
              <w:tc>
                <w:tcPr>
                  <w:tcW w:w="802" w:type="dxa"/>
                  <w:noWrap w:val="0"/>
                  <w:vAlign w:val="center"/>
                </w:tcPr>
                <w:p>
                  <w:pPr>
                    <w:adjustRightInd w:val="0"/>
                    <w:snapToGrid w:val="0"/>
                    <w:jc w:val="center"/>
                    <w:rPr>
                      <w:color w:val="auto"/>
                      <w:sz w:val="21"/>
                      <w:szCs w:val="21"/>
                    </w:rPr>
                  </w:pPr>
                  <w:r>
                    <w:rPr>
                      <w:color w:val="auto"/>
                      <w:sz w:val="21"/>
                      <w:szCs w:val="21"/>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大雪山生物多样性保护-土壤保持红线区</w:t>
                  </w:r>
                </w:p>
              </w:tc>
              <w:tc>
                <w:tcPr>
                  <w:tcW w:w="665" w:type="dxa"/>
                  <w:noWrap w:val="0"/>
                  <w:vAlign w:val="center"/>
                </w:tcPr>
                <w:p>
                  <w:pPr>
                    <w:adjustRightInd w:val="0"/>
                    <w:snapToGrid w:val="0"/>
                    <w:jc w:val="center"/>
                    <w:rPr>
                      <w:color w:val="auto"/>
                      <w:sz w:val="21"/>
                      <w:szCs w:val="21"/>
                    </w:rPr>
                  </w:pPr>
                  <w:r>
                    <w:rPr>
                      <w:color w:val="auto"/>
                      <w:sz w:val="21"/>
                      <w:szCs w:val="21"/>
                    </w:rPr>
                    <w:t>2.2</w:t>
                  </w:r>
                </w:p>
              </w:tc>
              <w:tc>
                <w:tcPr>
                  <w:tcW w:w="856" w:type="dxa"/>
                  <w:noWrap w:val="0"/>
                  <w:vAlign w:val="center"/>
                </w:tcPr>
                <w:p>
                  <w:pPr>
                    <w:adjustRightInd w:val="0"/>
                    <w:snapToGrid w:val="0"/>
                    <w:jc w:val="center"/>
                    <w:rPr>
                      <w:color w:val="auto"/>
                      <w:sz w:val="21"/>
                      <w:szCs w:val="21"/>
                    </w:rPr>
                  </w:pPr>
                  <w:r>
                    <w:rPr>
                      <w:color w:val="auto"/>
                      <w:sz w:val="21"/>
                      <w:szCs w:val="21"/>
                    </w:rPr>
                    <w:t>0.4</w:t>
                  </w:r>
                </w:p>
              </w:tc>
              <w:tc>
                <w:tcPr>
                  <w:tcW w:w="838" w:type="dxa"/>
                  <w:noWrap w:val="0"/>
                  <w:vAlign w:val="center"/>
                </w:tcPr>
                <w:p>
                  <w:pPr>
                    <w:adjustRightInd w:val="0"/>
                    <w:snapToGrid w:val="0"/>
                    <w:jc w:val="center"/>
                    <w:rPr>
                      <w:color w:val="auto"/>
                      <w:sz w:val="21"/>
                      <w:szCs w:val="21"/>
                    </w:rPr>
                  </w:pPr>
                  <w:r>
                    <w:rPr>
                      <w:color w:val="auto"/>
                      <w:sz w:val="21"/>
                      <w:szCs w:val="21"/>
                    </w:rPr>
                    <w:t>1.8</w:t>
                  </w:r>
                </w:p>
              </w:tc>
              <w:tc>
                <w:tcPr>
                  <w:tcW w:w="617" w:type="dxa"/>
                  <w:noWrap w:val="0"/>
                  <w:vAlign w:val="center"/>
                </w:tcPr>
                <w:p>
                  <w:pPr>
                    <w:adjustRightInd w:val="0"/>
                    <w:snapToGrid w:val="0"/>
                    <w:jc w:val="center"/>
                    <w:rPr>
                      <w:color w:val="auto"/>
                      <w:sz w:val="21"/>
                      <w:szCs w:val="21"/>
                    </w:rPr>
                  </w:pPr>
                  <w:r>
                    <w:rPr>
                      <w:color w:val="auto"/>
                      <w:sz w:val="21"/>
                      <w:szCs w:val="21"/>
                    </w:rPr>
                    <w:t>4.6</w:t>
                  </w:r>
                </w:p>
              </w:tc>
              <w:tc>
                <w:tcPr>
                  <w:tcW w:w="847" w:type="dxa"/>
                  <w:noWrap w:val="0"/>
                  <w:vAlign w:val="center"/>
                </w:tcPr>
                <w:p>
                  <w:pPr>
                    <w:adjustRightInd w:val="0"/>
                    <w:snapToGrid w:val="0"/>
                    <w:jc w:val="center"/>
                    <w:rPr>
                      <w:color w:val="auto"/>
                      <w:sz w:val="21"/>
                      <w:szCs w:val="21"/>
                    </w:rPr>
                  </w:pPr>
                  <w:r>
                    <w:rPr>
                      <w:color w:val="auto"/>
                      <w:sz w:val="21"/>
                      <w:szCs w:val="21"/>
                    </w:rPr>
                    <w:t>0.9</w:t>
                  </w:r>
                </w:p>
              </w:tc>
              <w:tc>
                <w:tcPr>
                  <w:tcW w:w="802" w:type="dxa"/>
                  <w:noWrap w:val="0"/>
                  <w:vAlign w:val="center"/>
                </w:tcPr>
                <w:p>
                  <w:pPr>
                    <w:adjustRightInd w:val="0"/>
                    <w:snapToGrid w:val="0"/>
                    <w:jc w:val="center"/>
                    <w:rPr>
                      <w:color w:val="auto"/>
                      <w:sz w:val="21"/>
                      <w:szCs w:val="21"/>
                    </w:rPr>
                  </w:pPr>
                  <w:r>
                    <w:rPr>
                      <w:color w:val="auto"/>
                      <w:sz w:val="21"/>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岷山生物多样性保护-水源涵养红线区</w:t>
                  </w:r>
                </w:p>
              </w:tc>
              <w:tc>
                <w:tcPr>
                  <w:tcW w:w="665" w:type="dxa"/>
                  <w:noWrap w:val="0"/>
                  <w:vAlign w:val="center"/>
                </w:tcPr>
                <w:p>
                  <w:pPr>
                    <w:adjustRightInd w:val="0"/>
                    <w:snapToGrid w:val="0"/>
                    <w:jc w:val="center"/>
                    <w:rPr>
                      <w:color w:val="auto"/>
                      <w:sz w:val="21"/>
                      <w:szCs w:val="21"/>
                    </w:rPr>
                  </w:pPr>
                  <w:r>
                    <w:rPr>
                      <w:color w:val="auto"/>
                      <w:sz w:val="21"/>
                      <w:szCs w:val="21"/>
                    </w:rPr>
                    <w:t>2.6</w:t>
                  </w:r>
                </w:p>
              </w:tc>
              <w:tc>
                <w:tcPr>
                  <w:tcW w:w="856" w:type="dxa"/>
                  <w:noWrap w:val="0"/>
                  <w:vAlign w:val="center"/>
                </w:tcPr>
                <w:p>
                  <w:pPr>
                    <w:adjustRightInd w:val="0"/>
                    <w:snapToGrid w:val="0"/>
                    <w:jc w:val="center"/>
                    <w:rPr>
                      <w:color w:val="auto"/>
                      <w:sz w:val="21"/>
                      <w:szCs w:val="21"/>
                    </w:rPr>
                  </w:pPr>
                  <w:r>
                    <w:rPr>
                      <w:color w:val="auto"/>
                      <w:sz w:val="21"/>
                      <w:szCs w:val="21"/>
                    </w:rPr>
                    <w:t>1.1</w:t>
                  </w:r>
                </w:p>
              </w:tc>
              <w:tc>
                <w:tcPr>
                  <w:tcW w:w="838" w:type="dxa"/>
                  <w:noWrap w:val="0"/>
                  <w:vAlign w:val="center"/>
                </w:tcPr>
                <w:p>
                  <w:pPr>
                    <w:adjustRightInd w:val="0"/>
                    <w:snapToGrid w:val="0"/>
                    <w:jc w:val="center"/>
                    <w:rPr>
                      <w:color w:val="auto"/>
                      <w:sz w:val="21"/>
                      <w:szCs w:val="21"/>
                    </w:rPr>
                  </w:pPr>
                  <w:r>
                    <w:rPr>
                      <w:color w:val="auto"/>
                      <w:sz w:val="21"/>
                      <w:szCs w:val="21"/>
                    </w:rPr>
                    <w:t>1.6</w:t>
                  </w:r>
                </w:p>
              </w:tc>
              <w:tc>
                <w:tcPr>
                  <w:tcW w:w="617" w:type="dxa"/>
                  <w:noWrap w:val="0"/>
                  <w:vAlign w:val="center"/>
                </w:tcPr>
                <w:p>
                  <w:pPr>
                    <w:adjustRightInd w:val="0"/>
                    <w:snapToGrid w:val="0"/>
                    <w:jc w:val="center"/>
                    <w:rPr>
                      <w:color w:val="auto"/>
                      <w:sz w:val="21"/>
                      <w:szCs w:val="21"/>
                    </w:rPr>
                  </w:pPr>
                  <w:r>
                    <w:rPr>
                      <w:color w:val="auto"/>
                      <w:sz w:val="21"/>
                      <w:szCs w:val="21"/>
                    </w:rPr>
                    <w:t>5.4</w:t>
                  </w:r>
                </w:p>
              </w:tc>
              <w:tc>
                <w:tcPr>
                  <w:tcW w:w="847" w:type="dxa"/>
                  <w:noWrap w:val="0"/>
                  <w:vAlign w:val="center"/>
                </w:tcPr>
                <w:p>
                  <w:pPr>
                    <w:adjustRightInd w:val="0"/>
                    <w:snapToGrid w:val="0"/>
                    <w:jc w:val="center"/>
                    <w:rPr>
                      <w:color w:val="auto"/>
                      <w:sz w:val="21"/>
                      <w:szCs w:val="21"/>
                    </w:rPr>
                  </w:pPr>
                  <w:r>
                    <w:rPr>
                      <w:color w:val="auto"/>
                      <w:sz w:val="21"/>
                      <w:szCs w:val="21"/>
                    </w:rPr>
                    <w:t>2.2</w:t>
                  </w:r>
                </w:p>
              </w:tc>
              <w:tc>
                <w:tcPr>
                  <w:tcW w:w="802" w:type="dxa"/>
                  <w:noWrap w:val="0"/>
                  <w:vAlign w:val="center"/>
                </w:tcPr>
                <w:p>
                  <w:pPr>
                    <w:adjustRightInd w:val="0"/>
                    <w:snapToGrid w:val="0"/>
                    <w:jc w:val="center"/>
                    <w:rPr>
                      <w:color w:val="auto"/>
                      <w:sz w:val="21"/>
                      <w:szCs w:val="21"/>
                    </w:rPr>
                  </w:pPr>
                  <w:r>
                    <w:rPr>
                      <w:color w:val="auto"/>
                      <w:sz w:val="21"/>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邛崃山生物多样性保护红线区</w:t>
                  </w:r>
                </w:p>
              </w:tc>
              <w:tc>
                <w:tcPr>
                  <w:tcW w:w="665" w:type="dxa"/>
                  <w:noWrap w:val="0"/>
                  <w:vAlign w:val="center"/>
                </w:tcPr>
                <w:p>
                  <w:pPr>
                    <w:adjustRightInd w:val="0"/>
                    <w:snapToGrid w:val="0"/>
                    <w:jc w:val="center"/>
                    <w:rPr>
                      <w:color w:val="auto"/>
                      <w:sz w:val="21"/>
                      <w:szCs w:val="21"/>
                    </w:rPr>
                  </w:pPr>
                  <w:r>
                    <w:rPr>
                      <w:color w:val="auto"/>
                      <w:sz w:val="21"/>
                      <w:szCs w:val="21"/>
                    </w:rPr>
                    <w:t>0.8</w:t>
                  </w:r>
                </w:p>
              </w:tc>
              <w:tc>
                <w:tcPr>
                  <w:tcW w:w="856" w:type="dxa"/>
                  <w:noWrap w:val="0"/>
                  <w:vAlign w:val="center"/>
                </w:tcPr>
                <w:p>
                  <w:pPr>
                    <w:adjustRightInd w:val="0"/>
                    <w:snapToGrid w:val="0"/>
                    <w:jc w:val="center"/>
                    <w:rPr>
                      <w:color w:val="auto"/>
                      <w:sz w:val="21"/>
                      <w:szCs w:val="21"/>
                    </w:rPr>
                  </w:pPr>
                  <w:r>
                    <w:rPr>
                      <w:color w:val="auto"/>
                      <w:sz w:val="21"/>
                      <w:szCs w:val="21"/>
                    </w:rPr>
                    <w:t>0.1</w:t>
                  </w:r>
                </w:p>
              </w:tc>
              <w:tc>
                <w:tcPr>
                  <w:tcW w:w="838" w:type="dxa"/>
                  <w:noWrap w:val="0"/>
                  <w:vAlign w:val="center"/>
                </w:tcPr>
                <w:p>
                  <w:pPr>
                    <w:adjustRightInd w:val="0"/>
                    <w:snapToGrid w:val="0"/>
                    <w:jc w:val="center"/>
                    <w:rPr>
                      <w:color w:val="auto"/>
                      <w:sz w:val="21"/>
                      <w:szCs w:val="21"/>
                    </w:rPr>
                  </w:pPr>
                  <w:r>
                    <w:rPr>
                      <w:color w:val="auto"/>
                      <w:sz w:val="21"/>
                      <w:szCs w:val="21"/>
                    </w:rPr>
                    <w:t>0.6</w:t>
                  </w:r>
                </w:p>
              </w:tc>
              <w:tc>
                <w:tcPr>
                  <w:tcW w:w="617" w:type="dxa"/>
                  <w:noWrap w:val="0"/>
                  <w:vAlign w:val="center"/>
                </w:tcPr>
                <w:p>
                  <w:pPr>
                    <w:adjustRightInd w:val="0"/>
                    <w:snapToGrid w:val="0"/>
                    <w:jc w:val="center"/>
                    <w:rPr>
                      <w:color w:val="auto"/>
                      <w:sz w:val="21"/>
                      <w:szCs w:val="21"/>
                    </w:rPr>
                  </w:pPr>
                  <w:r>
                    <w:rPr>
                      <w:color w:val="auto"/>
                      <w:sz w:val="21"/>
                      <w:szCs w:val="21"/>
                    </w:rPr>
                    <w:t>1.5</w:t>
                  </w:r>
                </w:p>
              </w:tc>
              <w:tc>
                <w:tcPr>
                  <w:tcW w:w="847" w:type="dxa"/>
                  <w:noWrap w:val="0"/>
                  <w:vAlign w:val="center"/>
                </w:tcPr>
                <w:p>
                  <w:pPr>
                    <w:adjustRightInd w:val="0"/>
                    <w:snapToGrid w:val="0"/>
                    <w:jc w:val="center"/>
                    <w:rPr>
                      <w:color w:val="auto"/>
                      <w:sz w:val="21"/>
                      <w:szCs w:val="21"/>
                    </w:rPr>
                  </w:pPr>
                  <w:r>
                    <w:rPr>
                      <w:color w:val="auto"/>
                      <w:sz w:val="21"/>
                      <w:szCs w:val="21"/>
                    </w:rPr>
                    <w:t>0.2</w:t>
                  </w:r>
                </w:p>
              </w:tc>
              <w:tc>
                <w:tcPr>
                  <w:tcW w:w="802" w:type="dxa"/>
                  <w:noWrap w:val="0"/>
                  <w:vAlign w:val="center"/>
                </w:tcPr>
                <w:p>
                  <w:pPr>
                    <w:adjustRightInd w:val="0"/>
                    <w:snapToGrid w:val="0"/>
                    <w:jc w:val="center"/>
                    <w:rPr>
                      <w:color w:val="auto"/>
                      <w:sz w:val="21"/>
                      <w:szCs w:val="21"/>
                    </w:rPr>
                  </w:pPr>
                  <w:r>
                    <w:rPr>
                      <w:color w:val="auto"/>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凉山-相岭生物多样性保护-土壤保持红线区</w:t>
                  </w:r>
                </w:p>
              </w:tc>
              <w:tc>
                <w:tcPr>
                  <w:tcW w:w="665" w:type="dxa"/>
                  <w:noWrap w:val="0"/>
                  <w:vAlign w:val="center"/>
                </w:tcPr>
                <w:p>
                  <w:pPr>
                    <w:adjustRightInd w:val="0"/>
                    <w:snapToGrid w:val="0"/>
                    <w:jc w:val="center"/>
                    <w:rPr>
                      <w:color w:val="auto"/>
                      <w:sz w:val="21"/>
                      <w:szCs w:val="21"/>
                    </w:rPr>
                  </w:pPr>
                  <w:r>
                    <w:rPr>
                      <w:color w:val="auto"/>
                      <w:sz w:val="21"/>
                      <w:szCs w:val="21"/>
                    </w:rPr>
                    <w:t>1.3</w:t>
                  </w:r>
                </w:p>
              </w:tc>
              <w:tc>
                <w:tcPr>
                  <w:tcW w:w="856" w:type="dxa"/>
                  <w:noWrap w:val="0"/>
                  <w:vAlign w:val="center"/>
                </w:tcPr>
                <w:p>
                  <w:pPr>
                    <w:adjustRightInd w:val="0"/>
                    <w:snapToGrid w:val="0"/>
                    <w:jc w:val="center"/>
                    <w:rPr>
                      <w:color w:val="auto"/>
                      <w:sz w:val="21"/>
                      <w:szCs w:val="21"/>
                    </w:rPr>
                  </w:pPr>
                  <w:r>
                    <w:rPr>
                      <w:color w:val="auto"/>
                      <w:sz w:val="21"/>
                      <w:szCs w:val="21"/>
                    </w:rPr>
                    <w:t>0.3</w:t>
                  </w:r>
                </w:p>
              </w:tc>
              <w:tc>
                <w:tcPr>
                  <w:tcW w:w="838" w:type="dxa"/>
                  <w:noWrap w:val="0"/>
                  <w:vAlign w:val="center"/>
                </w:tcPr>
                <w:p>
                  <w:pPr>
                    <w:adjustRightInd w:val="0"/>
                    <w:snapToGrid w:val="0"/>
                    <w:jc w:val="center"/>
                    <w:rPr>
                      <w:color w:val="auto"/>
                      <w:sz w:val="21"/>
                      <w:szCs w:val="21"/>
                    </w:rPr>
                  </w:pPr>
                  <w:r>
                    <w:rPr>
                      <w:color w:val="auto"/>
                      <w:sz w:val="21"/>
                      <w:szCs w:val="21"/>
                    </w:rPr>
                    <w:t>1.0</w:t>
                  </w:r>
                </w:p>
              </w:tc>
              <w:tc>
                <w:tcPr>
                  <w:tcW w:w="617" w:type="dxa"/>
                  <w:noWrap w:val="0"/>
                  <w:vAlign w:val="center"/>
                </w:tcPr>
                <w:p>
                  <w:pPr>
                    <w:adjustRightInd w:val="0"/>
                    <w:snapToGrid w:val="0"/>
                    <w:jc w:val="center"/>
                    <w:rPr>
                      <w:color w:val="auto"/>
                      <w:sz w:val="21"/>
                      <w:szCs w:val="21"/>
                    </w:rPr>
                  </w:pPr>
                  <w:r>
                    <w:rPr>
                      <w:color w:val="auto"/>
                      <w:sz w:val="21"/>
                      <w:szCs w:val="21"/>
                    </w:rPr>
                    <w:t>2.7</w:t>
                  </w:r>
                </w:p>
              </w:tc>
              <w:tc>
                <w:tcPr>
                  <w:tcW w:w="847" w:type="dxa"/>
                  <w:noWrap w:val="0"/>
                  <w:vAlign w:val="center"/>
                </w:tcPr>
                <w:p>
                  <w:pPr>
                    <w:adjustRightInd w:val="0"/>
                    <w:snapToGrid w:val="0"/>
                    <w:jc w:val="center"/>
                    <w:rPr>
                      <w:color w:val="auto"/>
                      <w:sz w:val="21"/>
                      <w:szCs w:val="21"/>
                    </w:rPr>
                  </w:pPr>
                  <w:r>
                    <w:rPr>
                      <w:color w:val="auto"/>
                      <w:sz w:val="21"/>
                      <w:szCs w:val="21"/>
                    </w:rPr>
                    <w:t>0.6</w:t>
                  </w:r>
                </w:p>
              </w:tc>
              <w:tc>
                <w:tcPr>
                  <w:tcW w:w="802" w:type="dxa"/>
                  <w:noWrap w:val="0"/>
                  <w:vAlign w:val="center"/>
                </w:tcPr>
                <w:p>
                  <w:pPr>
                    <w:adjustRightInd w:val="0"/>
                    <w:snapToGrid w:val="0"/>
                    <w:jc w:val="center"/>
                    <w:rPr>
                      <w:color w:val="auto"/>
                      <w:sz w:val="21"/>
                      <w:szCs w:val="21"/>
                    </w:rPr>
                  </w:pPr>
                  <w:r>
                    <w:rPr>
                      <w:color w:val="auto"/>
                      <w:sz w:val="21"/>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锦屏山水源涵养-土壤保持红线区</w:t>
                  </w:r>
                </w:p>
              </w:tc>
              <w:tc>
                <w:tcPr>
                  <w:tcW w:w="665" w:type="dxa"/>
                  <w:noWrap w:val="0"/>
                  <w:vAlign w:val="center"/>
                </w:tcPr>
                <w:p>
                  <w:pPr>
                    <w:adjustRightInd w:val="0"/>
                    <w:snapToGrid w:val="0"/>
                    <w:jc w:val="center"/>
                    <w:rPr>
                      <w:color w:val="auto"/>
                      <w:sz w:val="21"/>
                      <w:szCs w:val="21"/>
                    </w:rPr>
                  </w:pPr>
                  <w:r>
                    <w:rPr>
                      <w:color w:val="auto"/>
                      <w:sz w:val="21"/>
                      <w:szCs w:val="21"/>
                    </w:rPr>
                    <w:t>1.1</w:t>
                  </w:r>
                </w:p>
              </w:tc>
              <w:tc>
                <w:tcPr>
                  <w:tcW w:w="856" w:type="dxa"/>
                  <w:noWrap w:val="0"/>
                  <w:vAlign w:val="center"/>
                </w:tcPr>
                <w:p>
                  <w:pPr>
                    <w:adjustRightInd w:val="0"/>
                    <w:snapToGrid w:val="0"/>
                    <w:jc w:val="center"/>
                    <w:rPr>
                      <w:color w:val="auto"/>
                      <w:sz w:val="21"/>
                      <w:szCs w:val="21"/>
                    </w:rPr>
                  </w:pPr>
                  <w:r>
                    <w:rPr>
                      <w:color w:val="auto"/>
                      <w:sz w:val="21"/>
                      <w:szCs w:val="21"/>
                    </w:rPr>
                    <w:t>0.1</w:t>
                  </w:r>
                </w:p>
              </w:tc>
              <w:tc>
                <w:tcPr>
                  <w:tcW w:w="838" w:type="dxa"/>
                  <w:noWrap w:val="0"/>
                  <w:vAlign w:val="center"/>
                </w:tcPr>
                <w:p>
                  <w:pPr>
                    <w:adjustRightInd w:val="0"/>
                    <w:snapToGrid w:val="0"/>
                    <w:jc w:val="center"/>
                    <w:rPr>
                      <w:color w:val="auto"/>
                      <w:sz w:val="21"/>
                      <w:szCs w:val="21"/>
                    </w:rPr>
                  </w:pPr>
                  <w:r>
                    <w:rPr>
                      <w:color w:val="auto"/>
                      <w:sz w:val="21"/>
                      <w:szCs w:val="21"/>
                    </w:rPr>
                    <w:t>1.0</w:t>
                  </w:r>
                </w:p>
              </w:tc>
              <w:tc>
                <w:tcPr>
                  <w:tcW w:w="617" w:type="dxa"/>
                  <w:noWrap w:val="0"/>
                  <w:vAlign w:val="center"/>
                </w:tcPr>
                <w:p>
                  <w:pPr>
                    <w:adjustRightInd w:val="0"/>
                    <w:snapToGrid w:val="0"/>
                    <w:jc w:val="center"/>
                    <w:rPr>
                      <w:color w:val="auto"/>
                      <w:sz w:val="21"/>
                      <w:szCs w:val="21"/>
                    </w:rPr>
                  </w:pPr>
                  <w:r>
                    <w:rPr>
                      <w:color w:val="auto"/>
                      <w:sz w:val="21"/>
                      <w:szCs w:val="21"/>
                    </w:rPr>
                    <w:t>2.3</w:t>
                  </w:r>
                </w:p>
              </w:tc>
              <w:tc>
                <w:tcPr>
                  <w:tcW w:w="847" w:type="dxa"/>
                  <w:noWrap w:val="0"/>
                  <w:vAlign w:val="center"/>
                </w:tcPr>
                <w:p>
                  <w:pPr>
                    <w:adjustRightInd w:val="0"/>
                    <w:snapToGrid w:val="0"/>
                    <w:jc w:val="center"/>
                    <w:rPr>
                      <w:color w:val="auto"/>
                      <w:sz w:val="21"/>
                      <w:szCs w:val="21"/>
                    </w:rPr>
                  </w:pPr>
                  <w:r>
                    <w:rPr>
                      <w:color w:val="auto"/>
                      <w:sz w:val="21"/>
                      <w:szCs w:val="21"/>
                    </w:rPr>
                    <w:t>0.2</w:t>
                  </w:r>
                </w:p>
              </w:tc>
              <w:tc>
                <w:tcPr>
                  <w:tcW w:w="802" w:type="dxa"/>
                  <w:noWrap w:val="0"/>
                  <w:vAlign w:val="center"/>
                </w:tcPr>
                <w:p>
                  <w:pPr>
                    <w:adjustRightInd w:val="0"/>
                    <w:snapToGrid w:val="0"/>
                    <w:jc w:val="center"/>
                    <w:rPr>
                      <w:color w:val="auto"/>
                      <w:sz w:val="21"/>
                      <w:szCs w:val="21"/>
                    </w:rPr>
                  </w:pPr>
                  <w:r>
                    <w:rPr>
                      <w:color w:val="auto"/>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金沙江下游干热河谷土壤保持红线区</w:t>
                  </w:r>
                </w:p>
              </w:tc>
              <w:tc>
                <w:tcPr>
                  <w:tcW w:w="665" w:type="dxa"/>
                  <w:noWrap w:val="0"/>
                  <w:vAlign w:val="center"/>
                </w:tcPr>
                <w:p>
                  <w:pPr>
                    <w:adjustRightInd w:val="0"/>
                    <w:snapToGrid w:val="0"/>
                    <w:jc w:val="center"/>
                    <w:rPr>
                      <w:color w:val="auto"/>
                      <w:sz w:val="21"/>
                      <w:szCs w:val="21"/>
                    </w:rPr>
                  </w:pPr>
                  <w:r>
                    <w:rPr>
                      <w:color w:val="auto"/>
                      <w:sz w:val="21"/>
                      <w:szCs w:val="21"/>
                    </w:rPr>
                    <w:t>0.5</w:t>
                  </w:r>
                </w:p>
              </w:tc>
              <w:tc>
                <w:tcPr>
                  <w:tcW w:w="856" w:type="dxa"/>
                  <w:noWrap w:val="0"/>
                  <w:vAlign w:val="center"/>
                </w:tcPr>
                <w:p>
                  <w:pPr>
                    <w:adjustRightInd w:val="0"/>
                    <w:snapToGrid w:val="0"/>
                    <w:jc w:val="center"/>
                    <w:rPr>
                      <w:color w:val="auto"/>
                      <w:sz w:val="21"/>
                      <w:szCs w:val="21"/>
                    </w:rPr>
                  </w:pPr>
                  <w:r>
                    <w:rPr>
                      <w:color w:val="auto"/>
                      <w:sz w:val="21"/>
                      <w:szCs w:val="21"/>
                    </w:rPr>
                    <w:t>0.1</w:t>
                  </w:r>
                </w:p>
              </w:tc>
              <w:tc>
                <w:tcPr>
                  <w:tcW w:w="838" w:type="dxa"/>
                  <w:noWrap w:val="0"/>
                  <w:vAlign w:val="center"/>
                </w:tcPr>
                <w:p>
                  <w:pPr>
                    <w:adjustRightInd w:val="0"/>
                    <w:snapToGrid w:val="0"/>
                    <w:jc w:val="center"/>
                    <w:rPr>
                      <w:color w:val="auto"/>
                      <w:sz w:val="21"/>
                      <w:szCs w:val="21"/>
                    </w:rPr>
                  </w:pPr>
                  <w:r>
                    <w:rPr>
                      <w:color w:val="auto"/>
                      <w:sz w:val="21"/>
                      <w:szCs w:val="21"/>
                    </w:rPr>
                    <w:t>0.4</w:t>
                  </w:r>
                </w:p>
              </w:tc>
              <w:tc>
                <w:tcPr>
                  <w:tcW w:w="617" w:type="dxa"/>
                  <w:noWrap w:val="0"/>
                  <w:vAlign w:val="center"/>
                </w:tcPr>
                <w:p>
                  <w:pPr>
                    <w:adjustRightInd w:val="0"/>
                    <w:snapToGrid w:val="0"/>
                    <w:jc w:val="center"/>
                    <w:rPr>
                      <w:color w:val="auto"/>
                      <w:sz w:val="21"/>
                      <w:szCs w:val="21"/>
                    </w:rPr>
                  </w:pPr>
                  <w:r>
                    <w:rPr>
                      <w:color w:val="auto"/>
                      <w:sz w:val="21"/>
                      <w:szCs w:val="21"/>
                    </w:rPr>
                    <w:t>0.9</w:t>
                  </w:r>
                </w:p>
              </w:tc>
              <w:tc>
                <w:tcPr>
                  <w:tcW w:w="847" w:type="dxa"/>
                  <w:noWrap w:val="0"/>
                  <w:vAlign w:val="center"/>
                </w:tcPr>
                <w:p>
                  <w:pPr>
                    <w:adjustRightInd w:val="0"/>
                    <w:snapToGrid w:val="0"/>
                    <w:jc w:val="center"/>
                    <w:rPr>
                      <w:color w:val="auto"/>
                      <w:sz w:val="21"/>
                      <w:szCs w:val="21"/>
                    </w:rPr>
                  </w:pPr>
                  <w:r>
                    <w:rPr>
                      <w:color w:val="auto"/>
                      <w:sz w:val="21"/>
                      <w:szCs w:val="21"/>
                    </w:rPr>
                    <w:t>0.2</w:t>
                  </w:r>
                </w:p>
              </w:tc>
              <w:tc>
                <w:tcPr>
                  <w:tcW w:w="802" w:type="dxa"/>
                  <w:noWrap w:val="0"/>
                  <w:vAlign w:val="center"/>
                </w:tcPr>
                <w:p>
                  <w:pPr>
                    <w:adjustRightInd w:val="0"/>
                    <w:snapToGrid w:val="0"/>
                    <w:jc w:val="center"/>
                    <w:rPr>
                      <w:color w:val="auto"/>
                      <w:sz w:val="21"/>
                      <w:szCs w:val="21"/>
                    </w:rPr>
                  </w:pPr>
                  <w:r>
                    <w:rPr>
                      <w:color w:val="auto"/>
                      <w:sz w:val="21"/>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大巴山生物多样性保护-水源涵养红线区</w:t>
                  </w:r>
                </w:p>
              </w:tc>
              <w:tc>
                <w:tcPr>
                  <w:tcW w:w="665" w:type="dxa"/>
                  <w:noWrap w:val="0"/>
                  <w:vAlign w:val="center"/>
                </w:tcPr>
                <w:p>
                  <w:pPr>
                    <w:adjustRightInd w:val="0"/>
                    <w:snapToGrid w:val="0"/>
                    <w:jc w:val="center"/>
                    <w:rPr>
                      <w:color w:val="auto"/>
                      <w:sz w:val="21"/>
                      <w:szCs w:val="21"/>
                    </w:rPr>
                  </w:pPr>
                  <w:r>
                    <w:rPr>
                      <w:color w:val="auto"/>
                      <w:sz w:val="21"/>
                      <w:szCs w:val="21"/>
                    </w:rPr>
                    <w:t>0.5</w:t>
                  </w:r>
                </w:p>
              </w:tc>
              <w:tc>
                <w:tcPr>
                  <w:tcW w:w="856" w:type="dxa"/>
                  <w:noWrap w:val="0"/>
                  <w:vAlign w:val="center"/>
                </w:tcPr>
                <w:p>
                  <w:pPr>
                    <w:adjustRightInd w:val="0"/>
                    <w:snapToGrid w:val="0"/>
                    <w:jc w:val="center"/>
                    <w:rPr>
                      <w:color w:val="auto"/>
                      <w:sz w:val="21"/>
                      <w:szCs w:val="21"/>
                    </w:rPr>
                  </w:pPr>
                  <w:r>
                    <w:rPr>
                      <w:color w:val="auto"/>
                      <w:sz w:val="21"/>
                      <w:szCs w:val="21"/>
                    </w:rPr>
                    <w:t>0.1</w:t>
                  </w:r>
                </w:p>
              </w:tc>
              <w:tc>
                <w:tcPr>
                  <w:tcW w:w="838" w:type="dxa"/>
                  <w:noWrap w:val="0"/>
                  <w:vAlign w:val="center"/>
                </w:tcPr>
                <w:p>
                  <w:pPr>
                    <w:adjustRightInd w:val="0"/>
                    <w:snapToGrid w:val="0"/>
                    <w:jc w:val="center"/>
                    <w:rPr>
                      <w:color w:val="auto"/>
                      <w:sz w:val="21"/>
                      <w:szCs w:val="21"/>
                    </w:rPr>
                  </w:pPr>
                  <w:r>
                    <w:rPr>
                      <w:color w:val="auto"/>
                      <w:sz w:val="21"/>
                      <w:szCs w:val="21"/>
                    </w:rPr>
                    <w:t>0.4</w:t>
                  </w:r>
                </w:p>
              </w:tc>
              <w:tc>
                <w:tcPr>
                  <w:tcW w:w="617" w:type="dxa"/>
                  <w:noWrap w:val="0"/>
                  <w:vAlign w:val="center"/>
                </w:tcPr>
                <w:p>
                  <w:pPr>
                    <w:adjustRightInd w:val="0"/>
                    <w:snapToGrid w:val="0"/>
                    <w:jc w:val="center"/>
                    <w:rPr>
                      <w:color w:val="auto"/>
                      <w:sz w:val="21"/>
                      <w:szCs w:val="21"/>
                    </w:rPr>
                  </w:pPr>
                  <w:r>
                    <w:rPr>
                      <w:color w:val="auto"/>
                      <w:sz w:val="21"/>
                      <w:szCs w:val="21"/>
                    </w:rPr>
                    <w:t>1.1</w:t>
                  </w:r>
                </w:p>
              </w:tc>
              <w:tc>
                <w:tcPr>
                  <w:tcW w:w="847" w:type="dxa"/>
                  <w:noWrap w:val="0"/>
                  <w:vAlign w:val="center"/>
                </w:tcPr>
                <w:p>
                  <w:pPr>
                    <w:adjustRightInd w:val="0"/>
                    <w:snapToGrid w:val="0"/>
                    <w:jc w:val="center"/>
                    <w:rPr>
                      <w:color w:val="auto"/>
                      <w:sz w:val="21"/>
                      <w:szCs w:val="21"/>
                    </w:rPr>
                  </w:pPr>
                  <w:r>
                    <w:rPr>
                      <w:color w:val="auto"/>
                      <w:sz w:val="21"/>
                      <w:szCs w:val="21"/>
                    </w:rPr>
                    <w:t>0.2</w:t>
                  </w:r>
                </w:p>
              </w:tc>
              <w:tc>
                <w:tcPr>
                  <w:tcW w:w="802" w:type="dxa"/>
                  <w:noWrap w:val="0"/>
                  <w:vAlign w:val="center"/>
                </w:tcPr>
                <w:p>
                  <w:pPr>
                    <w:adjustRightInd w:val="0"/>
                    <w:snapToGrid w:val="0"/>
                    <w:jc w:val="center"/>
                    <w:rPr>
                      <w:color w:val="auto"/>
                      <w:sz w:val="21"/>
                      <w:szCs w:val="21"/>
                    </w:rPr>
                  </w:pPr>
                  <w:r>
                    <w:rPr>
                      <w:color w:val="auto"/>
                      <w:sz w:val="21"/>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川南生物多样性保护红线区</w:t>
                  </w:r>
                </w:p>
              </w:tc>
              <w:tc>
                <w:tcPr>
                  <w:tcW w:w="665" w:type="dxa"/>
                  <w:noWrap w:val="0"/>
                  <w:vAlign w:val="center"/>
                </w:tcPr>
                <w:p>
                  <w:pPr>
                    <w:adjustRightInd w:val="0"/>
                    <w:snapToGrid w:val="0"/>
                    <w:jc w:val="center"/>
                    <w:rPr>
                      <w:color w:val="auto"/>
                      <w:sz w:val="21"/>
                      <w:szCs w:val="21"/>
                    </w:rPr>
                  </w:pPr>
                  <w:r>
                    <w:rPr>
                      <w:color w:val="auto"/>
                      <w:sz w:val="21"/>
                      <w:szCs w:val="21"/>
                    </w:rPr>
                    <w:t>0.14</w:t>
                  </w:r>
                </w:p>
              </w:tc>
              <w:tc>
                <w:tcPr>
                  <w:tcW w:w="856" w:type="dxa"/>
                  <w:noWrap w:val="0"/>
                  <w:vAlign w:val="center"/>
                </w:tcPr>
                <w:p>
                  <w:pPr>
                    <w:adjustRightInd w:val="0"/>
                    <w:snapToGrid w:val="0"/>
                    <w:jc w:val="center"/>
                    <w:rPr>
                      <w:color w:val="auto"/>
                      <w:sz w:val="21"/>
                      <w:szCs w:val="21"/>
                    </w:rPr>
                  </w:pPr>
                  <w:r>
                    <w:rPr>
                      <w:color w:val="auto"/>
                      <w:sz w:val="21"/>
                      <w:szCs w:val="21"/>
                    </w:rPr>
                    <w:t>0.05</w:t>
                  </w:r>
                </w:p>
              </w:tc>
              <w:tc>
                <w:tcPr>
                  <w:tcW w:w="838" w:type="dxa"/>
                  <w:noWrap w:val="0"/>
                  <w:vAlign w:val="center"/>
                </w:tcPr>
                <w:p>
                  <w:pPr>
                    <w:adjustRightInd w:val="0"/>
                    <w:snapToGrid w:val="0"/>
                    <w:jc w:val="center"/>
                    <w:rPr>
                      <w:color w:val="auto"/>
                      <w:sz w:val="21"/>
                      <w:szCs w:val="21"/>
                    </w:rPr>
                  </w:pPr>
                  <w:r>
                    <w:rPr>
                      <w:color w:val="auto"/>
                      <w:sz w:val="21"/>
                      <w:szCs w:val="21"/>
                    </w:rPr>
                    <w:t>0.09</w:t>
                  </w:r>
                </w:p>
              </w:tc>
              <w:tc>
                <w:tcPr>
                  <w:tcW w:w="617" w:type="dxa"/>
                  <w:noWrap w:val="0"/>
                  <w:vAlign w:val="center"/>
                </w:tcPr>
                <w:p>
                  <w:pPr>
                    <w:adjustRightInd w:val="0"/>
                    <w:snapToGrid w:val="0"/>
                    <w:jc w:val="center"/>
                    <w:rPr>
                      <w:color w:val="auto"/>
                      <w:sz w:val="21"/>
                      <w:szCs w:val="21"/>
                    </w:rPr>
                  </w:pPr>
                  <w:r>
                    <w:rPr>
                      <w:color w:val="auto"/>
                      <w:sz w:val="21"/>
                      <w:szCs w:val="21"/>
                    </w:rPr>
                    <w:t>0.3</w:t>
                  </w:r>
                </w:p>
              </w:tc>
              <w:tc>
                <w:tcPr>
                  <w:tcW w:w="847" w:type="dxa"/>
                  <w:noWrap w:val="0"/>
                  <w:vAlign w:val="center"/>
                </w:tcPr>
                <w:p>
                  <w:pPr>
                    <w:adjustRightInd w:val="0"/>
                    <w:snapToGrid w:val="0"/>
                    <w:jc w:val="center"/>
                    <w:rPr>
                      <w:color w:val="auto"/>
                      <w:sz w:val="21"/>
                      <w:szCs w:val="21"/>
                    </w:rPr>
                  </w:pPr>
                  <w:r>
                    <w:rPr>
                      <w:color w:val="auto"/>
                      <w:sz w:val="21"/>
                      <w:szCs w:val="21"/>
                    </w:rPr>
                    <w:t>0.1</w:t>
                  </w:r>
                </w:p>
              </w:tc>
              <w:tc>
                <w:tcPr>
                  <w:tcW w:w="802" w:type="dxa"/>
                  <w:noWrap w:val="0"/>
                  <w:vAlign w:val="center"/>
                </w:tcPr>
                <w:p>
                  <w:pPr>
                    <w:adjustRightInd w:val="0"/>
                    <w:snapToGrid w:val="0"/>
                    <w:jc w:val="center"/>
                    <w:rPr>
                      <w:color w:val="auto"/>
                      <w:sz w:val="21"/>
                      <w:szCs w:val="21"/>
                    </w:rPr>
                  </w:pPr>
                  <w:r>
                    <w:rPr>
                      <w:color w:val="auto"/>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215" w:type="dxa"/>
                  <w:noWrap w:val="0"/>
                  <w:vAlign w:val="center"/>
                </w:tcPr>
                <w:p>
                  <w:pPr>
                    <w:adjustRightInd w:val="0"/>
                    <w:snapToGrid w:val="0"/>
                    <w:jc w:val="center"/>
                    <w:rPr>
                      <w:color w:val="auto"/>
                      <w:sz w:val="21"/>
                      <w:szCs w:val="21"/>
                    </w:rPr>
                  </w:pPr>
                  <w:r>
                    <w:rPr>
                      <w:color w:val="auto"/>
                      <w:sz w:val="21"/>
                      <w:szCs w:val="21"/>
                    </w:rPr>
                    <w:t>盆中城市饮用水源-土壤保持红线区</w:t>
                  </w:r>
                </w:p>
              </w:tc>
              <w:tc>
                <w:tcPr>
                  <w:tcW w:w="665" w:type="dxa"/>
                  <w:noWrap w:val="0"/>
                  <w:vAlign w:val="center"/>
                </w:tcPr>
                <w:p>
                  <w:pPr>
                    <w:adjustRightInd w:val="0"/>
                    <w:snapToGrid w:val="0"/>
                    <w:jc w:val="center"/>
                    <w:rPr>
                      <w:color w:val="auto"/>
                      <w:sz w:val="21"/>
                      <w:szCs w:val="21"/>
                    </w:rPr>
                  </w:pPr>
                  <w:r>
                    <w:rPr>
                      <w:color w:val="auto"/>
                      <w:sz w:val="21"/>
                      <w:szCs w:val="21"/>
                    </w:rPr>
                    <w:t>0.13</w:t>
                  </w:r>
                </w:p>
              </w:tc>
              <w:tc>
                <w:tcPr>
                  <w:tcW w:w="856" w:type="dxa"/>
                  <w:noWrap w:val="0"/>
                  <w:vAlign w:val="center"/>
                </w:tcPr>
                <w:p>
                  <w:pPr>
                    <w:adjustRightInd w:val="0"/>
                    <w:snapToGrid w:val="0"/>
                    <w:jc w:val="center"/>
                    <w:rPr>
                      <w:color w:val="auto"/>
                      <w:sz w:val="21"/>
                      <w:szCs w:val="21"/>
                    </w:rPr>
                  </w:pPr>
                  <w:r>
                    <w:rPr>
                      <w:color w:val="auto"/>
                      <w:sz w:val="21"/>
                      <w:szCs w:val="21"/>
                    </w:rPr>
                    <w:t>0.02</w:t>
                  </w:r>
                </w:p>
              </w:tc>
              <w:tc>
                <w:tcPr>
                  <w:tcW w:w="838" w:type="dxa"/>
                  <w:noWrap w:val="0"/>
                  <w:vAlign w:val="center"/>
                </w:tcPr>
                <w:p>
                  <w:pPr>
                    <w:adjustRightInd w:val="0"/>
                    <w:snapToGrid w:val="0"/>
                    <w:jc w:val="center"/>
                    <w:rPr>
                      <w:color w:val="auto"/>
                      <w:sz w:val="21"/>
                      <w:szCs w:val="21"/>
                    </w:rPr>
                  </w:pPr>
                  <w:r>
                    <w:rPr>
                      <w:color w:val="auto"/>
                      <w:sz w:val="21"/>
                      <w:szCs w:val="21"/>
                    </w:rPr>
                    <w:t>0.11</w:t>
                  </w:r>
                </w:p>
              </w:tc>
              <w:tc>
                <w:tcPr>
                  <w:tcW w:w="617" w:type="dxa"/>
                  <w:noWrap w:val="0"/>
                  <w:vAlign w:val="center"/>
                </w:tcPr>
                <w:p>
                  <w:pPr>
                    <w:adjustRightInd w:val="0"/>
                    <w:snapToGrid w:val="0"/>
                    <w:jc w:val="center"/>
                    <w:rPr>
                      <w:color w:val="auto"/>
                      <w:sz w:val="21"/>
                      <w:szCs w:val="21"/>
                    </w:rPr>
                  </w:pPr>
                  <w:r>
                    <w:rPr>
                      <w:color w:val="auto"/>
                      <w:sz w:val="21"/>
                      <w:szCs w:val="21"/>
                    </w:rPr>
                    <w:t>0.3</w:t>
                  </w:r>
                </w:p>
              </w:tc>
              <w:tc>
                <w:tcPr>
                  <w:tcW w:w="847" w:type="dxa"/>
                  <w:noWrap w:val="0"/>
                  <w:vAlign w:val="center"/>
                </w:tcPr>
                <w:p>
                  <w:pPr>
                    <w:adjustRightInd w:val="0"/>
                    <w:snapToGrid w:val="0"/>
                    <w:jc w:val="center"/>
                    <w:rPr>
                      <w:color w:val="auto"/>
                      <w:sz w:val="21"/>
                      <w:szCs w:val="21"/>
                    </w:rPr>
                  </w:pPr>
                  <w:r>
                    <w:rPr>
                      <w:color w:val="auto"/>
                      <w:sz w:val="21"/>
                      <w:szCs w:val="21"/>
                    </w:rPr>
                    <w:t>0.04</w:t>
                  </w:r>
                </w:p>
              </w:tc>
              <w:tc>
                <w:tcPr>
                  <w:tcW w:w="802" w:type="dxa"/>
                  <w:noWrap w:val="0"/>
                  <w:vAlign w:val="center"/>
                </w:tcPr>
                <w:p>
                  <w:pPr>
                    <w:adjustRightInd w:val="0"/>
                    <w:snapToGrid w:val="0"/>
                    <w:jc w:val="center"/>
                    <w:rPr>
                      <w:color w:val="auto"/>
                      <w:sz w:val="21"/>
                      <w:szCs w:val="21"/>
                    </w:rPr>
                  </w:pPr>
                  <w:r>
                    <w:rPr>
                      <w:color w:val="auto"/>
                      <w:sz w:val="21"/>
                      <w:szCs w:val="21"/>
                    </w:rPr>
                    <w:t>0.2</w:t>
                  </w:r>
                </w:p>
              </w:tc>
            </w:tr>
          </w:tbl>
          <w:p>
            <w:pPr>
              <w:adjustRightInd w:val="0"/>
              <w:snapToGrid w:val="0"/>
              <w:spacing w:line="360" w:lineRule="auto"/>
              <w:ind w:firstLine="480" w:firstLineChars="200"/>
              <w:rPr>
                <w:color w:val="auto"/>
              </w:rPr>
            </w:pPr>
            <w:r>
              <w:rPr>
                <w:color w:val="auto"/>
              </w:rPr>
              <w:t>——一类管控区：国家级、省级自然保护区的核心区和缓冲区、地级以上城市和县级市集中式饮用水水源一级保护区。</w:t>
            </w:r>
          </w:p>
          <w:p>
            <w:pPr>
              <w:adjustRightInd w:val="0"/>
              <w:snapToGrid w:val="0"/>
              <w:spacing w:line="360" w:lineRule="auto"/>
              <w:ind w:firstLine="480" w:firstLineChars="200"/>
              <w:rPr>
                <w:color w:val="auto"/>
              </w:rPr>
            </w:pPr>
            <w:r>
              <w:rPr>
                <w:color w:val="auto"/>
              </w:rPr>
              <w:t>一类管控区禁止任何形式的开发建设活动，必要的科学研究、生态保护活动必须依法进行审批。</w:t>
            </w:r>
          </w:p>
          <w:p>
            <w:pPr>
              <w:adjustRightInd w:val="0"/>
              <w:snapToGrid w:val="0"/>
              <w:spacing w:line="360" w:lineRule="auto"/>
              <w:ind w:firstLine="480" w:firstLineChars="200"/>
              <w:rPr>
                <w:color w:val="auto"/>
              </w:rPr>
            </w:pPr>
            <w:r>
              <w:rPr>
                <w:color w:val="auto"/>
              </w:rPr>
              <w:t>——二类管控区：未纳入一类管控区的生态保护红线区为二类管控区。</w:t>
            </w:r>
          </w:p>
          <w:p>
            <w:pPr>
              <w:adjustRightInd w:val="0"/>
              <w:snapToGrid w:val="0"/>
              <w:spacing w:line="360" w:lineRule="auto"/>
              <w:ind w:firstLine="480" w:firstLineChars="200"/>
              <w:rPr>
                <w:color w:val="auto"/>
              </w:rPr>
            </w:pPr>
            <w:r>
              <w:rPr>
                <w:color w:val="auto"/>
              </w:rPr>
              <w:t>二类管控区实行负面清单管理制度，根据红线区主导生态功能维护需求，由省发展改革委、国土资源厅、环境保护厅、住房城乡建设厅、水利厅、农业厅、林业厅等相关部门依法制定负面清单并组织实施。</w:t>
            </w:r>
          </w:p>
          <w:p>
            <w:pPr>
              <w:adjustRightInd w:val="0"/>
              <w:snapToGrid w:val="0"/>
              <w:spacing w:line="360" w:lineRule="auto"/>
              <w:ind w:firstLine="480"/>
              <w:rPr>
                <w:rFonts w:hint="default" w:ascii="Times New Roman" w:hAnsi="Times New Roman"/>
                <w:color w:val="auto"/>
              </w:rPr>
            </w:pPr>
            <w:r>
              <w:rPr>
                <w:color w:val="auto"/>
              </w:rPr>
              <w:t>根据乐山市生态红线图可知，本项目位于峨边彝族自治县宜坪乡桐花村，不在峨边彝族自治县生态保护红线区内。</w:t>
            </w: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0" w:leftChars="0" w:firstLine="0" w:firstLineChars="0"/>
              <w:jc w:val="center"/>
              <w:rPr>
                <w:rFonts w:hint="default" w:ascii="Times New Roman" w:hAnsi="Times New Roman"/>
                <w:color w:val="auto"/>
              </w:rPr>
            </w:pPr>
            <w:r>
              <w:rPr>
                <w:rFonts w:hint="default" w:ascii="Times New Roman" w:hAnsi="Times New Roman"/>
                <w:color w:val="auto"/>
              </w:rPr>
              <mc:AlternateContent>
                <mc:Choice Requires="wps">
                  <w:drawing>
                    <wp:anchor distT="0" distB="0" distL="114300" distR="114300" simplePos="0" relativeHeight="251660288" behindDoc="0" locked="0" layoutInCell="1" allowOverlap="1">
                      <wp:simplePos x="0" y="0"/>
                      <wp:positionH relativeFrom="column">
                        <wp:posOffset>2658745</wp:posOffset>
                      </wp:positionH>
                      <wp:positionV relativeFrom="paragraph">
                        <wp:posOffset>2284730</wp:posOffset>
                      </wp:positionV>
                      <wp:extent cx="1198880" cy="347980"/>
                      <wp:effectExtent l="1317625" t="4445" r="17145" b="1171575"/>
                      <wp:wrapNone/>
                      <wp:docPr id="2" name="自选图形 6"/>
                      <wp:cNvGraphicFramePr/>
                      <a:graphic xmlns:a="http://schemas.openxmlformats.org/drawingml/2006/main">
                        <a:graphicData uri="http://schemas.microsoft.com/office/word/2010/wordprocessingShape">
                          <wps:wsp>
                            <wps:cNvSpPr/>
                            <wps:spPr>
                              <a:xfrm>
                                <a:off x="0" y="0"/>
                                <a:ext cx="1198880" cy="347980"/>
                              </a:xfrm>
                              <a:prstGeom prst="wedgeRectCallout">
                                <a:avLst>
                                  <a:gd name="adj1" fmla="val -157144"/>
                                  <a:gd name="adj2" fmla="val 377921"/>
                                </a:avLst>
                              </a:prstGeom>
                              <a:noFill/>
                              <a:ln w="9525" cap="flat" cmpd="sng">
                                <a:solidFill>
                                  <a:srgbClr val="241C94"/>
                                </a:solidFill>
                                <a:prstDash val="solid"/>
                                <a:miter/>
                                <a:headEnd type="none" w="med" len="med"/>
                                <a:tailEnd type="none" w="med" len="med"/>
                              </a:ln>
                            </wps:spPr>
                            <wps:txbx>
                              <w:txbxContent>
                                <w:p>
                                  <w:pPr>
                                    <w:rPr>
                                      <w:rFonts w:hint="eastAsia"/>
                                      <w:b/>
                                      <w:bCs/>
                                      <w:color w:val="FF0000"/>
                                    </w:rPr>
                                  </w:pPr>
                                  <w:r>
                                    <w:rPr>
                                      <w:rFonts w:hint="eastAsia"/>
                                      <w:b/>
                                      <w:bCs/>
                                      <w:color w:val="FF0000"/>
                                    </w:rPr>
                                    <w:t>本项目所在地</w:t>
                                  </w:r>
                                </w:p>
                              </w:txbxContent>
                            </wps:txbx>
                            <wps:bodyPr wrap="square" upright="1"/>
                          </wps:wsp>
                        </a:graphicData>
                      </a:graphic>
                    </wp:anchor>
                  </w:drawing>
                </mc:Choice>
                <mc:Fallback>
                  <w:pict>
                    <v:shape id="自选图形 6" o:spid="_x0000_s1026" o:spt="61" type="#_x0000_t61" style="position:absolute;left:0pt;margin-left:209.35pt;margin-top:179.9pt;height:27.4pt;width:94.4pt;z-index:251660288;mso-width-relative:page;mso-height-relative:page;" filled="f" stroked="t" coordsize="21600,21600" o:gfxdata="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8che9oAAAALAQAADwAAAAAAAAABACAAAAAiAAAAZHJzL2Rvd25yZXYueG1sUEsBAhQA&#10;FAAAAAgAh07iQKDDkv4pAgAAJgQAAA4AAAAAAAAAAQAgAAAAKQEAAGRycy9lMm9Eb2MueG1sUEsF&#10;BgAAAAAGAAYAWQEAAMQFAAAAAA==&#10;" adj="-23143,92431">
                      <v:fill on="f" focussize="0,0"/>
                      <v:stroke color="#241C94" joinstyle="miter"/>
                      <v:imagedata o:title=""/>
                      <o:lock v:ext="edit" aspectratio="f"/>
                      <v:textbox>
                        <w:txbxContent>
                          <w:p>
                            <w:pPr>
                              <w:rPr>
                                <w:rFonts w:hint="eastAsia"/>
                                <w:b/>
                                <w:bCs/>
                                <w:color w:val="FF0000"/>
                              </w:rPr>
                            </w:pPr>
                            <w:r>
                              <w:rPr>
                                <w:rFonts w:hint="eastAsia"/>
                                <w:b/>
                                <w:bCs/>
                                <w:color w:val="FF0000"/>
                              </w:rPr>
                              <w:t>本项目所在地</w:t>
                            </w:r>
                          </w:p>
                        </w:txbxContent>
                      </v:textbox>
                    </v:shape>
                  </w:pict>
                </mc:Fallback>
              </mc:AlternateContent>
            </w:r>
            <w:r>
              <w:rPr>
                <w:rFonts w:hint="default" w:ascii="Times New Roman" w:hAnsi="Times New Roman"/>
                <w:color w:val="auto"/>
              </w:rPr>
              <w:drawing>
                <wp:inline distT="0" distB="0" distL="114300" distR="114300">
                  <wp:extent cx="5542915" cy="7840980"/>
                  <wp:effectExtent l="0" t="0" r="635" b="7620"/>
                  <wp:docPr id="3" name="图片 62" descr="511100乐山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2" descr="511100乐山市"/>
                          <pic:cNvPicPr>
                            <a:picLocks noChangeAspect="1"/>
                          </pic:cNvPicPr>
                        </pic:nvPicPr>
                        <pic:blipFill>
                          <a:blip r:embed="rId9"/>
                          <a:stretch>
                            <a:fillRect/>
                          </a:stretch>
                        </pic:blipFill>
                        <pic:spPr>
                          <a:xfrm>
                            <a:off x="0" y="0"/>
                            <a:ext cx="5542915" cy="7840980"/>
                          </a:xfrm>
                          <a:prstGeom prst="rect">
                            <a:avLst/>
                          </a:prstGeom>
                          <a:noFill/>
                          <a:ln>
                            <a:noFill/>
                          </a:ln>
                        </pic:spPr>
                      </pic:pic>
                    </a:graphicData>
                  </a:graphic>
                </wp:inline>
              </w:drawing>
            </w:r>
          </w:p>
          <w:p>
            <w:pPr>
              <w:adjustRightInd w:val="0"/>
              <w:snapToGrid w:val="0"/>
              <w:spacing w:line="360" w:lineRule="auto"/>
              <w:ind w:firstLine="480"/>
              <w:rPr>
                <w:color w:val="auto"/>
              </w:rPr>
            </w:pPr>
            <w:r>
              <w:rPr>
                <w:color w:val="auto"/>
              </w:rPr>
              <w:t>2）环境质量底线</w:t>
            </w:r>
          </w:p>
          <w:p>
            <w:pPr>
              <w:adjustRightInd w:val="0"/>
              <w:snapToGrid w:val="0"/>
              <w:spacing w:line="360" w:lineRule="auto"/>
              <w:ind w:firstLine="480" w:firstLineChars="200"/>
              <w:rPr>
                <w:color w:val="auto"/>
              </w:rPr>
            </w:pPr>
            <w:r>
              <w:rPr>
                <w:color w:val="auto"/>
              </w:rPr>
              <w:t>根据本项目环境质量现状监测数据可知：项目所在地地表水符合《地表水环境质量标准》（GB3838-2002）中的Ⅲ类水域标准；环境空气（除PM</w:t>
            </w:r>
            <w:r>
              <w:rPr>
                <w:color w:val="auto"/>
                <w:vertAlign w:val="subscript"/>
              </w:rPr>
              <w:t>2.5</w:t>
            </w:r>
            <w:r>
              <w:rPr>
                <w:color w:val="auto"/>
              </w:rPr>
              <w:t>外）均满足《环境空气质量标准》（GB3095-2012）中的二级标准；评价区域各测点噪声值均满足《声环境质量标准》（GB3096-2008）2类标准要求。</w:t>
            </w:r>
          </w:p>
          <w:p>
            <w:pPr>
              <w:pStyle w:val="72"/>
              <w:snapToGrid w:val="0"/>
              <w:spacing w:line="360" w:lineRule="auto"/>
              <w:ind w:firstLine="480" w:firstLineChars="200"/>
              <w:jc w:val="both"/>
              <w:rPr>
                <w:rFonts w:ascii="Times New Roman" w:cs="Times New Roman"/>
                <w:color w:val="auto"/>
              </w:rPr>
            </w:pPr>
            <w:r>
              <w:rPr>
                <w:rFonts w:ascii="Times New Roman" w:cs="Times New Roman"/>
                <w:color w:val="auto"/>
              </w:rPr>
              <w:t>综上所述，项目所在地环境空气（除PM</w:t>
            </w:r>
            <w:r>
              <w:rPr>
                <w:rFonts w:ascii="Times New Roman" w:cs="Times New Roman"/>
                <w:color w:val="auto"/>
                <w:vertAlign w:val="subscript"/>
              </w:rPr>
              <w:t>2.5</w:t>
            </w:r>
            <w:r>
              <w:rPr>
                <w:rFonts w:ascii="Times New Roman" w:cs="Times New Roman"/>
                <w:color w:val="auto"/>
              </w:rPr>
              <w:t>外）、地表水、环境质量声环境质量均满足所在功能区要求，满足环境质量底线的要求。</w:t>
            </w:r>
          </w:p>
          <w:p>
            <w:pPr>
              <w:pStyle w:val="72"/>
              <w:snapToGrid w:val="0"/>
              <w:spacing w:line="360" w:lineRule="auto"/>
              <w:ind w:firstLine="480" w:firstLineChars="200"/>
              <w:jc w:val="both"/>
              <w:rPr>
                <w:rFonts w:ascii="Times New Roman" w:cs="Times New Roman"/>
                <w:color w:val="auto"/>
              </w:rPr>
            </w:pPr>
            <w:r>
              <w:rPr>
                <w:rFonts w:ascii="Times New Roman" w:cs="Times New Roman"/>
                <w:color w:val="auto"/>
              </w:rPr>
              <w:t>3）资源利用上线</w:t>
            </w:r>
          </w:p>
          <w:p>
            <w:pPr>
              <w:pStyle w:val="72"/>
              <w:snapToGrid w:val="0"/>
              <w:spacing w:line="360" w:lineRule="auto"/>
              <w:ind w:firstLine="480" w:firstLineChars="200"/>
              <w:jc w:val="both"/>
              <w:rPr>
                <w:rFonts w:ascii="Times New Roman" w:cs="Times New Roman"/>
                <w:color w:val="auto"/>
              </w:rPr>
            </w:pPr>
            <w:r>
              <w:rPr>
                <w:rFonts w:ascii="Times New Roman" w:cs="Times New Roman"/>
                <w:color w:val="auto"/>
              </w:rPr>
              <w:t>本项目用水、用电量较少，不会对当地资源利用上线造成较大影响。</w:t>
            </w:r>
          </w:p>
          <w:p>
            <w:pPr>
              <w:pStyle w:val="72"/>
              <w:snapToGrid w:val="0"/>
              <w:spacing w:line="360" w:lineRule="auto"/>
              <w:ind w:firstLine="480" w:firstLineChars="200"/>
              <w:jc w:val="both"/>
              <w:rPr>
                <w:rFonts w:ascii="Times New Roman" w:cs="Times New Roman"/>
                <w:color w:val="auto"/>
              </w:rPr>
            </w:pPr>
            <w:r>
              <w:rPr>
                <w:rFonts w:ascii="Times New Roman" w:cs="Times New Roman"/>
                <w:color w:val="auto"/>
              </w:rPr>
              <w:t>4）环境准入负面清单</w:t>
            </w:r>
          </w:p>
          <w:p>
            <w:pPr>
              <w:adjustRightInd w:val="0"/>
              <w:snapToGrid w:val="0"/>
              <w:spacing w:line="360" w:lineRule="auto"/>
              <w:ind w:firstLine="480" w:firstLineChars="200"/>
              <w:rPr>
                <w:color w:val="auto"/>
              </w:rPr>
            </w:pPr>
            <w:r>
              <w:rPr>
                <w:color w:val="auto"/>
              </w:rPr>
              <w:t>经查询《四川省国家重点生态功能区产业准入负面清单（第一批）（试行）》和《四川省国家重点生态功能区产业准入负面清单（第二批）（试行）的名录，本项目未列入以上环境准入负面清单行业内容。</w:t>
            </w:r>
          </w:p>
          <w:p>
            <w:pPr>
              <w:adjustRightInd w:val="0"/>
              <w:snapToGrid w:val="0"/>
              <w:spacing w:line="360" w:lineRule="auto"/>
              <w:ind w:firstLine="480" w:firstLineChars="200"/>
              <w:textAlignment w:val="center"/>
              <w:rPr>
                <w:color w:val="auto"/>
              </w:rPr>
            </w:pPr>
            <w:r>
              <w:rPr>
                <w:color w:val="auto"/>
              </w:rPr>
              <w:t>对照《长江经济带发展负面清单指南（试行）》，本项目属于污水治理项目，不属于该负面清单所禁止建设得内容。</w:t>
            </w:r>
          </w:p>
          <w:p>
            <w:pPr>
              <w:pStyle w:val="2"/>
              <w:ind w:left="0" w:leftChars="0" w:firstLine="0" w:firstLineChars="0"/>
              <w:rPr>
                <w:color w:val="auto"/>
              </w:rPr>
            </w:pPr>
            <w:r>
              <w:rPr>
                <w:rFonts w:ascii="Times New Roman" w:hAnsi="Times New Roman"/>
                <w:color w:val="auto"/>
              </w:rPr>
              <w:t xml:space="preserve">  </w:t>
            </w:r>
            <w:r>
              <w:rPr>
                <w:rFonts w:ascii="Times New Roman" w:hAnsi="Times New Roman"/>
                <w:color w:val="auto"/>
                <w:kern w:val="2"/>
                <w:sz w:val="24"/>
              </w:rPr>
              <w:t xml:space="preserve">  综上所述，本项目与“三线一单”相符。</w:t>
            </w:r>
          </w:p>
          <w:p>
            <w:pPr>
              <w:adjustRightInd w:val="0"/>
              <w:snapToGrid w:val="0"/>
              <w:spacing w:line="360" w:lineRule="auto"/>
              <w:ind w:firstLine="482" w:firstLineChars="200"/>
              <w:rPr>
                <w:b/>
                <w:color w:val="auto"/>
              </w:rPr>
            </w:pPr>
            <w:r>
              <w:rPr>
                <w:b/>
                <w:color w:val="auto"/>
              </w:rPr>
              <w:t>3、项目建设的必要性</w:t>
            </w:r>
          </w:p>
          <w:p>
            <w:pPr>
              <w:adjustRightInd w:val="0"/>
              <w:snapToGrid w:val="0"/>
              <w:spacing w:line="360" w:lineRule="auto"/>
              <w:ind w:firstLine="480" w:firstLineChars="200"/>
              <w:rPr>
                <w:color w:val="auto"/>
              </w:rPr>
            </w:pPr>
            <w:r>
              <w:rPr>
                <w:color w:val="auto"/>
              </w:rPr>
              <w:t>农村生活污水的随意排放将会影响到农村的生态环境，威胁到人们的生存环境，从农村整体发展的现状和农民生活质量角度来看，加强污水处理工作是十分必要的。</w:t>
            </w:r>
          </w:p>
          <w:p>
            <w:pPr>
              <w:adjustRightInd w:val="0"/>
              <w:snapToGrid w:val="0"/>
              <w:spacing w:line="360" w:lineRule="auto"/>
              <w:ind w:firstLine="480" w:firstLineChars="200"/>
              <w:rPr>
                <w:color w:val="auto"/>
              </w:rPr>
            </w:pPr>
            <w:r>
              <w:rPr>
                <w:color w:val="auto"/>
              </w:rPr>
              <w:t xml:space="preserve">（1）对农村生活污水进行处理，是改善农村生态环境的迫切需要。随着农村居民生活水平的不断提升，农村污水的排放量也呈现出剧增的现象，由于农民不具有较强的环保意识，加之农村环境卫生设置配备不足，使得环境卫生状况较差，在这种情况下进行污水处理工作，完善相应配套设施，能够更好的改善当前农村的环境状况，为农村的生活营造更为健康和谐的生态环境。 </w:t>
            </w:r>
          </w:p>
          <w:p>
            <w:pPr>
              <w:adjustRightInd w:val="0"/>
              <w:snapToGrid w:val="0"/>
              <w:spacing w:line="360" w:lineRule="auto"/>
              <w:ind w:firstLine="480" w:firstLineChars="200"/>
              <w:rPr>
                <w:color w:val="auto"/>
              </w:rPr>
            </w:pPr>
            <w:r>
              <w:rPr>
                <w:color w:val="auto"/>
              </w:rPr>
              <w:t>（2）对农村生活污水进行处理，也是建设社会主义新农村的必然之举。在社会主义建设的过程中，十分关注农村的发展，农村生产环境、生活环境和生活质量的改善和提高，既有利于农村生产发展、生活宽裕、乡风文明、村容整洁和管理民主的实现，又有利于农民生活质量的提升。加强对农村生活污水的处理，是实现这一目标的重要环节。</w:t>
            </w:r>
          </w:p>
          <w:p>
            <w:pPr>
              <w:adjustRightInd w:val="0"/>
              <w:snapToGrid w:val="0"/>
              <w:spacing w:line="360" w:lineRule="auto"/>
              <w:ind w:firstLine="480" w:firstLineChars="200"/>
              <w:rPr>
                <w:color w:val="auto"/>
              </w:rPr>
            </w:pPr>
            <w:r>
              <w:rPr>
                <w:color w:val="auto"/>
              </w:rPr>
              <w:t>（3）对农村生活污水进行处理，也是促进农村经济发展，全面实施乡村振兴战略的必然要求。农村具有丰富的水资源和宽松的投资环境，这些都有利于推动农村经济的发展。但是由于农民对生活污水的随意排放，污染了一部分水资源，也阻碍了农村经济的发展，在这种情况下，加强对污水的处理，提升水资源的利用效率，并且营造良好的水产行业发展氛围，能够为农村的发展创造巨大的经济效益，也能够为农民创造发展的氛围，推动农村经济的健康发展。</w:t>
            </w:r>
          </w:p>
          <w:p>
            <w:pPr>
              <w:adjustRightInd w:val="0"/>
              <w:snapToGrid w:val="0"/>
              <w:spacing w:line="360" w:lineRule="auto"/>
              <w:ind w:firstLine="480" w:firstLineChars="200"/>
              <w:rPr>
                <w:color w:val="auto"/>
              </w:rPr>
            </w:pPr>
            <w:r>
              <w:rPr>
                <w:color w:val="auto"/>
              </w:rPr>
              <w:t>（4）近年来，对入河排污口整治越来越严格，长江经济带生态环境问题审计频次增加、要求提高，对农村生态环境提出明确的要求。沿主要流域河流村庄农村生活污水未得到有效治理、未设置入河排污口形势越来越严峻，沿河村庄农村生活污水未治理直接排放至河流的问题日益突出，整治农村生活污水排放势在必行。沿河村庄农村生活污水达标排放将会成为今后农村生活污水治理的重点和难点。</w:t>
            </w:r>
          </w:p>
          <w:p>
            <w:pPr>
              <w:adjustRightInd w:val="0"/>
              <w:snapToGrid w:val="0"/>
              <w:spacing w:line="360" w:lineRule="auto"/>
              <w:ind w:firstLine="560" w:firstLineChars="200"/>
              <w:rPr>
                <w:rFonts w:eastAsia="黑体"/>
                <w:color w:val="auto"/>
                <w:sz w:val="28"/>
                <w:szCs w:val="28"/>
              </w:rPr>
            </w:pPr>
            <w:r>
              <w:rPr>
                <w:rFonts w:eastAsia="黑体"/>
                <w:color w:val="auto"/>
                <w:sz w:val="28"/>
                <w:szCs w:val="28"/>
              </w:rPr>
              <w:t>四、建设项目概况</w:t>
            </w:r>
          </w:p>
          <w:p>
            <w:pPr>
              <w:adjustRightInd w:val="0"/>
              <w:snapToGrid w:val="0"/>
              <w:spacing w:line="360" w:lineRule="auto"/>
              <w:ind w:firstLine="482" w:firstLineChars="200"/>
              <w:rPr>
                <w:b/>
                <w:color w:val="auto"/>
              </w:rPr>
            </w:pPr>
            <w:r>
              <w:rPr>
                <w:b/>
                <w:color w:val="auto"/>
              </w:rPr>
              <w:t>1.项目建设概况</w:t>
            </w:r>
          </w:p>
          <w:p>
            <w:pPr>
              <w:adjustRightInd w:val="0"/>
              <w:snapToGrid w:val="0"/>
              <w:spacing w:line="360" w:lineRule="auto"/>
              <w:ind w:firstLine="480" w:firstLineChars="200"/>
              <w:rPr>
                <w:color w:val="auto"/>
              </w:rPr>
            </w:pPr>
            <w:r>
              <w:rPr>
                <w:color w:val="auto"/>
              </w:rPr>
              <w:t>（1）项目名称：峨边彝族自治县宜坪乡桐花村农村生活污水治理项目</w:t>
            </w:r>
          </w:p>
          <w:p>
            <w:pPr>
              <w:adjustRightInd w:val="0"/>
              <w:snapToGrid w:val="0"/>
              <w:spacing w:line="360" w:lineRule="auto"/>
              <w:ind w:firstLine="480" w:firstLineChars="200"/>
              <w:rPr>
                <w:rFonts w:hint="eastAsia"/>
                <w:color w:val="auto"/>
              </w:rPr>
            </w:pPr>
            <w:r>
              <w:rPr>
                <w:color w:val="auto"/>
              </w:rPr>
              <w:t>（2）建设规模：污水处理规模分别为60m</w:t>
            </w:r>
            <w:r>
              <w:rPr>
                <w:color w:val="auto"/>
                <w:vertAlign w:val="superscript"/>
              </w:rPr>
              <w:t>3</w:t>
            </w:r>
            <w:r>
              <w:rPr>
                <w:color w:val="auto"/>
              </w:rPr>
              <w:t>/d、6m</w:t>
            </w:r>
            <w:r>
              <w:rPr>
                <w:color w:val="auto"/>
                <w:vertAlign w:val="superscript"/>
              </w:rPr>
              <w:t>3</w:t>
            </w:r>
            <w:r>
              <w:rPr>
                <w:color w:val="auto"/>
              </w:rPr>
              <w:t>/d和10m</w:t>
            </w:r>
            <w:r>
              <w:rPr>
                <w:color w:val="auto"/>
                <w:vertAlign w:val="superscript"/>
              </w:rPr>
              <w:t>3</w:t>
            </w:r>
            <w:r>
              <w:rPr>
                <w:color w:val="auto"/>
              </w:rPr>
              <w:t>/d，配套污水</w:t>
            </w:r>
            <w:r>
              <w:rPr>
                <w:rFonts w:hint="eastAsia"/>
                <w:color w:val="auto"/>
              </w:rPr>
              <w:t>干</w:t>
            </w:r>
            <w:r>
              <w:rPr>
                <w:color w:val="auto"/>
              </w:rPr>
              <w:t>管</w:t>
            </w:r>
            <w:r>
              <w:rPr>
                <w:rFonts w:hint="eastAsia"/>
                <w:color w:val="auto"/>
              </w:rPr>
              <w:t>2011</w:t>
            </w:r>
            <w:r>
              <w:rPr>
                <w:color w:val="auto"/>
              </w:rPr>
              <w:t>m</w:t>
            </w:r>
            <w:r>
              <w:rPr>
                <w:rFonts w:hint="eastAsia"/>
                <w:color w:val="auto"/>
              </w:rPr>
              <w:t>。</w:t>
            </w:r>
          </w:p>
          <w:p>
            <w:pPr>
              <w:adjustRightInd w:val="0"/>
              <w:snapToGrid w:val="0"/>
              <w:spacing w:line="360" w:lineRule="auto"/>
              <w:ind w:firstLine="480" w:firstLineChars="200"/>
              <w:rPr>
                <w:color w:val="auto"/>
              </w:rPr>
            </w:pPr>
            <w:r>
              <w:rPr>
                <w:color w:val="auto"/>
              </w:rPr>
              <w:t>（3）建设单位：峨边生态环境局</w:t>
            </w:r>
          </w:p>
          <w:p>
            <w:pPr>
              <w:adjustRightInd w:val="0"/>
              <w:snapToGrid w:val="0"/>
              <w:spacing w:line="360" w:lineRule="auto"/>
              <w:ind w:firstLine="480" w:firstLineChars="200"/>
              <w:rPr>
                <w:color w:val="auto"/>
              </w:rPr>
            </w:pPr>
            <w:r>
              <w:rPr>
                <w:color w:val="auto"/>
              </w:rPr>
              <w:t>（4）项目性质：新建</w:t>
            </w:r>
          </w:p>
          <w:p>
            <w:pPr>
              <w:adjustRightInd w:val="0"/>
              <w:snapToGrid w:val="0"/>
              <w:spacing w:line="360" w:lineRule="auto"/>
              <w:ind w:firstLine="480" w:firstLineChars="200"/>
              <w:rPr>
                <w:rFonts w:hint="eastAsia"/>
                <w:color w:val="auto"/>
              </w:rPr>
            </w:pPr>
            <w:r>
              <w:rPr>
                <w:color w:val="auto"/>
              </w:rPr>
              <w:t>（5）投资总额：178万元，其中环保投资</w:t>
            </w:r>
            <w:r>
              <w:rPr>
                <w:rFonts w:hint="eastAsia"/>
                <w:color w:val="auto"/>
              </w:rPr>
              <w:t>8.5万元</w:t>
            </w:r>
          </w:p>
          <w:p>
            <w:pPr>
              <w:adjustRightInd w:val="0"/>
              <w:snapToGrid w:val="0"/>
              <w:spacing w:line="360" w:lineRule="auto"/>
              <w:ind w:firstLine="480" w:firstLineChars="200"/>
              <w:rPr>
                <w:color w:val="auto"/>
              </w:rPr>
            </w:pPr>
            <w:r>
              <w:rPr>
                <w:color w:val="auto"/>
              </w:rPr>
              <w:t>（6）建设地点：峨边彝族自治县宜坪乡桐花村</w:t>
            </w:r>
          </w:p>
          <w:p>
            <w:pPr>
              <w:adjustRightInd w:val="0"/>
              <w:snapToGrid w:val="0"/>
              <w:spacing w:line="360" w:lineRule="auto"/>
              <w:ind w:firstLine="480" w:firstLineChars="200"/>
              <w:rPr>
                <w:color w:val="auto"/>
              </w:rPr>
            </w:pPr>
            <w:r>
              <w:rPr>
                <w:color w:val="auto"/>
              </w:rPr>
              <w:t>（7）服务范围：主要处理宜坪乡桐花村居民生活污水</w:t>
            </w:r>
          </w:p>
          <w:p>
            <w:pPr>
              <w:adjustRightInd w:val="0"/>
              <w:snapToGrid w:val="0"/>
              <w:spacing w:line="360" w:lineRule="auto"/>
              <w:ind w:firstLine="480" w:firstLineChars="200"/>
              <w:rPr>
                <w:color w:val="auto"/>
              </w:rPr>
            </w:pPr>
            <w:r>
              <w:rPr>
                <w:color w:val="auto"/>
              </w:rPr>
              <w:t>（8）生产制度：本项目年运行365天，污水处理设施全天24小时运行，职工人数为1人</w:t>
            </w:r>
          </w:p>
          <w:p>
            <w:pPr>
              <w:adjustRightInd w:val="0"/>
              <w:snapToGrid w:val="0"/>
              <w:spacing w:line="360" w:lineRule="auto"/>
              <w:ind w:firstLine="482" w:firstLineChars="200"/>
              <w:rPr>
                <w:b/>
                <w:bCs/>
                <w:color w:val="auto"/>
              </w:rPr>
            </w:pPr>
            <w:r>
              <w:rPr>
                <w:b/>
                <w:bCs/>
                <w:color w:val="auto"/>
              </w:rPr>
              <w:t>2.项目建设内容</w:t>
            </w:r>
          </w:p>
          <w:p>
            <w:pPr>
              <w:adjustRightInd w:val="0"/>
              <w:snapToGrid w:val="0"/>
              <w:spacing w:line="360" w:lineRule="auto"/>
              <w:ind w:firstLine="480" w:firstLineChars="200"/>
              <w:rPr>
                <w:color w:val="auto"/>
              </w:rPr>
            </w:pPr>
            <w:r>
              <w:rPr>
                <w:rFonts w:hint="eastAsia"/>
                <w:color w:val="auto"/>
              </w:rPr>
              <w:t>因地势高差原因，</w:t>
            </w:r>
            <w:r>
              <w:rPr>
                <w:color w:val="auto"/>
              </w:rPr>
              <w:t>宜坪乡桐花村污水收集分为东部片区、南部片区和西部片区共三个片区。本项目总占地面积约为420m</w:t>
            </w:r>
            <w:r>
              <w:rPr>
                <w:color w:val="auto"/>
                <w:vertAlign w:val="superscript"/>
              </w:rPr>
              <w:t>2</w:t>
            </w:r>
            <w:r>
              <w:rPr>
                <w:color w:val="auto"/>
              </w:rPr>
              <w:t>，主要建设内容为：新建3座化粪池，1座MBR生物膜一体化设备和2座人工湿地。</w:t>
            </w:r>
          </w:p>
          <w:p>
            <w:pPr>
              <w:adjustRightInd w:val="0"/>
              <w:snapToGrid w:val="0"/>
              <w:spacing w:line="360" w:lineRule="auto"/>
              <w:ind w:firstLine="480" w:firstLineChars="200"/>
              <w:rPr>
                <w:color w:val="auto"/>
              </w:rPr>
            </w:pPr>
            <w:r>
              <w:rPr>
                <w:color w:val="auto"/>
              </w:rPr>
              <w:t>东部片区：新建污水干管1255m，污水检查井70座，污水治理形式为“化粪池1+MBR一体化设备”，服务人口约370人，占地面积约为200m</w:t>
            </w:r>
            <w:r>
              <w:rPr>
                <w:color w:val="auto"/>
                <w:vertAlign w:val="superscript"/>
              </w:rPr>
              <w:t>2</w:t>
            </w:r>
            <w:r>
              <w:rPr>
                <w:color w:val="auto"/>
              </w:rPr>
              <w:t>，污水处理能力为60m</w:t>
            </w:r>
            <w:r>
              <w:rPr>
                <w:color w:val="auto"/>
                <w:vertAlign w:val="superscript"/>
              </w:rPr>
              <w:t>3</w:t>
            </w:r>
            <w:r>
              <w:rPr>
                <w:color w:val="auto"/>
              </w:rPr>
              <w:t>/d，生活污水经MBR一体化设备处理后出水水质达到《农村生活污水处理设施水污染物排放标准》（DB51/ 2626-2019）一级标准后排入官料河。</w:t>
            </w:r>
          </w:p>
          <w:p>
            <w:pPr>
              <w:adjustRightInd w:val="0"/>
              <w:snapToGrid w:val="0"/>
              <w:spacing w:line="360" w:lineRule="auto"/>
              <w:ind w:firstLine="480" w:firstLineChars="200"/>
              <w:rPr>
                <w:color w:val="auto"/>
              </w:rPr>
            </w:pPr>
            <w:r>
              <w:rPr>
                <w:color w:val="auto"/>
              </w:rPr>
              <w:t>南部片区：新建污水干管180m，污水检查井6座，污水治理形式为“化粪池2+人工湿地”</w:t>
            </w:r>
            <w:r>
              <w:rPr>
                <w:rFonts w:hint="eastAsia"/>
                <w:color w:val="auto"/>
              </w:rPr>
              <w:t>处理后用于附近农田灌溉；</w:t>
            </w:r>
            <w:r>
              <w:rPr>
                <w:color w:val="auto"/>
              </w:rPr>
              <w:t>服务人口约40人，占地面积为100m</w:t>
            </w:r>
            <w:r>
              <w:rPr>
                <w:color w:val="auto"/>
                <w:vertAlign w:val="superscript"/>
              </w:rPr>
              <w:t>2</w:t>
            </w:r>
            <w:r>
              <w:rPr>
                <w:color w:val="auto"/>
              </w:rPr>
              <w:t>，污水处理能力均为6m</w:t>
            </w:r>
            <w:r>
              <w:rPr>
                <w:color w:val="auto"/>
                <w:vertAlign w:val="superscript"/>
              </w:rPr>
              <w:t>3</w:t>
            </w:r>
            <w:r>
              <w:rPr>
                <w:color w:val="auto"/>
              </w:rPr>
              <w:t>/d。</w:t>
            </w:r>
          </w:p>
          <w:p>
            <w:pPr>
              <w:adjustRightInd w:val="0"/>
              <w:snapToGrid w:val="0"/>
              <w:spacing w:line="360" w:lineRule="auto"/>
              <w:ind w:firstLine="480" w:firstLineChars="200"/>
              <w:rPr>
                <w:color w:val="auto"/>
              </w:rPr>
            </w:pPr>
            <w:r>
              <w:rPr>
                <w:color w:val="auto"/>
              </w:rPr>
              <w:t>西部片区：新建污水干管576m，污水检查井25座，污水治理形式为“化粪池3+人工湿地”</w:t>
            </w:r>
            <w:r>
              <w:rPr>
                <w:rFonts w:hint="eastAsia"/>
                <w:color w:val="auto"/>
              </w:rPr>
              <w:t>处理后用于附近农田灌溉；</w:t>
            </w:r>
            <w:r>
              <w:rPr>
                <w:color w:val="auto"/>
              </w:rPr>
              <w:t>服务人口约90人，占地面积分别为120m</w:t>
            </w:r>
            <w:r>
              <w:rPr>
                <w:color w:val="auto"/>
                <w:vertAlign w:val="superscript"/>
              </w:rPr>
              <w:t>2</w:t>
            </w:r>
            <w:r>
              <w:rPr>
                <w:color w:val="auto"/>
              </w:rPr>
              <w:t>，污水处理能力为10m</w:t>
            </w:r>
            <w:r>
              <w:rPr>
                <w:color w:val="auto"/>
                <w:vertAlign w:val="superscript"/>
              </w:rPr>
              <w:t>3</w:t>
            </w:r>
            <w:r>
              <w:rPr>
                <w:color w:val="auto"/>
              </w:rPr>
              <w:t>/d。</w:t>
            </w:r>
          </w:p>
          <w:p>
            <w:pPr>
              <w:adjustRightInd w:val="0"/>
              <w:snapToGrid w:val="0"/>
              <w:spacing w:line="360" w:lineRule="auto"/>
              <w:ind w:firstLine="480" w:firstLineChars="200"/>
              <w:rPr>
                <w:color w:val="auto"/>
              </w:rPr>
            </w:pPr>
            <w:r>
              <w:rPr>
                <w:color w:val="auto"/>
              </w:rPr>
              <w:t>其具体参数见下表1-2：</w:t>
            </w:r>
          </w:p>
          <w:p>
            <w:pPr>
              <w:pStyle w:val="72"/>
              <w:snapToGrid w:val="0"/>
              <w:spacing w:line="360" w:lineRule="auto"/>
              <w:jc w:val="center"/>
              <w:rPr>
                <w:rFonts w:ascii="Times New Roman" w:eastAsia="黑体" w:cs="Times New Roman"/>
                <w:color w:val="auto"/>
                <w:spacing w:val="20"/>
              </w:rPr>
            </w:pPr>
            <w:r>
              <w:rPr>
                <w:rFonts w:ascii="Times New Roman" w:eastAsia="黑体" w:cs="Times New Roman"/>
                <w:color w:val="auto"/>
                <w:spacing w:val="20"/>
              </w:rPr>
              <w:t>表1-2  项目组成及主要环境问题</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14"/>
              <w:gridCol w:w="4236"/>
              <w:gridCol w:w="996"/>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restart"/>
                  <w:noWrap w:val="0"/>
                  <w:vAlign w:val="center"/>
                </w:tcPr>
                <w:p>
                  <w:pPr>
                    <w:adjustRightInd w:val="0"/>
                    <w:snapToGrid w:val="0"/>
                    <w:jc w:val="center"/>
                    <w:rPr>
                      <w:b/>
                      <w:bCs/>
                      <w:color w:val="auto"/>
                      <w:sz w:val="21"/>
                      <w:szCs w:val="21"/>
                    </w:rPr>
                  </w:pPr>
                  <w:r>
                    <w:rPr>
                      <w:b/>
                      <w:bCs/>
                      <w:color w:val="auto"/>
                      <w:sz w:val="21"/>
                      <w:szCs w:val="21"/>
                    </w:rPr>
                    <w:t>工程分类</w:t>
                  </w:r>
                </w:p>
              </w:tc>
              <w:tc>
                <w:tcPr>
                  <w:tcW w:w="1614" w:type="dxa"/>
                  <w:vMerge w:val="restart"/>
                  <w:noWrap w:val="0"/>
                  <w:vAlign w:val="center"/>
                </w:tcPr>
                <w:p>
                  <w:pPr>
                    <w:adjustRightInd w:val="0"/>
                    <w:snapToGrid w:val="0"/>
                    <w:jc w:val="center"/>
                    <w:rPr>
                      <w:b/>
                      <w:bCs/>
                      <w:color w:val="auto"/>
                      <w:sz w:val="21"/>
                      <w:szCs w:val="21"/>
                    </w:rPr>
                  </w:pPr>
                  <w:r>
                    <w:rPr>
                      <w:b/>
                      <w:bCs/>
                      <w:color w:val="auto"/>
                      <w:sz w:val="21"/>
                      <w:szCs w:val="21"/>
                    </w:rPr>
                    <w:t>项目名称</w:t>
                  </w:r>
                </w:p>
              </w:tc>
              <w:tc>
                <w:tcPr>
                  <w:tcW w:w="4236" w:type="dxa"/>
                  <w:vMerge w:val="restart"/>
                  <w:noWrap w:val="0"/>
                  <w:vAlign w:val="center"/>
                </w:tcPr>
                <w:p>
                  <w:pPr>
                    <w:adjustRightInd w:val="0"/>
                    <w:snapToGrid w:val="0"/>
                    <w:jc w:val="center"/>
                    <w:rPr>
                      <w:b/>
                      <w:bCs/>
                      <w:color w:val="auto"/>
                      <w:sz w:val="21"/>
                      <w:szCs w:val="21"/>
                    </w:rPr>
                  </w:pPr>
                  <w:r>
                    <w:rPr>
                      <w:b/>
                      <w:bCs/>
                      <w:color w:val="auto"/>
                      <w:sz w:val="21"/>
                      <w:szCs w:val="21"/>
                    </w:rPr>
                    <w:t>建设内容及规模</w:t>
                  </w:r>
                </w:p>
              </w:tc>
              <w:tc>
                <w:tcPr>
                  <w:tcW w:w="2310" w:type="dxa"/>
                  <w:gridSpan w:val="2"/>
                  <w:noWrap w:val="0"/>
                  <w:vAlign w:val="center"/>
                </w:tcPr>
                <w:p>
                  <w:pPr>
                    <w:adjustRightInd w:val="0"/>
                    <w:snapToGrid w:val="0"/>
                    <w:jc w:val="center"/>
                    <w:rPr>
                      <w:b/>
                      <w:bCs/>
                      <w:color w:val="auto"/>
                      <w:sz w:val="21"/>
                      <w:szCs w:val="21"/>
                    </w:rPr>
                  </w:pPr>
                  <w:r>
                    <w:rPr>
                      <w:b/>
                      <w:bCs/>
                      <w:color w:val="auto"/>
                      <w:sz w:val="21"/>
                      <w:szCs w:val="21"/>
                    </w:rPr>
                    <w:t>可能存在的环境问题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vMerge w:val="continue"/>
                  <w:noWrap w:val="0"/>
                  <w:vAlign w:val="center"/>
                </w:tcPr>
                <w:p>
                  <w:pPr>
                    <w:adjustRightInd w:val="0"/>
                    <w:snapToGrid w:val="0"/>
                    <w:jc w:val="center"/>
                    <w:rPr>
                      <w:color w:val="auto"/>
                      <w:sz w:val="21"/>
                      <w:szCs w:val="21"/>
                    </w:rPr>
                  </w:pPr>
                </w:p>
              </w:tc>
              <w:tc>
                <w:tcPr>
                  <w:tcW w:w="4236" w:type="dxa"/>
                  <w:vMerge w:val="continue"/>
                  <w:noWrap w:val="0"/>
                  <w:vAlign w:val="center"/>
                </w:tcPr>
                <w:p>
                  <w:pPr>
                    <w:adjustRightInd w:val="0"/>
                    <w:snapToGrid w:val="0"/>
                    <w:jc w:val="center"/>
                    <w:rPr>
                      <w:color w:val="auto"/>
                      <w:sz w:val="21"/>
                      <w:szCs w:val="21"/>
                    </w:rPr>
                  </w:pPr>
                </w:p>
              </w:tc>
              <w:tc>
                <w:tcPr>
                  <w:tcW w:w="996" w:type="dxa"/>
                  <w:noWrap w:val="0"/>
                  <w:vAlign w:val="center"/>
                </w:tcPr>
                <w:p>
                  <w:pPr>
                    <w:adjustRightInd w:val="0"/>
                    <w:snapToGrid w:val="0"/>
                    <w:jc w:val="center"/>
                    <w:rPr>
                      <w:color w:val="auto"/>
                      <w:sz w:val="21"/>
                      <w:szCs w:val="21"/>
                    </w:rPr>
                  </w:pPr>
                  <w:r>
                    <w:rPr>
                      <w:color w:val="auto"/>
                      <w:sz w:val="21"/>
                      <w:szCs w:val="21"/>
                    </w:rPr>
                    <w:t>施工期</w:t>
                  </w:r>
                </w:p>
              </w:tc>
              <w:tc>
                <w:tcPr>
                  <w:tcW w:w="1314" w:type="dxa"/>
                  <w:noWrap w:val="0"/>
                  <w:vAlign w:val="center"/>
                </w:tcPr>
                <w:p>
                  <w:pPr>
                    <w:adjustRightInd w:val="0"/>
                    <w:snapToGrid w:val="0"/>
                    <w:jc w:val="center"/>
                    <w:rPr>
                      <w:color w:val="auto"/>
                      <w:sz w:val="21"/>
                      <w:szCs w:val="21"/>
                    </w:rPr>
                  </w:pPr>
                  <w:r>
                    <w:rPr>
                      <w:color w:val="auto"/>
                      <w:sz w:val="21"/>
                      <w:szCs w:val="21"/>
                    </w:rPr>
                    <w:t>营运期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restart"/>
                  <w:noWrap w:val="0"/>
                  <w:vAlign w:val="center"/>
                </w:tcPr>
                <w:p>
                  <w:pPr>
                    <w:adjustRightInd w:val="0"/>
                    <w:snapToGrid w:val="0"/>
                    <w:jc w:val="center"/>
                    <w:rPr>
                      <w:color w:val="auto"/>
                      <w:sz w:val="21"/>
                      <w:szCs w:val="21"/>
                    </w:rPr>
                  </w:pPr>
                  <w:r>
                    <w:rPr>
                      <w:color w:val="auto"/>
                      <w:sz w:val="21"/>
                      <w:szCs w:val="21"/>
                    </w:rPr>
                    <w:t>主体工程</w:t>
                  </w:r>
                </w:p>
              </w:tc>
              <w:tc>
                <w:tcPr>
                  <w:tcW w:w="1614" w:type="dxa"/>
                  <w:noWrap w:val="0"/>
                  <w:vAlign w:val="center"/>
                </w:tcPr>
                <w:p>
                  <w:pPr>
                    <w:adjustRightInd w:val="0"/>
                    <w:snapToGrid w:val="0"/>
                    <w:jc w:val="center"/>
                    <w:rPr>
                      <w:color w:val="auto"/>
                      <w:sz w:val="21"/>
                      <w:szCs w:val="21"/>
                    </w:rPr>
                  </w:pPr>
                  <w:r>
                    <w:rPr>
                      <w:color w:val="auto"/>
                      <w:sz w:val="21"/>
                      <w:szCs w:val="21"/>
                    </w:rPr>
                    <w:t>管网工程</w:t>
                  </w:r>
                </w:p>
              </w:tc>
              <w:tc>
                <w:tcPr>
                  <w:tcW w:w="4236" w:type="dxa"/>
                  <w:noWrap w:val="0"/>
                  <w:vAlign w:val="center"/>
                </w:tcPr>
                <w:p>
                  <w:pPr>
                    <w:adjustRightInd w:val="0"/>
                    <w:snapToGrid w:val="0"/>
                    <w:jc w:val="left"/>
                    <w:rPr>
                      <w:color w:val="auto"/>
                      <w:sz w:val="21"/>
                      <w:szCs w:val="21"/>
                    </w:rPr>
                  </w:pPr>
                  <w:r>
                    <w:rPr>
                      <w:color w:val="auto"/>
                      <w:sz w:val="21"/>
                      <w:szCs w:val="21"/>
                    </w:rPr>
                    <w:t>建设污水干管道2011m，污水支管4000m，</w:t>
                  </w:r>
                  <w:r>
                    <w:rPr>
                      <w:rFonts w:hint="eastAsia"/>
                      <w:color w:val="auto"/>
                      <w:sz w:val="21"/>
                      <w:szCs w:val="21"/>
                    </w:rPr>
                    <w:t>污水干管</w:t>
                  </w:r>
                  <w:r>
                    <w:rPr>
                      <w:color w:val="auto"/>
                      <w:sz w:val="21"/>
                      <w:szCs w:val="21"/>
                    </w:rPr>
                    <w:t>管径为DN</w:t>
                  </w:r>
                  <w:r>
                    <w:rPr>
                      <w:rFonts w:hint="eastAsia"/>
                      <w:color w:val="auto"/>
                      <w:sz w:val="21"/>
                      <w:szCs w:val="21"/>
                    </w:rPr>
                    <w:t>315和</w:t>
                  </w:r>
                  <w:r>
                    <w:rPr>
                      <w:color w:val="auto"/>
                      <w:sz w:val="21"/>
                      <w:szCs w:val="21"/>
                    </w:rPr>
                    <w:t>DN</w:t>
                  </w:r>
                  <w:r>
                    <w:rPr>
                      <w:rFonts w:hint="eastAsia"/>
                      <w:color w:val="auto"/>
                      <w:sz w:val="21"/>
                      <w:szCs w:val="21"/>
                    </w:rPr>
                    <w:t>225</w:t>
                  </w:r>
                  <w:r>
                    <w:rPr>
                      <w:color w:val="auto"/>
                      <w:sz w:val="21"/>
                      <w:szCs w:val="21"/>
                    </w:rPr>
                    <w:t>，主要覆盖收集宜坪乡桐花村区域生活污水。管材选用</w:t>
                  </w:r>
                  <w:r>
                    <w:rPr>
                      <w:rFonts w:hint="eastAsia"/>
                      <w:color w:val="auto"/>
                      <w:sz w:val="21"/>
                      <w:szCs w:val="21"/>
                    </w:rPr>
                    <w:t>HDPE双壁波纹管</w:t>
                  </w:r>
                  <w:r>
                    <w:rPr>
                      <w:color w:val="auto"/>
                      <w:sz w:val="21"/>
                      <w:szCs w:val="21"/>
                    </w:rPr>
                    <w:t>。</w:t>
                  </w:r>
                  <w:r>
                    <w:rPr>
                      <w:rFonts w:hint="eastAsia"/>
                      <w:color w:val="auto"/>
                      <w:sz w:val="21"/>
                      <w:szCs w:val="21"/>
                      <w:lang w:eastAsia="zh-CN"/>
                    </w:rPr>
                    <w:t>项目管线不涉及穿越、跨越河流。</w:t>
                  </w:r>
                </w:p>
              </w:tc>
              <w:tc>
                <w:tcPr>
                  <w:tcW w:w="996" w:type="dxa"/>
                  <w:vMerge w:val="restart"/>
                  <w:noWrap w:val="0"/>
                  <w:vAlign w:val="center"/>
                </w:tcPr>
                <w:p>
                  <w:pPr>
                    <w:adjustRightInd w:val="0"/>
                    <w:snapToGrid w:val="0"/>
                    <w:jc w:val="center"/>
                    <w:rPr>
                      <w:color w:val="auto"/>
                      <w:sz w:val="21"/>
                      <w:szCs w:val="21"/>
                    </w:rPr>
                  </w:pPr>
                  <w:r>
                    <w:rPr>
                      <w:color w:val="auto"/>
                      <w:sz w:val="21"/>
                      <w:szCs w:val="21"/>
                    </w:rPr>
                    <w:t>噪声、废气、废水、固废、水土流失等</w:t>
                  </w:r>
                  <w:r>
                    <w:rPr>
                      <w:rFonts w:hint="eastAsia"/>
                      <w:color w:val="auto"/>
                    </w:rPr>
                    <w:t>枯枝败叶</w:t>
                  </w:r>
                </w:p>
              </w:tc>
              <w:tc>
                <w:tcPr>
                  <w:tcW w:w="1314" w:type="dxa"/>
                  <w:noWrap w:val="0"/>
                  <w:vAlign w:val="center"/>
                </w:tcPr>
                <w:p>
                  <w:pPr>
                    <w:adjustRightInd w:val="0"/>
                    <w:snapToGrid w:val="0"/>
                    <w:jc w:val="center"/>
                    <w:rPr>
                      <w:color w:val="auto"/>
                      <w:sz w:val="21"/>
                      <w:szCs w:val="21"/>
                    </w:rPr>
                  </w:pPr>
                  <w:r>
                    <w:rPr>
                      <w:color w:val="auto"/>
                      <w:sz w:val="21"/>
                      <w:szCs w:val="21"/>
                    </w:rPr>
                    <w:t>淤泥、恶臭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化粪池1+MBR一体化污水处理设备</w:t>
                  </w:r>
                </w:p>
              </w:tc>
              <w:tc>
                <w:tcPr>
                  <w:tcW w:w="4236" w:type="dxa"/>
                  <w:noWrap w:val="0"/>
                  <w:vAlign w:val="center"/>
                </w:tcPr>
                <w:p>
                  <w:pPr>
                    <w:adjustRightInd w:val="0"/>
                    <w:snapToGrid w:val="0"/>
                    <w:rPr>
                      <w:color w:val="auto"/>
                      <w:sz w:val="21"/>
                      <w:szCs w:val="21"/>
                    </w:rPr>
                  </w:pPr>
                  <w:r>
                    <w:rPr>
                      <w:color w:val="auto"/>
                      <w:sz w:val="21"/>
                      <w:szCs w:val="21"/>
                    </w:rPr>
                    <w:t>在桐花村南侧新建</w:t>
                  </w:r>
                  <w:r>
                    <w:rPr>
                      <w:rFonts w:hint="eastAsia"/>
                      <w:color w:val="auto"/>
                      <w:sz w:val="21"/>
                      <w:szCs w:val="21"/>
                    </w:rPr>
                    <w:t>1</w:t>
                  </w:r>
                  <w:r>
                    <w:rPr>
                      <w:color w:val="auto"/>
                      <w:sz w:val="21"/>
                      <w:szCs w:val="21"/>
                    </w:rPr>
                    <w:t>座</w:t>
                  </w:r>
                  <w:r>
                    <w:rPr>
                      <w:rFonts w:hint="eastAsia"/>
                      <w:color w:val="auto"/>
                      <w:sz w:val="21"/>
                      <w:szCs w:val="21"/>
                    </w:rPr>
                    <w:t>三格</w:t>
                  </w:r>
                  <w:r>
                    <w:rPr>
                      <w:color w:val="auto"/>
                      <w:sz w:val="21"/>
                      <w:szCs w:val="21"/>
                    </w:rPr>
                    <w:t>化粪池，新建半地埋式MBR一体化污水处理设备，</w:t>
                  </w:r>
                  <w:r>
                    <w:rPr>
                      <w:rFonts w:hint="eastAsia"/>
                      <w:color w:val="auto"/>
                      <w:sz w:val="21"/>
                      <w:szCs w:val="21"/>
                    </w:rPr>
                    <w:t>尺寸为</w:t>
                  </w:r>
                  <w:r>
                    <w:rPr>
                      <w:color w:val="auto"/>
                    </w:rPr>
                    <w:t>10m×3m×3m</w:t>
                  </w:r>
                  <w:r>
                    <w:rPr>
                      <w:rFonts w:hint="eastAsia"/>
                      <w:color w:val="auto"/>
                    </w:rPr>
                    <w:t>，</w:t>
                  </w:r>
                  <w:r>
                    <w:rPr>
                      <w:color w:val="auto"/>
                      <w:sz w:val="21"/>
                      <w:szCs w:val="21"/>
                    </w:rPr>
                    <w:t>处理规模为60m</w:t>
                  </w:r>
                  <w:r>
                    <w:rPr>
                      <w:color w:val="auto"/>
                      <w:sz w:val="21"/>
                      <w:szCs w:val="21"/>
                      <w:vertAlign w:val="superscript"/>
                    </w:rPr>
                    <w:t>3</w:t>
                  </w:r>
                  <w:r>
                    <w:rPr>
                      <w:color w:val="auto"/>
                      <w:sz w:val="21"/>
                      <w:szCs w:val="21"/>
                    </w:rPr>
                    <w:t>/d，</w:t>
                  </w:r>
                  <w:r>
                    <w:rPr>
                      <w:rFonts w:hint="eastAsia"/>
                      <w:color w:val="auto"/>
                      <w:sz w:val="21"/>
                      <w:szCs w:val="21"/>
                    </w:rPr>
                    <w:t>处理工艺为“A</w:t>
                  </w:r>
                  <w:r>
                    <w:rPr>
                      <w:color w:val="auto"/>
                      <w:sz w:val="21"/>
                      <w:szCs w:val="21"/>
                    </w:rPr>
                    <w:t>/O</w:t>
                  </w:r>
                  <w:r>
                    <w:rPr>
                      <w:rFonts w:hint="eastAsia"/>
                      <w:color w:val="auto"/>
                      <w:sz w:val="21"/>
                      <w:szCs w:val="21"/>
                    </w:rPr>
                    <w:t xml:space="preserve"> +</w:t>
                  </w:r>
                  <w:r>
                    <w:rPr>
                      <w:color w:val="auto"/>
                      <w:sz w:val="21"/>
                      <w:szCs w:val="21"/>
                    </w:rPr>
                    <w:t>MBR生物膜处理</w:t>
                  </w:r>
                  <w:r>
                    <w:rPr>
                      <w:rFonts w:hint="eastAsia"/>
                      <w:color w:val="auto"/>
                      <w:sz w:val="21"/>
                      <w:szCs w:val="21"/>
                    </w:rPr>
                    <w:t>”工艺，</w:t>
                  </w:r>
                  <w:r>
                    <w:rPr>
                      <w:color w:val="auto"/>
                      <w:sz w:val="21"/>
                      <w:szCs w:val="21"/>
                    </w:rPr>
                    <w:t>主要收集处理东部片区</w:t>
                  </w:r>
                  <w:r>
                    <w:rPr>
                      <w:rFonts w:hint="eastAsia"/>
                      <w:color w:val="auto"/>
                      <w:sz w:val="21"/>
                      <w:szCs w:val="21"/>
                    </w:rPr>
                    <w:t>约3</w:t>
                  </w:r>
                  <w:r>
                    <w:rPr>
                      <w:color w:val="auto"/>
                      <w:sz w:val="21"/>
                      <w:szCs w:val="21"/>
                    </w:rPr>
                    <w:t>70</w:t>
                  </w:r>
                  <w:r>
                    <w:rPr>
                      <w:rFonts w:hint="eastAsia"/>
                      <w:color w:val="auto"/>
                      <w:sz w:val="21"/>
                      <w:szCs w:val="21"/>
                    </w:rPr>
                    <w:t>人</w:t>
                  </w:r>
                  <w:r>
                    <w:rPr>
                      <w:color w:val="auto"/>
                      <w:sz w:val="21"/>
                      <w:szCs w:val="21"/>
                    </w:rPr>
                    <w:t>居民生活污水。</w:t>
                  </w:r>
                </w:p>
              </w:tc>
              <w:tc>
                <w:tcPr>
                  <w:tcW w:w="996" w:type="dxa"/>
                  <w:vMerge w:val="continue"/>
                  <w:noWrap w:val="0"/>
                  <w:vAlign w:val="center"/>
                </w:tcPr>
                <w:p>
                  <w:pPr>
                    <w:adjustRightInd w:val="0"/>
                    <w:snapToGrid w:val="0"/>
                    <w:jc w:val="center"/>
                    <w:rPr>
                      <w:color w:val="auto"/>
                      <w:sz w:val="21"/>
                      <w:szCs w:val="21"/>
                    </w:rPr>
                  </w:pPr>
                </w:p>
              </w:tc>
              <w:tc>
                <w:tcPr>
                  <w:tcW w:w="1314" w:type="dxa"/>
                  <w:vMerge w:val="restart"/>
                  <w:noWrap w:val="0"/>
                  <w:vAlign w:val="center"/>
                </w:tcPr>
                <w:p>
                  <w:pPr>
                    <w:adjustRightInd w:val="0"/>
                    <w:snapToGrid w:val="0"/>
                    <w:jc w:val="center"/>
                    <w:rPr>
                      <w:color w:val="auto"/>
                      <w:sz w:val="21"/>
                      <w:szCs w:val="21"/>
                    </w:rPr>
                  </w:pPr>
                  <w:r>
                    <w:rPr>
                      <w:color w:val="auto"/>
                      <w:sz w:val="21"/>
                      <w:szCs w:val="21"/>
                    </w:rPr>
                    <w:t>恶臭、设备噪声、固废、污泥等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化粪池2+人工湿地</w:t>
                  </w:r>
                </w:p>
              </w:tc>
              <w:tc>
                <w:tcPr>
                  <w:tcW w:w="4236" w:type="dxa"/>
                  <w:noWrap w:val="0"/>
                  <w:vAlign w:val="center"/>
                </w:tcPr>
                <w:p>
                  <w:pPr>
                    <w:adjustRightInd w:val="0"/>
                    <w:snapToGrid w:val="0"/>
                    <w:jc w:val="left"/>
                    <w:rPr>
                      <w:color w:val="auto"/>
                      <w:sz w:val="21"/>
                      <w:szCs w:val="21"/>
                    </w:rPr>
                  </w:pPr>
                  <w:r>
                    <w:rPr>
                      <w:color w:val="auto"/>
                      <w:sz w:val="21"/>
                      <w:szCs w:val="21"/>
                    </w:rPr>
                    <w:t>在桐花村西南侧新建1座</w:t>
                  </w:r>
                  <w:r>
                    <w:rPr>
                      <w:rFonts w:hint="eastAsia"/>
                      <w:color w:val="auto"/>
                      <w:sz w:val="21"/>
                      <w:szCs w:val="21"/>
                    </w:rPr>
                    <w:t>两格</w:t>
                  </w:r>
                  <w:r>
                    <w:rPr>
                      <w:color w:val="auto"/>
                      <w:sz w:val="21"/>
                      <w:szCs w:val="21"/>
                    </w:rPr>
                    <w:t>化粪池，新建1个人工湿地，</w:t>
                  </w:r>
                  <w:r>
                    <w:rPr>
                      <w:rFonts w:hint="eastAsia"/>
                      <w:color w:val="auto"/>
                      <w:sz w:val="21"/>
                      <w:szCs w:val="21"/>
                    </w:rPr>
                    <w:t>人工湿地由布水渠+潜流人工湿地</w:t>
                  </w:r>
                  <w:r>
                    <w:rPr>
                      <w:color w:val="auto"/>
                      <w:sz w:val="21"/>
                      <w:szCs w:val="21"/>
                    </w:rPr>
                    <w:t>+</w:t>
                  </w:r>
                  <w:r>
                    <w:rPr>
                      <w:rFonts w:hint="eastAsia"/>
                      <w:color w:val="auto"/>
                      <w:sz w:val="21"/>
                      <w:szCs w:val="21"/>
                    </w:rPr>
                    <w:t>出水渠组成，面积约为</w:t>
                  </w:r>
                  <w:r>
                    <w:rPr>
                      <w:color w:val="auto"/>
                      <w:sz w:val="21"/>
                      <w:szCs w:val="21"/>
                    </w:rPr>
                    <w:t>17.76m</w:t>
                  </w:r>
                  <w:r>
                    <w:rPr>
                      <w:color w:val="auto"/>
                      <w:sz w:val="21"/>
                      <w:szCs w:val="21"/>
                      <w:vertAlign w:val="superscript"/>
                    </w:rPr>
                    <w:t>2</w:t>
                  </w:r>
                  <w:r>
                    <w:rPr>
                      <w:rFonts w:hint="eastAsia"/>
                      <w:color w:val="auto"/>
                      <w:sz w:val="21"/>
                      <w:szCs w:val="21"/>
                    </w:rPr>
                    <w:t>，种植植物花叶芦荻约4</w:t>
                  </w:r>
                  <w:r>
                    <w:rPr>
                      <w:color w:val="auto"/>
                      <w:sz w:val="21"/>
                      <w:szCs w:val="21"/>
                    </w:rPr>
                    <w:t>4</w:t>
                  </w:r>
                  <w:r>
                    <w:rPr>
                      <w:rFonts w:hint="eastAsia"/>
                      <w:color w:val="auto"/>
                      <w:sz w:val="21"/>
                      <w:szCs w:val="21"/>
                    </w:rPr>
                    <w:t>棵，</w:t>
                  </w:r>
                  <w:r>
                    <w:rPr>
                      <w:color w:val="auto"/>
                      <w:sz w:val="21"/>
                      <w:szCs w:val="21"/>
                    </w:rPr>
                    <w:t>处理规模为6</w:t>
                  </w:r>
                  <w:r>
                    <w:rPr>
                      <w:color w:val="auto"/>
                    </w:rPr>
                    <w:t>m</w:t>
                  </w:r>
                  <w:r>
                    <w:rPr>
                      <w:color w:val="auto"/>
                      <w:vertAlign w:val="superscript"/>
                    </w:rPr>
                    <w:t>3</w:t>
                  </w:r>
                  <w:r>
                    <w:rPr>
                      <w:color w:val="auto"/>
                    </w:rPr>
                    <w:t>/d，</w:t>
                  </w:r>
                  <w:r>
                    <w:rPr>
                      <w:color w:val="auto"/>
                      <w:sz w:val="21"/>
                      <w:szCs w:val="21"/>
                    </w:rPr>
                    <w:t>主要收集处理南部片区居民生活污水。</w:t>
                  </w:r>
                </w:p>
              </w:tc>
              <w:tc>
                <w:tcPr>
                  <w:tcW w:w="996" w:type="dxa"/>
                  <w:vMerge w:val="continue"/>
                  <w:noWrap w:val="0"/>
                  <w:vAlign w:val="center"/>
                </w:tcPr>
                <w:p>
                  <w:pPr>
                    <w:adjustRightInd w:val="0"/>
                    <w:snapToGrid w:val="0"/>
                    <w:jc w:val="center"/>
                    <w:rPr>
                      <w:color w:val="auto"/>
                      <w:sz w:val="21"/>
                      <w:szCs w:val="21"/>
                    </w:rPr>
                  </w:pPr>
                </w:p>
              </w:tc>
              <w:tc>
                <w:tcPr>
                  <w:tcW w:w="1314" w:type="dxa"/>
                  <w:vMerge w:val="continue"/>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化粪池3+人工湿地</w:t>
                  </w:r>
                </w:p>
              </w:tc>
              <w:tc>
                <w:tcPr>
                  <w:tcW w:w="4236" w:type="dxa"/>
                  <w:noWrap w:val="0"/>
                  <w:vAlign w:val="center"/>
                </w:tcPr>
                <w:p>
                  <w:pPr>
                    <w:adjustRightInd w:val="0"/>
                    <w:snapToGrid w:val="0"/>
                    <w:jc w:val="left"/>
                    <w:rPr>
                      <w:rFonts w:hint="eastAsia"/>
                      <w:color w:val="auto"/>
                      <w:sz w:val="21"/>
                      <w:szCs w:val="21"/>
                    </w:rPr>
                  </w:pPr>
                  <w:r>
                    <w:rPr>
                      <w:color w:val="auto"/>
                      <w:sz w:val="21"/>
                      <w:szCs w:val="21"/>
                    </w:rPr>
                    <w:t>在桐花村西侧新建1座</w:t>
                  </w:r>
                  <w:r>
                    <w:rPr>
                      <w:rFonts w:hint="eastAsia"/>
                      <w:color w:val="auto"/>
                      <w:sz w:val="21"/>
                      <w:szCs w:val="21"/>
                    </w:rPr>
                    <w:t>三格</w:t>
                  </w:r>
                  <w:r>
                    <w:rPr>
                      <w:color w:val="auto"/>
                      <w:sz w:val="21"/>
                      <w:szCs w:val="21"/>
                    </w:rPr>
                    <w:t>化粪池，新建1个人工湿地，主要收集处理西部片区居民生活污水。</w:t>
                  </w:r>
                  <w:r>
                    <w:rPr>
                      <w:rFonts w:hint="eastAsia"/>
                      <w:color w:val="auto"/>
                      <w:sz w:val="21"/>
                      <w:szCs w:val="21"/>
                    </w:rPr>
                    <w:t>人工湿地面积约为</w:t>
                  </w:r>
                  <w:r>
                    <w:rPr>
                      <w:color w:val="auto"/>
                      <w:sz w:val="21"/>
                      <w:szCs w:val="21"/>
                    </w:rPr>
                    <w:t>14.96m</w:t>
                  </w:r>
                  <w:r>
                    <w:rPr>
                      <w:color w:val="auto"/>
                      <w:sz w:val="21"/>
                      <w:szCs w:val="21"/>
                      <w:vertAlign w:val="superscript"/>
                    </w:rPr>
                    <w:t>2</w:t>
                  </w:r>
                  <w:r>
                    <w:rPr>
                      <w:rFonts w:hint="eastAsia"/>
                      <w:color w:val="auto"/>
                      <w:sz w:val="21"/>
                      <w:szCs w:val="21"/>
                    </w:rPr>
                    <w:t>，种植植物花叶芦荻约4</w:t>
                  </w:r>
                  <w:r>
                    <w:rPr>
                      <w:color w:val="auto"/>
                      <w:sz w:val="21"/>
                      <w:szCs w:val="21"/>
                    </w:rPr>
                    <w:t>8</w:t>
                  </w:r>
                  <w:r>
                    <w:rPr>
                      <w:rFonts w:hint="eastAsia"/>
                      <w:color w:val="auto"/>
                      <w:sz w:val="21"/>
                      <w:szCs w:val="21"/>
                    </w:rPr>
                    <w:t>棵，</w:t>
                  </w:r>
                  <w:r>
                    <w:rPr>
                      <w:color w:val="auto"/>
                      <w:sz w:val="21"/>
                      <w:szCs w:val="21"/>
                    </w:rPr>
                    <w:t>处理规模为10</w:t>
                  </w:r>
                  <w:r>
                    <w:rPr>
                      <w:color w:val="auto"/>
                    </w:rPr>
                    <w:t>m</w:t>
                  </w:r>
                  <w:r>
                    <w:rPr>
                      <w:color w:val="auto"/>
                      <w:vertAlign w:val="superscript"/>
                    </w:rPr>
                    <w:t>3</w:t>
                  </w:r>
                  <w:r>
                    <w:rPr>
                      <w:color w:val="auto"/>
                    </w:rPr>
                    <w:t>/d</w:t>
                  </w:r>
                  <w:r>
                    <w:rPr>
                      <w:rFonts w:hint="eastAsia"/>
                      <w:color w:val="auto"/>
                    </w:rPr>
                    <w:t>。</w:t>
                  </w:r>
                </w:p>
              </w:tc>
              <w:tc>
                <w:tcPr>
                  <w:tcW w:w="996" w:type="dxa"/>
                  <w:vMerge w:val="continue"/>
                  <w:noWrap w:val="0"/>
                  <w:vAlign w:val="center"/>
                </w:tcPr>
                <w:p>
                  <w:pPr>
                    <w:adjustRightInd w:val="0"/>
                    <w:snapToGrid w:val="0"/>
                    <w:jc w:val="center"/>
                    <w:rPr>
                      <w:color w:val="auto"/>
                      <w:sz w:val="21"/>
                      <w:szCs w:val="21"/>
                    </w:rPr>
                  </w:pPr>
                </w:p>
              </w:tc>
              <w:tc>
                <w:tcPr>
                  <w:tcW w:w="1314" w:type="dxa"/>
                  <w:vMerge w:val="continue"/>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38" w:type="dxa"/>
                  <w:vMerge w:val="restart"/>
                  <w:noWrap w:val="0"/>
                  <w:vAlign w:val="center"/>
                </w:tcPr>
                <w:p>
                  <w:pPr>
                    <w:adjustRightInd w:val="0"/>
                    <w:snapToGrid w:val="0"/>
                    <w:jc w:val="center"/>
                    <w:rPr>
                      <w:color w:val="auto"/>
                      <w:sz w:val="21"/>
                      <w:szCs w:val="21"/>
                    </w:rPr>
                  </w:pPr>
                  <w:r>
                    <w:rPr>
                      <w:color w:val="auto"/>
                      <w:sz w:val="21"/>
                      <w:szCs w:val="21"/>
                    </w:rPr>
                    <w:t>配套辅助工程</w:t>
                  </w:r>
                </w:p>
              </w:tc>
              <w:tc>
                <w:tcPr>
                  <w:tcW w:w="1614" w:type="dxa"/>
                  <w:noWrap w:val="0"/>
                  <w:vAlign w:val="center"/>
                </w:tcPr>
                <w:p>
                  <w:pPr>
                    <w:adjustRightInd w:val="0"/>
                    <w:snapToGrid w:val="0"/>
                    <w:jc w:val="center"/>
                    <w:rPr>
                      <w:color w:val="auto"/>
                      <w:sz w:val="21"/>
                      <w:szCs w:val="21"/>
                    </w:rPr>
                  </w:pPr>
                  <w:r>
                    <w:rPr>
                      <w:color w:val="auto"/>
                      <w:sz w:val="21"/>
                      <w:szCs w:val="21"/>
                    </w:rPr>
                    <w:t>供电工程</w:t>
                  </w:r>
                </w:p>
              </w:tc>
              <w:tc>
                <w:tcPr>
                  <w:tcW w:w="4236" w:type="dxa"/>
                  <w:noWrap w:val="0"/>
                  <w:vAlign w:val="center"/>
                </w:tcPr>
                <w:p>
                  <w:pPr>
                    <w:adjustRightInd w:val="0"/>
                    <w:snapToGrid w:val="0"/>
                    <w:jc w:val="left"/>
                    <w:rPr>
                      <w:color w:val="auto"/>
                      <w:sz w:val="21"/>
                      <w:szCs w:val="21"/>
                    </w:rPr>
                  </w:pPr>
                  <w:r>
                    <w:rPr>
                      <w:color w:val="auto"/>
                      <w:sz w:val="21"/>
                      <w:szCs w:val="21"/>
                    </w:rPr>
                    <w:t>就近接入市政电网。</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给排水工程</w:t>
                  </w:r>
                </w:p>
              </w:tc>
              <w:tc>
                <w:tcPr>
                  <w:tcW w:w="4236" w:type="dxa"/>
                  <w:noWrap w:val="0"/>
                  <w:vAlign w:val="center"/>
                </w:tcPr>
                <w:p>
                  <w:pPr>
                    <w:adjustRightInd w:val="0"/>
                    <w:snapToGrid w:val="0"/>
                    <w:jc w:val="left"/>
                    <w:rPr>
                      <w:color w:val="auto"/>
                      <w:sz w:val="21"/>
                      <w:szCs w:val="21"/>
                    </w:rPr>
                  </w:pPr>
                  <w:r>
                    <w:rPr>
                      <w:color w:val="auto"/>
                      <w:sz w:val="21"/>
                      <w:szCs w:val="21"/>
                    </w:rPr>
                    <w:t>给水来自周边农户自来水接入；东部片区</w:t>
                  </w:r>
                  <w:r>
                    <w:rPr>
                      <w:rFonts w:hint="eastAsia"/>
                      <w:color w:val="auto"/>
                      <w:sz w:val="21"/>
                      <w:szCs w:val="21"/>
                    </w:rPr>
                    <w:t>生活污水</w:t>
                  </w:r>
                  <w:r>
                    <w:rPr>
                      <w:color w:val="auto"/>
                      <w:sz w:val="21"/>
                      <w:szCs w:val="21"/>
                    </w:rPr>
                    <w:t>经</w:t>
                  </w:r>
                  <w:r>
                    <w:rPr>
                      <w:rFonts w:hint="eastAsia"/>
                      <w:color w:val="auto"/>
                      <w:sz w:val="21"/>
                      <w:szCs w:val="21"/>
                    </w:rPr>
                    <w:t>预处理+</w:t>
                  </w:r>
                  <w:r>
                    <w:rPr>
                      <w:color w:val="auto"/>
                      <w:sz w:val="21"/>
                      <w:szCs w:val="21"/>
                    </w:rPr>
                    <w:t>MBR一体化设备处理达标的水排入官料河</w:t>
                  </w:r>
                  <w:r>
                    <w:rPr>
                      <w:rFonts w:hint="eastAsia"/>
                      <w:color w:val="auto"/>
                      <w:sz w:val="21"/>
                      <w:szCs w:val="21"/>
                    </w:rPr>
                    <w:t>；</w:t>
                  </w:r>
                  <w:r>
                    <w:rPr>
                      <w:color w:val="auto"/>
                      <w:sz w:val="21"/>
                      <w:szCs w:val="21"/>
                    </w:rPr>
                    <w:t>南部片区</w:t>
                  </w:r>
                  <w:r>
                    <w:rPr>
                      <w:rFonts w:hint="eastAsia"/>
                      <w:color w:val="auto"/>
                      <w:sz w:val="21"/>
                      <w:szCs w:val="21"/>
                    </w:rPr>
                    <w:t>、</w:t>
                  </w:r>
                  <w:r>
                    <w:rPr>
                      <w:color w:val="auto"/>
                      <w:sz w:val="21"/>
                      <w:szCs w:val="21"/>
                    </w:rPr>
                    <w:t>西部片区</w:t>
                  </w:r>
                  <w:r>
                    <w:rPr>
                      <w:rFonts w:hint="eastAsia"/>
                      <w:color w:val="auto"/>
                      <w:sz w:val="21"/>
                      <w:szCs w:val="21"/>
                    </w:rPr>
                    <w:t>生活污水</w:t>
                  </w:r>
                  <w:r>
                    <w:rPr>
                      <w:color w:val="auto"/>
                      <w:sz w:val="21"/>
                      <w:szCs w:val="21"/>
                    </w:rPr>
                    <w:t>经</w:t>
                  </w:r>
                  <w:r>
                    <w:rPr>
                      <w:rFonts w:hint="eastAsia"/>
                      <w:color w:val="auto"/>
                      <w:sz w:val="21"/>
                      <w:szCs w:val="21"/>
                    </w:rPr>
                    <w:t>预处理+</w:t>
                  </w:r>
                  <w:r>
                    <w:rPr>
                      <w:color w:val="auto"/>
                      <w:sz w:val="21"/>
                      <w:szCs w:val="21"/>
                    </w:rPr>
                    <w:t>人工湿地处理</w:t>
                  </w:r>
                  <w:r>
                    <w:rPr>
                      <w:rFonts w:hint="eastAsia"/>
                      <w:color w:val="auto"/>
                      <w:sz w:val="21"/>
                      <w:szCs w:val="21"/>
                    </w:rPr>
                    <w:t>后</w:t>
                  </w:r>
                  <w:r>
                    <w:rPr>
                      <w:color w:val="auto"/>
                      <w:sz w:val="21"/>
                      <w:szCs w:val="21"/>
                    </w:rPr>
                    <w:t>的水</w:t>
                  </w:r>
                  <w:r>
                    <w:rPr>
                      <w:rFonts w:hint="eastAsia"/>
                      <w:color w:val="auto"/>
                      <w:sz w:val="21"/>
                      <w:szCs w:val="21"/>
                    </w:rPr>
                    <w:t>用于附近农田灌溉</w:t>
                  </w:r>
                  <w:r>
                    <w:rPr>
                      <w:color w:val="auto"/>
                      <w:sz w:val="21"/>
                      <w:szCs w:val="21"/>
                    </w:rPr>
                    <w:t>。</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38" w:type="dxa"/>
                  <w:vMerge w:val="restart"/>
                  <w:noWrap w:val="0"/>
                  <w:vAlign w:val="center"/>
                </w:tcPr>
                <w:p>
                  <w:pPr>
                    <w:adjustRightInd w:val="0"/>
                    <w:snapToGrid w:val="0"/>
                    <w:jc w:val="center"/>
                    <w:rPr>
                      <w:color w:val="auto"/>
                      <w:sz w:val="21"/>
                      <w:szCs w:val="21"/>
                    </w:rPr>
                  </w:pPr>
                  <w:r>
                    <w:rPr>
                      <w:color w:val="auto"/>
                      <w:sz w:val="21"/>
                      <w:szCs w:val="21"/>
                    </w:rPr>
                    <w:t>环保工程</w:t>
                  </w:r>
                </w:p>
              </w:tc>
              <w:tc>
                <w:tcPr>
                  <w:tcW w:w="1614" w:type="dxa"/>
                  <w:vMerge w:val="restart"/>
                  <w:noWrap w:val="0"/>
                  <w:vAlign w:val="center"/>
                </w:tcPr>
                <w:p>
                  <w:pPr>
                    <w:adjustRightInd w:val="0"/>
                    <w:snapToGrid w:val="0"/>
                    <w:jc w:val="center"/>
                    <w:rPr>
                      <w:color w:val="auto"/>
                      <w:sz w:val="21"/>
                      <w:szCs w:val="21"/>
                    </w:rPr>
                  </w:pPr>
                  <w:r>
                    <w:rPr>
                      <w:color w:val="auto"/>
                      <w:sz w:val="21"/>
                      <w:szCs w:val="21"/>
                    </w:rPr>
                    <w:t>固体废弃物治理</w:t>
                  </w:r>
                </w:p>
              </w:tc>
              <w:tc>
                <w:tcPr>
                  <w:tcW w:w="4236" w:type="dxa"/>
                  <w:noWrap w:val="0"/>
                  <w:vAlign w:val="center"/>
                </w:tcPr>
                <w:p>
                  <w:pPr>
                    <w:adjustRightInd w:val="0"/>
                    <w:snapToGrid w:val="0"/>
                    <w:jc w:val="left"/>
                    <w:rPr>
                      <w:color w:val="auto"/>
                      <w:sz w:val="21"/>
                      <w:szCs w:val="21"/>
                    </w:rPr>
                  </w:pPr>
                  <w:r>
                    <w:rPr>
                      <w:color w:val="auto"/>
                      <w:sz w:val="21"/>
                      <w:szCs w:val="21"/>
                    </w:rPr>
                    <w:t>生活垃圾：污水处理站配备1名管理人员，管理人员不在厂区食宿，产生的生活垃圾采用袋装后送至宜坪乡桐花村垃圾集中收集点处置。</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vMerge w:val="continue"/>
                  <w:noWrap w:val="0"/>
                  <w:vAlign w:val="center"/>
                </w:tcPr>
                <w:p>
                  <w:pPr>
                    <w:adjustRightInd w:val="0"/>
                    <w:snapToGrid w:val="0"/>
                    <w:jc w:val="center"/>
                    <w:rPr>
                      <w:color w:val="auto"/>
                      <w:sz w:val="21"/>
                      <w:szCs w:val="21"/>
                    </w:rPr>
                  </w:pPr>
                </w:p>
              </w:tc>
              <w:tc>
                <w:tcPr>
                  <w:tcW w:w="4236" w:type="dxa"/>
                  <w:noWrap w:val="0"/>
                  <w:vAlign w:val="center"/>
                </w:tcPr>
                <w:p>
                  <w:pPr>
                    <w:jc w:val="left"/>
                    <w:rPr>
                      <w:rFonts w:hint="eastAsia" w:eastAsia="宋体"/>
                      <w:color w:val="auto"/>
                      <w:kern w:val="2"/>
                      <w:sz w:val="24"/>
                      <w:szCs w:val="24"/>
                      <w:lang w:val="en-US" w:eastAsia="zh-CN" w:bidi="ar-SA"/>
                    </w:rPr>
                  </w:pPr>
                  <w:r>
                    <w:rPr>
                      <w:rFonts w:hint="eastAsia"/>
                      <w:color w:val="auto"/>
                      <w:sz w:val="21"/>
                      <w:szCs w:val="21"/>
                    </w:rPr>
                    <w:t>人工湿地</w:t>
                  </w:r>
                  <w:r>
                    <w:rPr>
                      <w:rFonts w:hint="eastAsia"/>
                      <w:color w:val="auto"/>
                      <w:sz w:val="21"/>
                      <w:szCs w:val="21"/>
                      <w:lang w:eastAsia="zh-CN"/>
                    </w:rPr>
                    <w:t>枯枝败叶：</w:t>
                  </w:r>
                  <w:r>
                    <w:rPr>
                      <w:rFonts w:hint="eastAsia"/>
                      <w:color w:val="auto"/>
                      <w:sz w:val="21"/>
                      <w:szCs w:val="21"/>
                    </w:rPr>
                    <w:t>收集晒干后交由当地居民用作生物燃料</w:t>
                  </w:r>
                  <w:r>
                    <w:rPr>
                      <w:rFonts w:hint="eastAsia"/>
                      <w:color w:val="auto"/>
                      <w:sz w:val="21"/>
                      <w:szCs w:val="21"/>
                      <w:lang w:eastAsia="zh-CN"/>
                    </w:rPr>
                    <w:t>。</w:t>
                  </w:r>
                </w:p>
              </w:tc>
              <w:tc>
                <w:tcPr>
                  <w:tcW w:w="996" w:type="dxa"/>
                  <w:vMerge w:val="continue"/>
                  <w:noWrap w:val="0"/>
                  <w:vAlign w:val="center"/>
                </w:tcPr>
                <w:p>
                  <w:pPr>
                    <w:pStyle w:val="45"/>
                    <w:spacing w:line="240" w:lineRule="auto"/>
                    <w:ind w:left="-48" w:leftChars="-20" w:right="-48" w:rightChars="-20"/>
                    <w:rPr>
                      <w:snapToGrid/>
                      <w:color w:val="auto"/>
                      <w:kern w:val="2"/>
                      <w:sz w:val="24"/>
                      <w:szCs w:val="24"/>
                      <w:lang w:val="en-US" w:eastAsia="zh-CN" w:bidi="ar-SA"/>
                    </w:rPr>
                  </w:pPr>
                </w:p>
              </w:tc>
              <w:tc>
                <w:tcPr>
                  <w:tcW w:w="1314" w:type="dxa"/>
                  <w:noWrap w:val="0"/>
                  <w:vAlign w:val="center"/>
                </w:tcPr>
                <w:p>
                  <w:pPr>
                    <w:pStyle w:val="45"/>
                    <w:spacing w:line="240" w:lineRule="auto"/>
                    <w:ind w:left="-48" w:leftChars="-20" w:right="-48" w:rightChars="-20"/>
                    <w:rPr>
                      <w:snapToGrid/>
                      <w:color w:val="auto"/>
                      <w:kern w:val="2"/>
                      <w:sz w:val="24"/>
                      <w:szCs w:val="24"/>
                      <w:lang w:val="en-US" w:eastAsia="zh-CN" w:bidi="ar-SA"/>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vMerge w:val="continue"/>
                  <w:noWrap w:val="0"/>
                  <w:vAlign w:val="center"/>
                </w:tcPr>
                <w:p>
                  <w:pPr>
                    <w:adjustRightInd w:val="0"/>
                    <w:snapToGrid w:val="0"/>
                    <w:jc w:val="center"/>
                    <w:rPr>
                      <w:color w:val="auto"/>
                      <w:sz w:val="21"/>
                      <w:szCs w:val="21"/>
                    </w:rPr>
                  </w:pPr>
                </w:p>
              </w:tc>
              <w:tc>
                <w:tcPr>
                  <w:tcW w:w="4236" w:type="dxa"/>
                  <w:noWrap w:val="0"/>
                  <w:vAlign w:val="center"/>
                </w:tcPr>
                <w:p>
                  <w:pPr>
                    <w:adjustRightInd w:val="0"/>
                    <w:snapToGrid w:val="0"/>
                    <w:jc w:val="left"/>
                    <w:rPr>
                      <w:color w:val="auto"/>
                      <w:sz w:val="21"/>
                      <w:szCs w:val="21"/>
                    </w:rPr>
                  </w:pPr>
                  <w:r>
                    <w:rPr>
                      <w:rFonts w:hint="eastAsia"/>
                      <w:color w:val="auto"/>
                      <w:sz w:val="21"/>
                      <w:szCs w:val="21"/>
                    </w:rPr>
                    <w:t>格栅栅渣：</w:t>
                  </w:r>
                  <w:r>
                    <w:rPr>
                      <w:color w:val="auto"/>
                      <w:sz w:val="21"/>
                      <w:szCs w:val="21"/>
                    </w:rPr>
                    <w:t>环卫部门统一清运</w:t>
                  </w:r>
                  <w:r>
                    <w:rPr>
                      <w:rFonts w:hint="eastAsia"/>
                      <w:color w:val="auto"/>
                      <w:sz w:val="21"/>
                      <w:szCs w:val="21"/>
                    </w:rPr>
                    <w:t>。</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vMerge w:val="continue"/>
                  <w:noWrap w:val="0"/>
                  <w:vAlign w:val="center"/>
                </w:tcPr>
                <w:p>
                  <w:pPr>
                    <w:adjustRightInd w:val="0"/>
                    <w:snapToGrid w:val="0"/>
                    <w:jc w:val="center"/>
                    <w:rPr>
                      <w:color w:val="auto"/>
                      <w:sz w:val="21"/>
                      <w:szCs w:val="21"/>
                    </w:rPr>
                  </w:pPr>
                </w:p>
              </w:tc>
              <w:tc>
                <w:tcPr>
                  <w:tcW w:w="4236" w:type="dxa"/>
                  <w:noWrap w:val="0"/>
                  <w:vAlign w:val="center"/>
                </w:tcPr>
                <w:p>
                  <w:pPr>
                    <w:adjustRightInd w:val="0"/>
                    <w:snapToGrid w:val="0"/>
                    <w:jc w:val="left"/>
                    <w:rPr>
                      <w:color w:val="auto"/>
                      <w:sz w:val="21"/>
                      <w:szCs w:val="21"/>
                    </w:rPr>
                  </w:pPr>
                  <w:r>
                    <w:rPr>
                      <w:color w:val="auto"/>
                      <w:sz w:val="21"/>
                      <w:szCs w:val="21"/>
                    </w:rPr>
                    <w:t>污泥：污水处理设施产生的剩余污泥定期统一收集，由吸粪车转运至峨边县城市生活污水处理厂进行干化处理。</w:t>
                  </w:r>
                </w:p>
              </w:tc>
              <w:tc>
                <w:tcPr>
                  <w:tcW w:w="996" w:type="dxa"/>
                  <w:vMerge w:val="continue"/>
                  <w:noWrap w:val="0"/>
                  <w:vAlign w:val="center"/>
                </w:tcPr>
                <w:p>
                  <w:pPr>
                    <w:adjustRightInd w:val="0"/>
                    <w:snapToGrid w:val="0"/>
                    <w:jc w:val="center"/>
                    <w:rPr>
                      <w:color w:val="auto"/>
                      <w:sz w:val="21"/>
                      <w:szCs w:val="21"/>
                    </w:rPr>
                  </w:pPr>
                </w:p>
              </w:tc>
              <w:tc>
                <w:tcPr>
                  <w:tcW w:w="1314" w:type="dxa"/>
                  <w:vMerge w:val="restart"/>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vMerge w:val="continue"/>
                  <w:noWrap w:val="0"/>
                  <w:vAlign w:val="center"/>
                </w:tcPr>
                <w:p>
                  <w:pPr>
                    <w:adjustRightInd w:val="0"/>
                    <w:snapToGrid w:val="0"/>
                    <w:jc w:val="center"/>
                    <w:rPr>
                      <w:color w:val="auto"/>
                      <w:sz w:val="21"/>
                      <w:szCs w:val="21"/>
                    </w:rPr>
                  </w:pPr>
                </w:p>
              </w:tc>
              <w:tc>
                <w:tcPr>
                  <w:tcW w:w="4236" w:type="dxa"/>
                  <w:noWrap w:val="0"/>
                  <w:vAlign w:val="center"/>
                </w:tcPr>
                <w:p>
                  <w:pPr>
                    <w:adjustRightInd w:val="0"/>
                    <w:snapToGrid w:val="0"/>
                    <w:jc w:val="left"/>
                    <w:rPr>
                      <w:color w:val="auto"/>
                      <w:sz w:val="21"/>
                      <w:szCs w:val="21"/>
                    </w:rPr>
                  </w:pPr>
                  <w:r>
                    <w:rPr>
                      <w:color w:val="auto"/>
                      <w:sz w:val="21"/>
                      <w:szCs w:val="21"/>
                    </w:rPr>
                    <w:t>废弃的填料：经统一收集后交由厂家回收。</w:t>
                  </w:r>
                </w:p>
              </w:tc>
              <w:tc>
                <w:tcPr>
                  <w:tcW w:w="996" w:type="dxa"/>
                  <w:vMerge w:val="continue"/>
                  <w:noWrap w:val="0"/>
                  <w:vAlign w:val="center"/>
                </w:tcPr>
                <w:p>
                  <w:pPr>
                    <w:adjustRightInd w:val="0"/>
                    <w:snapToGrid w:val="0"/>
                    <w:jc w:val="center"/>
                    <w:rPr>
                      <w:color w:val="auto"/>
                      <w:sz w:val="21"/>
                      <w:szCs w:val="21"/>
                    </w:rPr>
                  </w:pPr>
                </w:p>
              </w:tc>
              <w:tc>
                <w:tcPr>
                  <w:tcW w:w="1314" w:type="dxa"/>
                  <w:vMerge w:val="continue"/>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废水防治</w:t>
                  </w:r>
                </w:p>
              </w:tc>
              <w:tc>
                <w:tcPr>
                  <w:tcW w:w="4236" w:type="dxa"/>
                  <w:noWrap w:val="0"/>
                  <w:vAlign w:val="center"/>
                </w:tcPr>
                <w:p>
                  <w:pPr>
                    <w:adjustRightInd w:val="0"/>
                    <w:snapToGrid w:val="0"/>
                    <w:jc w:val="left"/>
                    <w:rPr>
                      <w:color w:val="auto"/>
                      <w:sz w:val="21"/>
                      <w:szCs w:val="21"/>
                    </w:rPr>
                  </w:pPr>
                  <w:r>
                    <w:rPr>
                      <w:color w:val="auto"/>
                      <w:sz w:val="21"/>
                      <w:szCs w:val="21"/>
                    </w:rPr>
                    <w:t>生活废水：经污水管网</w:t>
                  </w:r>
                  <w:r>
                    <w:rPr>
                      <w:rFonts w:hint="eastAsia"/>
                      <w:color w:val="auto"/>
                      <w:sz w:val="21"/>
                      <w:szCs w:val="21"/>
                    </w:rPr>
                    <w:t>收集</w:t>
                  </w:r>
                  <w:r>
                    <w:rPr>
                      <w:color w:val="auto"/>
                      <w:sz w:val="21"/>
                      <w:szCs w:val="21"/>
                    </w:rPr>
                    <w:t>排放至处理</w:t>
                  </w:r>
                  <w:r>
                    <w:rPr>
                      <w:rFonts w:hint="eastAsia"/>
                      <w:color w:val="auto"/>
                      <w:sz w:val="21"/>
                      <w:szCs w:val="21"/>
                    </w:rPr>
                    <w:t>设施</w:t>
                  </w:r>
                  <w:r>
                    <w:rPr>
                      <w:color w:val="auto"/>
                      <w:sz w:val="21"/>
                      <w:szCs w:val="21"/>
                    </w:rPr>
                    <w:t>，处置达标后外排</w:t>
                  </w:r>
                  <w:r>
                    <w:rPr>
                      <w:rFonts w:hint="eastAsia"/>
                      <w:color w:val="auto"/>
                      <w:sz w:val="21"/>
                      <w:szCs w:val="21"/>
                    </w:rPr>
                    <w:t>或综合利用</w:t>
                  </w:r>
                  <w:r>
                    <w:rPr>
                      <w:color w:val="auto"/>
                      <w:sz w:val="21"/>
                      <w:szCs w:val="21"/>
                    </w:rPr>
                    <w:t>。</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噪声防治</w:t>
                  </w:r>
                </w:p>
              </w:tc>
              <w:tc>
                <w:tcPr>
                  <w:tcW w:w="4236" w:type="dxa"/>
                  <w:noWrap w:val="0"/>
                  <w:vAlign w:val="center"/>
                </w:tcPr>
                <w:p>
                  <w:pPr>
                    <w:adjustRightInd w:val="0"/>
                    <w:snapToGrid w:val="0"/>
                    <w:jc w:val="left"/>
                    <w:rPr>
                      <w:color w:val="auto"/>
                      <w:sz w:val="21"/>
                      <w:szCs w:val="21"/>
                    </w:rPr>
                  </w:pPr>
                  <w:r>
                    <w:rPr>
                      <w:color w:val="auto"/>
                      <w:sz w:val="21"/>
                      <w:szCs w:val="21"/>
                    </w:rPr>
                    <w:t>对</w:t>
                  </w:r>
                  <w:r>
                    <w:rPr>
                      <w:rFonts w:hint="eastAsia"/>
                      <w:color w:val="auto"/>
                      <w:sz w:val="21"/>
                      <w:szCs w:val="21"/>
                    </w:rPr>
                    <w:t>一体化处理</w:t>
                  </w:r>
                  <w:r>
                    <w:rPr>
                      <w:color w:val="auto"/>
                      <w:sz w:val="21"/>
                      <w:szCs w:val="21"/>
                    </w:rPr>
                    <w:t>站内主要产噪设备进行增加隔声罩、减震处理。</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废气防治</w:t>
                  </w:r>
                </w:p>
              </w:tc>
              <w:tc>
                <w:tcPr>
                  <w:tcW w:w="4236" w:type="dxa"/>
                  <w:noWrap w:val="0"/>
                  <w:vAlign w:val="center"/>
                </w:tcPr>
                <w:p>
                  <w:pPr>
                    <w:adjustRightInd w:val="0"/>
                    <w:snapToGrid w:val="0"/>
                    <w:jc w:val="left"/>
                    <w:rPr>
                      <w:color w:val="auto"/>
                      <w:sz w:val="21"/>
                      <w:szCs w:val="21"/>
                    </w:rPr>
                  </w:pPr>
                  <w:r>
                    <w:rPr>
                      <w:color w:val="auto"/>
                      <w:sz w:val="21"/>
                      <w:szCs w:val="21"/>
                    </w:rPr>
                    <w:t>对</w:t>
                  </w:r>
                  <w:r>
                    <w:rPr>
                      <w:rFonts w:hint="eastAsia"/>
                      <w:color w:val="auto"/>
                      <w:sz w:val="21"/>
                      <w:szCs w:val="21"/>
                    </w:rPr>
                    <w:t>化粪池、一体化设备进行密闭处理，定期喷洒除臭剂，四周栽种绿色吸污植物等措施</w:t>
                  </w:r>
                  <w:r>
                    <w:rPr>
                      <w:color w:val="auto"/>
                      <w:sz w:val="21"/>
                      <w:szCs w:val="21"/>
                    </w:rPr>
                    <w:t>。</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8" w:type="dxa"/>
                  <w:vMerge w:val="continue"/>
                  <w:noWrap w:val="0"/>
                  <w:vAlign w:val="center"/>
                </w:tcPr>
                <w:p>
                  <w:pPr>
                    <w:adjustRightInd w:val="0"/>
                    <w:snapToGrid w:val="0"/>
                    <w:jc w:val="center"/>
                    <w:rPr>
                      <w:color w:val="auto"/>
                      <w:sz w:val="21"/>
                      <w:szCs w:val="21"/>
                    </w:rPr>
                  </w:pPr>
                </w:p>
              </w:tc>
              <w:tc>
                <w:tcPr>
                  <w:tcW w:w="1614" w:type="dxa"/>
                  <w:noWrap w:val="0"/>
                  <w:vAlign w:val="center"/>
                </w:tcPr>
                <w:p>
                  <w:pPr>
                    <w:adjustRightInd w:val="0"/>
                    <w:snapToGrid w:val="0"/>
                    <w:jc w:val="center"/>
                    <w:rPr>
                      <w:color w:val="auto"/>
                      <w:sz w:val="21"/>
                      <w:szCs w:val="21"/>
                    </w:rPr>
                  </w:pPr>
                  <w:r>
                    <w:rPr>
                      <w:color w:val="auto"/>
                      <w:sz w:val="21"/>
                      <w:szCs w:val="21"/>
                    </w:rPr>
                    <w:t>地下水防治</w:t>
                  </w:r>
                </w:p>
              </w:tc>
              <w:tc>
                <w:tcPr>
                  <w:tcW w:w="4236" w:type="dxa"/>
                  <w:noWrap w:val="0"/>
                  <w:vAlign w:val="center"/>
                </w:tcPr>
                <w:p>
                  <w:pPr>
                    <w:adjustRightInd w:val="0"/>
                    <w:snapToGrid w:val="0"/>
                    <w:jc w:val="left"/>
                    <w:rPr>
                      <w:color w:val="auto"/>
                      <w:sz w:val="21"/>
                      <w:szCs w:val="21"/>
                    </w:rPr>
                  </w:pPr>
                  <w:r>
                    <w:rPr>
                      <w:color w:val="auto"/>
                      <w:sz w:val="21"/>
                      <w:szCs w:val="21"/>
                    </w:rPr>
                    <w:t>本项目污水处理站各个工艺池均采用钢筋混凝土结构，并对池体内外进行防渗、防腐处理，其渗透系数小于1×10</w:t>
                  </w:r>
                  <w:r>
                    <w:rPr>
                      <w:color w:val="auto"/>
                      <w:sz w:val="21"/>
                      <w:szCs w:val="21"/>
                      <w:vertAlign w:val="superscript"/>
                    </w:rPr>
                    <w:t>-7</w:t>
                  </w:r>
                  <w:r>
                    <w:rPr>
                      <w:color w:val="auto"/>
                      <w:sz w:val="21"/>
                      <w:szCs w:val="21"/>
                    </w:rPr>
                    <w:t>cm/s。</w:t>
                  </w:r>
                </w:p>
              </w:tc>
              <w:tc>
                <w:tcPr>
                  <w:tcW w:w="996" w:type="dxa"/>
                  <w:vMerge w:val="continue"/>
                  <w:noWrap w:val="0"/>
                  <w:vAlign w:val="center"/>
                </w:tcPr>
                <w:p>
                  <w:pPr>
                    <w:adjustRightInd w:val="0"/>
                    <w:snapToGrid w:val="0"/>
                    <w:jc w:val="center"/>
                    <w:rPr>
                      <w:color w:val="auto"/>
                      <w:sz w:val="21"/>
                      <w:szCs w:val="21"/>
                    </w:rPr>
                  </w:pPr>
                </w:p>
              </w:tc>
              <w:tc>
                <w:tcPr>
                  <w:tcW w:w="1314" w:type="dxa"/>
                  <w:noWrap w:val="0"/>
                  <w:vAlign w:val="center"/>
                </w:tcPr>
                <w:p>
                  <w:pPr>
                    <w:adjustRightInd w:val="0"/>
                    <w:snapToGrid w:val="0"/>
                    <w:jc w:val="center"/>
                    <w:rPr>
                      <w:color w:val="auto"/>
                      <w:sz w:val="21"/>
                      <w:szCs w:val="21"/>
                    </w:rPr>
                  </w:pPr>
                  <w:r>
                    <w:rPr>
                      <w:color w:val="auto"/>
                      <w:sz w:val="21"/>
                      <w:szCs w:val="21"/>
                    </w:rPr>
                    <w:t>存在下渗污染地下水的风险</w:t>
                  </w:r>
                </w:p>
              </w:tc>
            </w:tr>
          </w:tbl>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五、污水管网</w:t>
            </w:r>
          </w:p>
          <w:p>
            <w:pPr>
              <w:adjustRightInd w:val="0"/>
              <w:snapToGrid w:val="0"/>
              <w:spacing w:line="360" w:lineRule="auto"/>
              <w:ind w:firstLine="482" w:firstLineChars="200"/>
              <w:rPr>
                <w:b/>
                <w:bCs/>
                <w:color w:val="auto"/>
              </w:rPr>
            </w:pPr>
            <w:r>
              <w:rPr>
                <w:b/>
                <w:bCs/>
                <w:color w:val="auto"/>
              </w:rPr>
              <w:t>1.排水体制</w:t>
            </w:r>
          </w:p>
          <w:p>
            <w:pPr>
              <w:adjustRightInd w:val="0"/>
              <w:snapToGrid w:val="0"/>
              <w:spacing w:line="360" w:lineRule="auto"/>
              <w:ind w:firstLine="480" w:firstLineChars="200"/>
              <w:rPr>
                <w:bCs/>
                <w:color w:val="auto"/>
              </w:rPr>
            </w:pPr>
            <w:r>
              <w:rPr>
                <w:bCs/>
                <w:color w:val="auto"/>
              </w:rPr>
              <w:t>本次污水管网收集范围为宜坪乡桐花村范围，排水管网体制采用雨污分流制排水模式。污水收集的主管网和支管网相互衔接，污水管网覆盖范围的污水由排污单位自行接入支管网，做到建成一条管网，接纳一批污水。</w:t>
            </w:r>
          </w:p>
          <w:p>
            <w:pPr>
              <w:adjustRightInd w:val="0"/>
              <w:snapToGrid w:val="0"/>
              <w:spacing w:line="360" w:lineRule="auto"/>
              <w:ind w:firstLine="482" w:firstLineChars="200"/>
              <w:rPr>
                <w:b/>
                <w:bCs/>
                <w:color w:val="auto"/>
              </w:rPr>
            </w:pPr>
            <w:r>
              <w:rPr>
                <w:b/>
                <w:bCs/>
                <w:color w:val="auto"/>
              </w:rPr>
              <w:t>2.管网施工方式</w:t>
            </w:r>
          </w:p>
          <w:p>
            <w:pPr>
              <w:adjustRightInd w:val="0"/>
              <w:snapToGrid w:val="0"/>
              <w:spacing w:line="360" w:lineRule="auto"/>
              <w:ind w:firstLine="480" w:firstLineChars="200"/>
              <w:rPr>
                <w:color w:val="auto"/>
              </w:rPr>
            </w:pPr>
            <w:r>
              <w:rPr>
                <w:color w:val="auto"/>
              </w:rPr>
              <w:t>基础根据管道埋深情况及地质情况可采用原土或砂土或砂石基础，管道在检查井内的连接采用管顶平接方式，污水管道在街道上除考虑防冻及衔接要求、与其他市政管线的高程关系外，还要考虑地面动荷载对管道的损坏。按《室外排水设计规范》（GB50014-2006）（2016年版）要求设置检查井间距。对于新建、拟建道路，污水管线与其它管线统一规划考虑，并与道路施工同时进行。同时对于无法避免对道路路面破坏之处，做好道路路面的恢复工程。管道回填土压实度严格按照《给水排水管道工程施工及验收规范》（GB50268-2008）严格执行。</w:t>
            </w:r>
          </w:p>
          <w:p>
            <w:pPr>
              <w:adjustRightInd w:val="0"/>
              <w:snapToGrid w:val="0"/>
              <w:spacing w:line="360" w:lineRule="auto"/>
              <w:ind w:firstLine="480" w:firstLineChars="200"/>
              <w:rPr>
                <w:color w:val="auto"/>
              </w:rPr>
            </w:pPr>
            <w:r>
              <w:rPr>
                <w:color w:val="auto"/>
              </w:rPr>
              <w:t>宜坪乡桐花村地质情况良好，采用管槽开挖，机械开挖为主，人工开挖为辅。管道埋入后</w:t>
            </w:r>
            <w:r>
              <w:rPr>
                <w:rFonts w:hint="eastAsia"/>
                <w:color w:val="auto"/>
              </w:rPr>
              <w:t>进行回填</w:t>
            </w:r>
            <w:r>
              <w:rPr>
                <w:color w:val="auto"/>
              </w:rPr>
              <w:t>，管网建设采取分段施工的方式进行，完工一段恢复一段。</w:t>
            </w:r>
            <w:r>
              <w:rPr>
                <w:rFonts w:hint="eastAsia"/>
                <w:bCs/>
                <w:color w:val="auto"/>
                <w:lang w:eastAsia="zh-CN"/>
              </w:rPr>
              <w:t>项目管线不涉及穿越、跨越河流。</w:t>
            </w:r>
          </w:p>
          <w:p>
            <w:pPr>
              <w:adjustRightInd w:val="0"/>
              <w:snapToGrid w:val="0"/>
              <w:spacing w:line="360" w:lineRule="auto"/>
              <w:ind w:firstLine="480" w:firstLineChars="200"/>
              <w:rPr>
                <w:color w:val="auto"/>
              </w:rPr>
            </w:pPr>
            <w:r>
              <w:rPr>
                <w:color w:val="auto"/>
              </w:rPr>
              <w:t>六、污水处理站工程</w:t>
            </w:r>
          </w:p>
          <w:p>
            <w:pPr>
              <w:adjustRightInd w:val="0"/>
              <w:snapToGrid w:val="0"/>
              <w:spacing w:line="360" w:lineRule="auto"/>
              <w:ind w:firstLine="482" w:firstLineChars="200"/>
              <w:rPr>
                <w:b/>
                <w:color w:val="auto"/>
              </w:rPr>
            </w:pPr>
            <w:r>
              <w:rPr>
                <w:b/>
                <w:color w:val="auto"/>
              </w:rPr>
              <w:t>1.项目服务范围</w:t>
            </w:r>
          </w:p>
          <w:p>
            <w:pPr>
              <w:adjustRightInd w:val="0"/>
              <w:snapToGrid w:val="0"/>
              <w:spacing w:line="360" w:lineRule="auto"/>
              <w:ind w:firstLine="480" w:firstLineChars="200"/>
              <w:rPr>
                <w:color w:val="auto"/>
              </w:rPr>
            </w:pPr>
            <w:r>
              <w:rPr>
                <w:color w:val="auto"/>
              </w:rPr>
              <w:t>本次污水处理工程建设主要服务范围覆盖宜坪乡桐花村。</w:t>
            </w:r>
          </w:p>
          <w:p>
            <w:pPr>
              <w:adjustRightInd w:val="0"/>
              <w:snapToGrid w:val="0"/>
              <w:spacing w:line="360" w:lineRule="auto"/>
              <w:ind w:firstLine="482" w:firstLineChars="200"/>
              <w:rPr>
                <w:b/>
                <w:color w:val="auto"/>
              </w:rPr>
            </w:pPr>
            <w:r>
              <w:rPr>
                <w:b/>
                <w:color w:val="auto"/>
              </w:rPr>
              <w:t>2.污水量预测</w:t>
            </w:r>
          </w:p>
          <w:p>
            <w:pPr>
              <w:adjustRightInd w:val="0"/>
              <w:snapToGrid w:val="0"/>
              <w:spacing w:line="360" w:lineRule="auto"/>
              <w:ind w:firstLine="482" w:firstLineChars="200"/>
              <w:jc w:val="left"/>
              <w:rPr>
                <w:b/>
                <w:bCs/>
                <w:color w:val="auto"/>
              </w:rPr>
            </w:pPr>
            <w:r>
              <w:rPr>
                <w:b/>
                <w:bCs/>
                <w:color w:val="auto"/>
              </w:rPr>
              <w:t>（1）人口预测</w:t>
            </w:r>
          </w:p>
          <w:p>
            <w:pPr>
              <w:adjustRightInd w:val="0"/>
              <w:snapToGrid w:val="0"/>
              <w:spacing w:line="360" w:lineRule="auto"/>
              <w:ind w:firstLine="480" w:firstLineChars="200"/>
              <w:rPr>
                <w:color w:val="auto"/>
              </w:rPr>
            </w:pPr>
            <w:r>
              <w:rPr>
                <w:color w:val="auto"/>
              </w:rPr>
              <w:t>根据业主提供的资料，2019年宜坪乡桐花村年末总人口约为132户，共约450人，其中位于污水处理设施实际纳污范围内的桐花村集中居住人口约400人，采用综合增长率法进行近、远期服务人口规模预测。根据规划及建设方提供的资料2020-2030年人口自然增长率为5‰，机械增长率为10‰。服务人口预测计算公式如下：</w:t>
            </w:r>
          </w:p>
          <w:p>
            <w:pPr>
              <w:tabs>
                <w:tab w:val="left" w:pos="410"/>
              </w:tabs>
              <w:adjustRightInd w:val="0"/>
              <w:snapToGrid w:val="0"/>
              <w:spacing w:line="360" w:lineRule="auto"/>
              <w:ind w:firstLine="480" w:firstLineChars="200"/>
              <w:jc w:val="center"/>
              <w:rPr>
                <w:color w:val="auto"/>
              </w:rPr>
            </w:pPr>
            <w:r>
              <w:rPr>
                <w:color w:val="auto"/>
              </w:rPr>
              <w:t>P＝Po(1+K+M)</w:t>
            </w:r>
            <w:r>
              <w:rPr>
                <w:color w:val="auto"/>
                <w:vertAlign w:val="superscript"/>
              </w:rPr>
              <w:t>n</w:t>
            </w:r>
          </w:p>
          <w:p>
            <w:pPr>
              <w:adjustRightInd w:val="0"/>
              <w:snapToGrid w:val="0"/>
              <w:spacing w:line="360" w:lineRule="auto"/>
              <w:ind w:firstLine="480" w:firstLineChars="200"/>
              <w:rPr>
                <w:color w:val="auto"/>
              </w:rPr>
            </w:pPr>
            <w:r>
              <w:rPr>
                <w:color w:val="auto"/>
              </w:rPr>
              <w:t>式中：P——服务人口预测数(人)；</w:t>
            </w:r>
          </w:p>
          <w:p>
            <w:pPr>
              <w:adjustRightInd w:val="0"/>
              <w:snapToGrid w:val="0"/>
              <w:spacing w:line="360" w:lineRule="auto"/>
              <w:ind w:firstLine="480" w:firstLineChars="200"/>
              <w:rPr>
                <w:color w:val="auto"/>
              </w:rPr>
            </w:pPr>
            <w:r>
              <w:rPr>
                <w:color w:val="auto"/>
              </w:rPr>
              <w:t>Po——服务人口现状数(人)；</w:t>
            </w:r>
          </w:p>
          <w:p>
            <w:pPr>
              <w:adjustRightInd w:val="0"/>
              <w:snapToGrid w:val="0"/>
              <w:spacing w:line="360" w:lineRule="auto"/>
              <w:ind w:firstLine="480" w:firstLineChars="200"/>
              <w:rPr>
                <w:color w:val="auto"/>
              </w:rPr>
            </w:pPr>
            <w:r>
              <w:rPr>
                <w:color w:val="auto"/>
              </w:rPr>
              <w:t>K——设计年限内人口的自然增长率(‰)；</w:t>
            </w:r>
          </w:p>
          <w:p>
            <w:pPr>
              <w:adjustRightInd w:val="0"/>
              <w:snapToGrid w:val="0"/>
              <w:spacing w:line="360" w:lineRule="auto"/>
              <w:ind w:firstLine="480" w:firstLineChars="200"/>
              <w:rPr>
                <w:color w:val="auto"/>
              </w:rPr>
            </w:pPr>
            <w:r>
              <w:rPr>
                <w:color w:val="auto"/>
              </w:rPr>
              <w:t>M——设计年限人口的机械增长率(‰)；</w:t>
            </w:r>
          </w:p>
          <w:p>
            <w:pPr>
              <w:adjustRightInd w:val="0"/>
              <w:snapToGrid w:val="0"/>
              <w:spacing w:line="360" w:lineRule="auto"/>
              <w:ind w:firstLine="480" w:firstLineChars="200"/>
              <w:rPr>
                <w:color w:val="auto"/>
              </w:rPr>
            </w:pPr>
            <w:r>
              <w:rPr>
                <w:color w:val="auto"/>
              </w:rPr>
              <w:t>n——设计年限(年)。</w:t>
            </w:r>
          </w:p>
          <w:p>
            <w:pPr>
              <w:adjustRightInd w:val="0"/>
              <w:snapToGrid w:val="0"/>
              <w:spacing w:line="360" w:lineRule="auto"/>
              <w:ind w:firstLine="480" w:firstLineChars="200"/>
              <w:rPr>
                <w:color w:val="auto"/>
              </w:rPr>
            </w:pPr>
            <w:r>
              <w:rPr>
                <w:color w:val="auto"/>
              </w:rPr>
              <w:t>采用综合增长率法进行预测，根据规划2020-2030年镇区人口自然增长率为0.006，2020-2025年人口机械增长率为0.005，2026-2030年人口机械增长率为0.010。</w:t>
            </w:r>
          </w:p>
          <w:p>
            <w:pPr>
              <w:adjustRightInd w:val="0"/>
              <w:snapToGrid w:val="0"/>
              <w:spacing w:line="360" w:lineRule="auto"/>
              <w:ind w:firstLine="560" w:firstLineChars="200"/>
              <w:jc w:val="center"/>
              <w:rPr>
                <w:rFonts w:eastAsia="黑体"/>
                <w:color w:val="auto"/>
                <w:spacing w:val="20"/>
                <w:kern w:val="0"/>
              </w:rPr>
            </w:pPr>
            <w:r>
              <w:rPr>
                <w:rFonts w:eastAsia="黑体"/>
                <w:color w:val="auto"/>
                <w:spacing w:val="20"/>
                <w:kern w:val="0"/>
              </w:rPr>
              <w:t>表1-3  项目区域内人口预测表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1645"/>
              <w:gridCol w:w="1751"/>
              <w:gridCol w:w="1751"/>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vMerge w:val="restart"/>
                  <w:noWrap w:val="0"/>
                  <w:vAlign w:val="top"/>
                </w:tcPr>
                <w:p>
                  <w:pPr>
                    <w:adjustRightInd w:val="0"/>
                    <w:snapToGrid w:val="0"/>
                    <w:jc w:val="center"/>
                    <w:rPr>
                      <w:color w:val="auto"/>
                      <w:sz w:val="21"/>
                      <w:szCs w:val="21"/>
                    </w:rPr>
                  </w:pPr>
                  <w:r>
                    <w:rPr>
                      <w:color w:val="auto"/>
                      <w:sz w:val="21"/>
                      <w:szCs w:val="21"/>
                    </w:rPr>
                    <w:t>类别</w:t>
                  </w:r>
                </w:p>
              </w:tc>
              <w:tc>
                <w:tcPr>
                  <w:tcW w:w="6904" w:type="dxa"/>
                  <w:gridSpan w:val="4"/>
                  <w:noWrap w:val="0"/>
                  <w:vAlign w:val="top"/>
                </w:tcPr>
                <w:p>
                  <w:pPr>
                    <w:adjustRightInd w:val="0"/>
                    <w:snapToGrid w:val="0"/>
                    <w:jc w:val="center"/>
                    <w:rPr>
                      <w:color w:val="auto"/>
                      <w:sz w:val="21"/>
                      <w:szCs w:val="21"/>
                    </w:rPr>
                  </w:pPr>
                  <w:r>
                    <w:rPr>
                      <w:color w:val="auto"/>
                      <w:sz w:val="21"/>
                      <w:szCs w:val="21"/>
                    </w:rPr>
                    <w:t>预测年限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vMerge w:val="continue"/>
                  <w:noWrap w:val="0"/>
                  <w:vAlign w:val="top"/>
                </w:tcPr>
                <w:p>
                  <w:pPr>
                    <w:adjustRightInd w:val="0"/>
                    <w:snapToGrid w:val="0"/>
                    <w:jc w:val="center"/>
                    <w:rPr>
                      <w:color w:val="auto"/>
                      <w:sz w:val="21"/>
                      <w:szCs w:val="21"/>
                    </w:rPr>
                  </w:pPr>
                </w:p>
              </w:tc>
              <w:tc>
                <w:tcPr>
                  <w:tcW w:w="1645" w:type="dxa"/>
                  <w:noWrap w:val="0"/>
                  <w:vAlign w:val="top"/>
                </w:tcPr>
                <w:p>
                  <w:pPr>
                    <w:adjustRightInd w:val="0"/>
                    <w:snapToGrid w:val="0"/>
                    <w:jc w:val="center"/>
                    <w:rPr>
                      <w:color w:val="auto"/>
                      <w:sz w:val="21"/>
                      <w:szCs w:val="21"/>
                    </w:rPr>
                  </w:pPr>
                  <w:r>
                    <w:rPr>
                      <w:color w:val="auto"/>
                      <w:sz w:val="21"/>
                      <w:szCs w:val="21"/>
                    </w:rPr>
                    <w:t>2019</w:t>
                  </w:r>
                </w:p>
              </w:tc>
              <w:tc>
                <w:tcPr>
                  <w:tcW w:w="1751" w:type="dxa"/>
                  <w:noWrap w:val="0"/>
                  <w:vAlign w:val="top"/>
                </w:tcPr>
                <w:p>
                  <w:pPr>
                    <w:adjustRightInd w:val="0"/>
                    <w:snapToGrid w:val="0"/>
                    <w:jc w:val="center"/>
                    <w:rPr>
                      <w:color w:val="auto"/>
                      <w:sz w:val="21"/>
                      <w:szCs w:val="21"/>
                    </w:rPr>
                  </w:pPr>
                  <w:r>
                    <w:rPr>
                      <w:color w:val="auto"/>
                      <w:sz w:val="21"/>
                      <w:szCs w:val="21"/>
                    </w:rPr>
                    <w:t>2020</w:t>
                  </w:r>
                </w:p>
              </w:tc>
              <w:tc>
                <w:tcPr>
                  <w:tcW w:w="1751" w:type="dxa"/>
                  <w:noWrap w:val="0"/>
                  <w:vAlign w:val="top"/>
                </w:tcPr>
                <w:p>
                  <w:pPr>
                    <w:adjustRightInd w:val="0"/>
                    <w:snapToGrid w:val="0"/>
                    <w:jc w:val="center"/>
                    <w:rPr>
                      <w:color w:val="auto"/>
                      <w:sz w:val="21"/>
                      <w:szCs w:val="21"/>
                    </w:rPr>
                  </w:pPr>
                  <w:r>
                    <w:rPr>
                      <w:color w:val="auto"/>
                      <w:sz w:val="21"/>
                      <w:szCs w:val="21"/>
                    </w:rPr>
                    <w:t>2025</w:t>
                  </w:r>
                </w:p>
              </w:tc>
              <w:tc>
                <w:tcPr>
                  <w:tcW w:w="1757" w:type="dxa"/>
                  <w:noWrap w:val="0"/>
                  <w:vAlign w:val="top"/>
                </w:tcPr>
                <w:p>
                  <w:pPr>
                    <w:adjustRightInd w:val="0"/>
                    <w:snapToGrid w:val="0"/>
                    <w:jc w:val="center"/>
                    <w:rPr>
                      <w:color w:val="auto"/>
                      <w:sz w:val="21"/>
                      <w:szCs w:val="21"/>
                    </w:rPr>
                  </w:pPr>
                  <w:r>
                    <w:rPr>
                      <w:color w:val="auto"/>
                      <w:sz w:val="21"/>
                      <w:szCs w:val="21"/>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151" w:type="dxa"/>
                  <w:noWrap w:val="0"/>
                  <w:vAlign w:val="top"/>
                </w:tcPr>
                <w:p>
                  <w:pPr>
                    <w:adjustRightInd w:val="0"/>
                    <w:snapToGrid w:val="0"/>
                    <w:rPr>
                      <w:color w:val="auto"/>
                      <w:sz w:val="21"/>
                      <w:szCs w:val="21"/>
                    </w:rPr>
                  </w:pPr>
                  <w:r>
                    <w:rPr>
                      <w:color w:val="auto"/>
                      <w:sz w:val="21"/>
                      <w:szCs w:val="21"/>
                    </w:rPr>
                    <w:t>宜坪乡桐花村（人）</w:t>
                  </w:r>
                </w:p>
              </w:tc>
              <w:tc>
                <w:tcPr>
                  <w:tcW w:w="1645" w:type="dxa"/>
                  <w:noWrap w:val="0"/>
                  <w:vAlign w:val="top"/>
                </w:tcPr>
                <w:p>
                  <w:pPr>
                    <w:adjustRightInd w:val="0"/>
                    <w:snapToGrid w:val="0"/>
                    <w:jc w:val="center"/>
                    <w:rPr>
                      <w:color w:val="auto"/>
                      <w:sz w:val="21"/>
                      <w:szCs w:val="21"/>
                    </w:rPr>
                  </w:pPr>
                  <w:r>
                    <w:rPr>
                      <w:color w:val="auto"/>
                      <w:sz w:val="21"/>
                      <w:szCs w:val="21"/>
                    </w:rPr>
                    <w:t>400</w:t>
                  </w:r>
                </w:p>
              </w:tc>
              <w:tc>
                <w:tcPr>
                  <w:tcW w:w="1751" w:type="dxa"/>
                  <w:noWrap w:val="0"/>
                  <w:vAlign w:val="top"/>
                </w:tcPr>
                <w:p>
                  <w:pPr>
                    <w:adjustRightInd w:val="0"/>
                    <w:snapToGrid w:val="0"/>
                    <w:jc w:val="center"/>
                    <w:rPr>
                      <w:color w:val="auto"/>
                      <w:sz w:val="21"/>
                      <w:szCs w:val="21"/>
                    </w:rPr>
                  </w:pPr>
                  <w:r>
                    <w:rPr>
                      <w:color w:val="auto"/>
                      <w:sz w:val="21"/>
                      <w:szCs w:val="21"/>
                    </w:rPr>
                    <w:t>404</w:t>
                  </w:r>
                </w:p>
              </w:tc>
              <w:tc>
                <w:tcPr>
                  <w:tcW w:w="1751" w:type="dxa"/>
                  <w:noWrap w:val="0"/>
                  <w:vAlign w:val="top"/>
                </w:tcPr>
                <w:p>
                  <w:pPr>
                    <w:adjustRightInd w:val="0"/>
                    <w:snapToGrid w:val="0"/>
                    <w:jc w:val="center"/>
                    <w:rPr>
                      <w:color w:val="auto"/>
                      <w:sz w:val="21"/>
                      <w:szCs w:val="21"/>
                    </w:rPr>
                  </w:pPr>
                  <w:r>
                    <w:rPr>
                      <w:color w:val="auto"/>
                      <w:sz w:val="21"/>
                      <w:szCs w:val="21"/>
                    </w:rPr>
                    <w:t>427</w:t>
                  </w:r>
                </w:p>
              </w:tc>
              <w:tc>
                <w:tcPr>
                  <w:tcW w:w="1757" w:type="dxa"/>
                  <w:noWrap w:val="0"/>
                  <w:vAlign w:val="top"/>
                </w:tcPr>
                <w:p>
                  <w:pPr>
                    <w:adjustRightInd w:val="0"/>
                    <w:snapToGrid w:val="0"/>
                    <w:jc w:val="center"/>
                    <w:rPr>
                      <w:color w:val="auto"/>
                      <w:sz w:val="21"/>
                      <w:szCs w:val="21"/>
                    </w:rPr>
                  </w:pPr>
                  <w:r>
                    <w:rPr>
                      <w:color w:val="auto"/>
                      <w:sz w:val="21"/>
                      <w:szCs w:val="21"/>
                    </w:rPr>
                    <w:t>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noWrap w:val="0"/>
                  <w:vAlign w:val="top"/>
                </w:tcPr>
                <w:p>
                  <w:pPr>
                    <w:adjustRightInd w:val="0"/>
                    <w:snapToGrid w:val="0"/>
                    <w:jc w:val="center"/>
                    <w:rPr>
                      <w:color w:val="auto"/>
                      <w:sz w:val="21"/>
                      <w:szCs w:val="21"/>
                    </w:rPr>
                  </w:pPr>
                  <w:r>
                    <w:rPr>
                      <w:color w:val="auto"/>
                      <w:sz w:val="21"/>
                      <w:szCs w:val="21"/>
                    </w:rPr>
                    <w:t>自然增长率（‰）</w:t>
                  </w:r>
                </w:p>
              </w:tc>
              <w:tc>
                <w:tcPr>
                  <w:tcW w:w="1645" w:type="dxa"/>
                  <w:noWrap w:val="0"/>
                  <w:vAlign w:val="top"/>
                </w:tcPr>
                <w:p>
                  <w:pPr>
                    <w:adjustRightInd w:val="0"/>
                    <w:snapToGrid w:val="0"/>
                    <w:jc w:val="center"/>
                    <w:rPr>
                      <w:color w:val="auto"/>
                      <w:sz w:val="21"/>
                      <w:szCs w:val="21"/>
                    </w:rPr>
                  </w:pPr>
                  <w:r>
                    <w:rPr>
                      <w:color w:val="auto"/>
                      <w:sz w:val="21"/>
                      <w:szCs w:val="21"/>
                    </w:rPr>
                    <w:t>/</w:t>
                  </w:r>
                </w:p>
              </w:tc>
              <w:tc>
                <w:tcPr>
                  <w:tcW w:w="1751" w:type="dxa"/>
                  <w:noWrap w:val="0"/>
                  <w:vAlign w:val="top"/>
                </w:tcPr>
                <w:p>
                  <w:pPr>
                    <w:adjustRightInd w:val="0"/>
                    <w:snapToGrid w:val="0"/>
                    <w:jc w:val="center"/>
                    <w:rPr>
                      <w:color w:val="auto"/>
                      <w:sz w:val="21"/>
                      <w:szCs w:val="21"/>
                    </w:rPr>
                  </w:pPr>
                  <w:r>
                    <w:rPr>
                      <w:color w:val="auto"/>
                      <w:sz w:val="21"/>
                      <w:szCs w:val="21"/>
                    </w:rPr>
                    <w:t>6</w:t>
                  </w:r>
                </w:p>
              </w:tc>
              <w:tc>
                <w:tcPr>
                  <w:tcW w:w="1751" w:type="dxa"/>
                  <w:noWrap w:val="0"/>
                  <w:vAlign w:val="top"/>
                </w:tcPr>
                <w:p>
                  <w:pPr>
                    <w:adjustRightInd w:val="0"/>
                    <w:snapToGrid w:val="0"/>
                    <w:jc w:val="center"/>
                    <w:rPr>
                      <w:color w:val="auto"/>
                      <w:sz w:val="21"/>
                      <w:szCs w:val="21"/>
                    </w:rPr>
                  </w:pPr>
                  <w:r>
                    <w:rPr>
                      <w:color w:val="auto"/>
                      <w:sz w:val="21"/>
                      <w:szCs w:val="21"/>
                    </w:rPr>
                    <w:t>6</w:t>
                  </w:r>
                </w:p>
              </w:tc>
              <w:tc>
                <w:tcPr>
                  <w:tcW w:w="1757" w:type="dxa"/>
                  <w:noWrap w:val="0"/>
                  <w:vAlign w:val="top"/>
                </w:tcPr>
                <w:p>
                  <w:pPr>
                    <w:adjustRightInd w:val="0"/>
                    <w:snapToGrid w:val="0"/>
                    <w:jc w:val="center"/>
                    <w:rPr>
                      <w:color w:val="auto"/>
                      <w:sz w:val="21"/>
                      <w:szCs w:val="21"/>
                    </w:rPr>
                  </w:pPr>
                  <w:r>
                    <w:rPr>
                      <w:color w:val="auto"/>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1" w:type="dxa"/>
                  <w:noWrap w:val="0"/>
                  <w:vAlign w:val="top"/>
                </w:tcPr>
                <w:p>
                  <w:pPr>
                    <w:adjustRightInd w:val="0"/>
                    <w:snapToGrid w:val="0"/>
                    <w:jc w:val="center"/>
                    <w:rPr>
                      <w:color w:val="auto"/>
                      <w:sz w:val="21"/>
                      <w:szCs w:val="21"/>
                    </w:rPr>
                  </w:pPr>
                  <w:r>
                    <w:rPr>
                      <w:color w:val="auto"/>
                      <w:sz w:val="21"/>
                      <w:szCs w:val="21"/>
                    </w:rPr>
                    <w:t>机械增长率（‰）</w:t>
                  </w:r>
                </w:p>
              </w:tc>
              <w:tc>
                <w:tcPr>
                  <w:tcW w:w="1645" w:type="dxa"/>
                  <w:noWrap w:val="0"/>
                  <w:vAlign w:val="top"/>
                </w:tcPr>
                <w:p>
                  <w:pPr>
                    <w:adjustRightInd w:val="0"/>
                    <w:snapToGrid w:val="0"/>
                    <w:jc w:val="center"/>
                    <w:rPr>
                      <w:color w:val="auto"/>
                      <w:sz w:val="21"/>
                      <w:szCs w:val="21"/>
                    </w:rPr>
                  </w:pPr>
                  <w:r>
                    <w:rPr>
                      <w:color w:val="auto"/>
                      <w:sz w:val="21"/>
                      <w:szCs w:val="21"/>
                    </w:rPr>
                    <w:t>/</w:t>
                  </w:r>
                </w:p>
              </w:tc>
              <w:tc>
                <w:tcPr>
                  <w:tcW w:w="1751" w:type="dxa"/>
                  <w:noWrap w:val="0"/>
                  <w:vAlign w:val="top"/>
                </w:tcPr>
                <w:p>
                  <w:pPr>
                    <w:adjustRightInd w:val="0"/>
                    <w:snapToGrid w:val="0"/>
                    <w:jc w:val="center"/>
                    <w:rPr>
                      <w:color w:val="auto"/>
                      <w:sz w:val="21"/>
                      <w:szCs w:val="21"/>
                    </w:rPr>
                  </w:pPr>
                  <w:r>
                    <w:rPr>
                      <w:color w:val="auto"/>
                      <w:sz w:val="21"/>
                      <w:szCs w:val="21"/>
                    </w:rPr>
                    <w:t>5</w:t>
                  </w:r>
                </w:p>
              </w:tc>
              <w:tc>
                <w:tcPr>
                  <w:tcW w:w="1751" w:type="dxa"/>
                  <w:noWrap w:val="0"/>
                  <w:vAlign w:val="top"/>
                </w:tcPr>
                <w:p>
                  <w:pPr>
                    <w:adjustRightInd w:val="0"/>
                    <w:snapToGrid w:val="0"/>
                    <w:jc w:val="center"/>
                    <w:rPr>
                      <w:color w:val="auto"/>
                      <w:sz w:val="21"/>
                      <w:szCs w:val="21"/>
                    </w:rPr>
                  </w:pPr>
                  <w:r>
                    <w:rPr>
                      <w:color w:val="auto"/>
                      <w:sz w:val="21"/>
                      <w:szCs w:val="21"/>
                    </w:rPr>
                    <w:t>5</w:t>
                  </w:r>
                </w:p>
              </w:tc>
              <w:tc>
                <w:tcPr>
                  <w:tcW w:w="1757" w:type="dxa"/>
                  <w:noWrap w:val="0"/>
                  <w:vAlign w:val="top"/>
                </w:tcPr>
                <w:p>
                  <w:pPr>
                    <w:adjustRightInd w:val="0"/>
                    <w:snapToGrid w:val="0"/>
                    <w:jc w:val="center"/>
                    <w:rPr>
                      <w:color w:val="auto"/>
                      <w:sz w:val="21"/>
                      <w:szCs w:val="21"/>
                    </w:rPr>
                  </w:pPr>
                  <w:r>
                    <w:rPr>
                      <w:color w:val="auto"/>
                      <w:sz w:val="21"/>
                      <w:szCs w:val="21"/>
                    </w:rPr>
                    <w:t>10</w:t>
                  </w:r>
                </w:p>
              </w:tc>
            </w:tr>
          </w:tbl>
          <w:p>
            <w:pPr>
              <w:adjustRightInd w:val="0"/>
              <w:snapToGrid w:val="0"/>
              <w:spacing w:line="360" w:lineRule="auto"/>
              <w:ind w:firstLine="482" w:firstLineChars="200"/>
              <w:jc w:val="left"/>
              <w:rPr>
                <w:b/>
                <w:bCs/>
                <w:color w:val="auto"/>
              </w:rPr>
            </w:pPr>
            <w:r>
              <w:rPr>
                <w:b/>
                <w:bCs/>
                <w:color w:val="auto"/>
              </w:rPr>
              <w:t>（2）污水量预测</w:t>
            </w:r>
          </w:p>
          <w:p>
            <w:pPr>
              <w:adjustRightInd w:val="0"/>
              <w:snapToGrid w:val="0"/>
              <w:spacing w:line="360" w:lineRule="auto"/>
              <w:ind w:firstLine="480" w:firstLineChars="200"/>
              <w:jc w:val="left"/>
              <w:rPr>
                <w:color w:val="auto"/>
              </w:rPr>
            </w:pPr>
            <w:r>
              <w:rPr>
                <w:color w:val="auto"/>
              </w:rPr>
              <w:t>依据规划期限内服务人口规模及城市给水工程给出的综合生活用水指标，考虑当地气候特征、生活水平的不断提高、卫生设备的完善程度、旅游经济发展等多种因素，并结合桐花村村民用水实际情况，进行污水排放量预测计算。城市（镇）污水量主要由综合生活污水量、地下水渗入量及未预见污水量组成，其水量预测如下：</w:t>
            </w:r>
          </w:p>
          <w:p>
            <w:pPr>
              <w:adjustRightInd w:val="0"/>
              <w:snapToGrid w:val="0"/>
              <w:spacing w:line="360" w:lineRule="auto"/>
              <w:ind w:firstLine="482" w:firstLineChars="200"/>
              <w:jc w:val="left"/>
              <w:rPr>
                <w:b/>
                <w:bCs/>
                <w:color w:val="auto"/>
              </w:rPr>
            </w:pPr>
            <w:r>
              <w:rPr>
                <w:b/>
                <w:bCs/>
                <w:color w:val="auto"/>
              </w:rPr>
              <w:t>①、综合生活污水量Q</w:t>
            </w:r>
            <w:r>
              <w:rPr>
                <w:b/>
                <w:bCs/>
                <w:color w:val="auto"/>
                <w:vertAlign w:val="subscript"/>
              </w:rPr>
              <w:t>1</w:t>
            </w:r>
          </w:p>
          <w:p>
            <w:pPr>
              <w:adjustRightInd w:val="0"/>
              <w:snapToGrid w:val="0"/>
              <w:spacing w:line="360" w:lineRule="auto"/>
              <w:ind w:firstLine="480" w:firstLineChars="200"/>
              <w:jc w:val="left"/>
              <w:rPr>
                <w:color w:val="auto"/>
              </w:rPr>
            </w:pPr>
            <w:r>
              <w:rPr>
                <w:color w:val="auto"/>
              </w:rPr>
              <w:t>综合生活污水量采用定额法计算</w:t>
            </w:r>
          </w:p>
          <w:p>
            <w:pPr>
              <w:adjustRightInd w:val="0"/>
              <w:snapToGrid w:val="0"/>
              <w:spacing w:line="360" w:lineRule="auto"/>
              <w:ind w:firstLine="480" w:firstLineChars="200"/>
              <w:jc w:val="left"/>
              <w:rPr>
                <w:color w:val="auto"/>
              </w:rPr>
            </w:pPr>
            <w:r>
              <w:rPr>
                <w:color w:val="auto"/>
              </w:rPr>
              <w:t>Q</w:t>
            </w:r>
            <w:r>
              <w:rPr>
                <w:color w:val="auto"/>
                <w:vertAlign w:val="subscript"/>
              </w:rPr>
              <w:t>1</w:t>
            </w:r>
            <w:r>
              <w:rPr>
                <w:color w:val="auto"/>
              </w:rPr>
              <w:t>=P×q×0.001</w:t>
            </w:r>
          </w:p>
          <w:p>
            <w:pPr>
              <w:adjustRightInd w:val="0"/>
              <w:snapToGrid w:val="0"/>
              <w:spacing w:line="360" w:lineRule="auto"/>
              <w:ind w:firstLine="480" w:firstLineChars="200"/>
              <w:jc w:val="left"/>
              <w:rPr>
                <w:color w:val="auto"/>
              </w:rPr>
            </w:pPr>
            <w:r>
              <w:rPr>
                <w:color w:val="auto"/>
              </w:rPr>
              <w:t>式中：Q</w:t>
            </w:r>
            <w:r>
              <w:rPr>
                <w:color w:val="auto"/>
                <w:vertAlign w:val="subscript"/>
              </w:rPr>
              <w:t>1</w:t>
            </w:r>
            <w:r>
              <w:rPr>
                <w:color w:val="auto"/>
              </w:rPr>
              <w:t>——综合生活污水量(m</w:t>
            </w:r>
            <w:r>
              <w:rPr>
                <w:color w:val="auto"/>
                <w:vertAlign w:val="superscript"/>
              </w:rPr>
              <w:t>3</w:t>
            </w:r>
            <w:r>
              <w:rPr>
                <w:color w:val="auto"/>
              </w:rPr>
              <w:t>/d)；</w:t>
            </w:r>
          </w:p>
          <w:p>
            <w:pPr>
              <w:adjustRightInd w:val="0"/>
              <w:snapToGrid w:val="0"/>
              <w:spacing w:line="360" w:lineRule="auto"/>
              <w:ind w:firstLine="1200" w:firstLineChars="500"/>
              <w:jc w:val="left"/>
              <w:rPr>
                <w:color w:val="auto"/>
              </w:rPr>
            </w:pPr>
            <w:r>
              <w:rPr>
                <w:color w:val="auto"/>
              </w:rPr>
              <w:t>P——服务人口数(cap)；</w:t>
            </w:r>
          </w:p>
          <w:p>
            <w:pPr>
              <w:adjustRightInd w:val="0"/>
              <w:snapToGrid w:val="0"/>
              <w:spacing w:line="360" w:lineRule="auto"/>
              <w:ind w:firstLine="1200" w:firstLineChars="500"/>
              <w:jc w:val="left"/>
              <w:rPr>
                <w:color w:val="auto"/>
              </w:rPr>
            </w:pPr>
            <w:r>
              <w:rPr>
                <w:color w:val="auto"/>
              </w:rPr>
              <w:t>q——平均日综合生活污水定额q（L/cap.d）；</w:t>
            </w:r>
          </w:p>
          <w:p>
            <w:pPr>
              <w:adjustRightInd w:val="0"/>
              <w:snapToGrid w:val="0"/>
              <w:spacing w:line="360" w:lineRule="auto"/>
              <w:ind w:firstLine="480" w:firstLineChars="200"/>
              <w:jc w:val="left"/>
              <w:rPr>
                <w:color w:val="auto"/>
              </w:rPr>
            </w:pPr>
            <w:r>
              <w:rPr>
                <w:color w:val="auto"/>
              </w:rPr>
              <w:t>根据《室外排水设计规范》（GB50014-2006）（2016年版）平均日综合生活污水定额按平均日综合生活给水定额的85%计。</w:t>
            </w:r>
          </w:p>
          <w:p>
            <w:pPr>
              <w:adjustRightInd w:val="0"/>
              <w:snapToGrid w:val="0"/>
              <w:spacing w:line="360" w:lineRule="auto"/>
              <w:ind w:firstLine="480" w:firstLineChars="200"/>
              <w:jc w:val="left"/>
              <w:rPr>
                <w:color w:val="auto"/>
              </w:rPr>
            </w:pPr>
            <w:r>
              <w:rPr>
                <w:color w:val="auto"/>
              </w:rPr>
              <w:t>根据《四川省用水定额》（DB 51/T 2138-2016），并充分考虑峨边彝族自治县宜坪乡桐花村的实际情况后，最终确定该农村最高日居民生活用水定额取120L/（人•d）。</w:t>
            </w:r>
          </w:p>
          <w:p>
            <w:pPr>
              <w:adjustRightInd w:val="0"/>
              <w:snapToGrid w:val="0"/>
              <w:spacing w:line="360" w:lineRule="auto"/>
              <w:ind w:firstLine="482" w:firstLineChars="200"/>
              <w:jc w:val="left"/>
              <w:rPr>
                <w:b/>
                <w:bCs/>
                <w:color w:val="auto"/>
              </w:rPr>
            </w:pPr>
            <w:r>
              <w:rPr>
                <w:b/>
                <w:bCs/>
                <w:color w:val="auto"/>
              </w:rPr>
              <w:t>②、地下水渗入量Q</w:t>
            </w:r>
            <w:r>
              <w:rPr>
                <w:b/>
                <w:bCs/>
                <w:color w:val="auto"/>
                <w:vertAlign w:val="subscript"/>
              </w:rPr>
              <w:t>2</w:t>
            </w:r>
          </w:p>
          <w:p>
            <w:pPr>
              <w:adjustRightInd w:val="0"/>
              <w:snapToGrid w:val="0"/>
              <w:spacing w:line="360" w:lineRule="auto"/>
              <w:ind w:firstLine="480" w:firstLineChars="200"/>
              <w:jc w:val="left"/>
              <w:rPr>
                <w:color w:val="auto"/>
              </w:rPr>
            </w:pPr>
            <w:r>
              <w:rPr>
                <w:color w:val="auto"/>
              </w:rPr>
              <w:t>本工程污水干管网大部分沿河一侧布置，管道铺设区域地下水位较高，污水量应适当考虑地下水渗入量，根据《室外排水设计标准》（GB50013-2018），地下水渗入量按综合生活污水量的百分比计，取5%。即：Q</w:t>
            </w:r>
            <w:r>
              <w:rPr>
                <w:color w:val="auto"/>
                <w:vertAlign w:val="subscript"/>
              </w:rPr>
              <w:t>2</w:t>
            </w:r>
            <w:r>
              <w:rPr>
                <w:color w:val="auto"/>
              </w:rPr>
              <w:t>=5%×（Q</w:t>
            </w:r>
            <w:r>
              <w:rPr>
                <w:color w:val="auto"/>
                <w:vertAlign w:val="subscript"/>
              </w:rPr>
              <w:t>1</w:t>
            </w:r>
            <w:r>
              <w:rPr>
                <w:color w:val="auto"/>
              </w:rPr>
              <w:t>）；</w:t>
            </w:r>
          </w:p>
          <w:p>
            <w:pPr>
              <w:adjustRightInd w:val="0"/>
              <w:snapToGrid w:val="0"/>
              <w:spacing w:line="360" w:lineRule="auto"/>
              <w:ind w:firstLine="482" w:firstLineChars="200"/>
              <w:jc w:val="left"/>
              <w:rPr>
                <w:b/>
                <w:bCs/>
                <w:color w:val="auto"/>
              </w:rPr>
            </w:pPr>
            <w:r>
              <w:rPr>
                <w:b/>
                <w:bCs/>
                <w:color w:val="auto"/>
              </w:rPr>
              <w:t>③、不可预见污水量Q</w:t>
            </w:r>
            <w:r>
              <w:rPr>
                <w:b/>
                <w:bCs/>
                <w:color w:val="auto"/>
                <w:vertAlign w:val="subscript"/>
              </w:rPr>
              <w:t>3</w:t>
            </w:r>
          </w:p>
          <w:p>
            <w:pPr>
              <w:adjustRightInd w:val="0"/>
              <w:snapToGrid w:val="0"/>
              <w:spacing w:line="360" w:lineRule="auto"/>
              <w:ind w:firstLine="480" w:firstLineChars="200"/>
              <w:jc w:val="left"/>
              <w:rPr>
                <w:color w:val="auto"/>
              </w:rPr>
            </w:pPr>
            <w:r>
              <w:rPr>
                <w:color w:val="auto"/>
              </w:rPr>
              <w:t>本工程不可预见污水量按总污水量的10%计。即：Q</w:t>
            </w:r>
            <w:r>
              <w:rPr>
                <w:color w:val="auto"/>
                <w:vertAlign w:val="subscript"/>
              </w:rPr>
              <w:t>3</w:t>
            </w:r>
            <w:r>
              <w:rPr>
                <w:color w:val="auto"/>
              </w:rPr>
              <w:t>=10%×（Q</w:t>
            </w:r>
            <w:r>
              <w:rPr>
                <w:color w:val="auto"/>
                <w:vertAlign w:val="subscript"/>
              </w:rPr>
              <w:t>1</w:t>
            </w:r>
            <w:r>
              <w:rPr>
                <w:color w:val="auto"/>
              </w:rPr>
              <w:t>+Q</w:t>
            </w:r>
            <w:r>
              <w:rPr>
                <w:color w:val="auto"/>
                <w:vertAlign w:val="subscript"/>
              </w:rPr>
              <w:t>2</w:t>
            </w:r>
            <w:r>
              <w:rPr>
                <w:color w:val="auto"/>
              </w:rPr>
              <w:t>）；</w:t>
            </w:r>
          </w:p>
          <w:p>
            <w:pPr>
              <w:adjustRightInd w:val="0"/>
              <w:snapToGrid w:val="0"/>
              <w:spacing w:line="360" w:lineRule="auto"/>
              <w:ind w:firstLine="482" w:firstLineChars="200"/>
              <w:jc w:val="left"/>
              <w:rPr>
                <w:b/>
                <w:bCs/>
                <w:color w:val="auto"/>
              </w:rPr>
            </w:pPr>
            <w:r>
              <w:rPr>
                <w:b/>
                <w:bCs/>
                <w:color w:val="auto"/>
              </w:rPr>
              <w:t>④、平均日污水量Q</w:t>
            </w:r>
          </w:p>
          <w:p>
            <w:pPr>
              <w:adjustRightInd w:val="0"/>
              <w:snapToGrid w:val="0"/>
              <w:spacing w:line="360" w:lineRule="auto"/>
              <w:ind w:firstLine="480" w:firstLineChars="200"/>
              <w:jc w:val="left"/>
              <w:rPr>
                <w:color w:val="auto"/>
              </w:rPr>
            </w:pPr>
            <w:r>
              <w:rPr>
                <w:color w:val="auto"/>
              </w:rPr>
              <w:t>本工程平均日污水量为以上三项水量之和再乘以排水管网收集率，即：</w:t>
            </w:r>
          </w:p>
          <w:p>
            <w:pPr>
              <w:adjustRightInd w:val="0"/>
              <w:snapToGrid w:val="0"/>
              <w:spacing w:line="360" w:lineRule="auto"/>
              <w:ind w:firstLine="480" w:firstLineChars="200"/>
              <w:jc w:val="left"/>
              <w:rPr>
                <w:color w:val="auto"/>
              </w:rPr>
            </w:pPr>
            <w:r>
              <w:rPr>
                <w:color w:val="auto"/>
              </w:rPr>
              <w:t>Q=(Q</w:t>
            </w:r>
            <w:r>
              <w:rPr>
                <w:color w:val="auto"/>
                <w:vertAlign w:val="subscript"/>
              </w:rPr>
              <w:t>1</w:t>
            </w:r>
            <w:r>
              <w:rPr>
                <w:color w:val="auto"/>
              </w:rPr>
              <w:t>+Q</w:t>
            </w:r>
            <w:r>
              <w:rPr>
                <w:color w:val="auto"/>
                <w:vertAlign w:val="subscript"/>
              </w:rPr>
              <w:t>2</w:t>
            </w:r>
            <w:r>
              <w:rPr>
                <w:color w:val="auto"/>
              </w:rPr>
              <w:t>+Q</w:t>
            </w:r>
            <w:r>
              <w:rPr>
                <w:color w:val="auto"/>
                <w:vertAlign w:val="subscript"/>
              </w:rPr>
              <w:t>3</w:t>
            </w:r>
            <w:r>
              <w:rPr>
                <w:color w:val="auto"/>
              </w:rPr>
              <w:t>)×α</w:t>
            </w:r>
          </w:p>
          <w:p>
            <w:pPr>
              <w:adjustRightInd w:val="0"/>
              <w:snapToGrid w:val="0"/>
              <w:spacing w:line="360" w:lineRule="auto"/>
              <w:ind w:firstLine="480" w:firstLineChars="200"/>
              <w:jc w:val="left"/>
              <w:rPr>
                <w:color w:val="auto"/>
              </w:rPr>
            </w:pPr>
            <w:r>
              <w:rPr>
                <w:color w:val="auto"/>
              </w:rPr>
              <w:t>式中：Q——平均日污水量(m</w:t>
            </w:r>
            <w:r>
              <w:rPr>
                <w:color w:val="auto"/>
                <w:vertAlign w:val="superscript"/>
              </w:rPr>
              <w:t>3</w:t>
            </w:r>
            <w:r>
              <w:rPr>
                <w:color w:val="auto"/>
              </w:rPr>
              <w:t>/d)；</w:t>
            </w:r>
          </w:p>
          <w:p>
            <w:pPr>
              <w:adjustRightInd w:val="0"/>
              <w:snapToGrid w:val="0"/>
              <w:spacing w:line="360" w:lineRule="auto"/>
              <w:ind w:firstLine="1200" w:firstLineChars="500"/>
              <w:jc w:val="left"/>
              <w:rPr>
                <w:color w:val="auto"/>
              </w:rPr>
            </w:pPr>
            <w:r>
              <w:rPr>
                <w:color w:val="auto"/>
              </w:rPr>
              <w:t>α——排水管网收集率(%)；考虑服务区的排水管网覆盖率、建设完善程度及整体发展等因素，排水管网收集率取80%。</w:t>
            </w:r>
          </w:p>
          <w:p>
            <w:pPr>
              <w:adjustRightInd w:val="0"/>
              <w:snapToGrid w:val="0"/>
              <w:spacing w:line="360" w:lineRule="auto"/>
              <w:ind w:firstLine="482" w:firstLineChars="200"/>
              <w:jc w:val="left"/>
              <w:rPr>
                <w:b/>
                <w:bCs/>
                <w:color w:val="auto"/>
              </w:rPr>
            </w:pPr>
            <w:r>
              <w:rPr>
                <w:b/>
                <w:bCs/>
                <w:color w:val="auto"/>
              </w:rPr>
              <w:t>⑥、污水量预测计算成果</w:t>
            </w:r>
          </w:p>
          <w:p>
            <w:pPr>
              <w:adjustRightInd w:val="0"/>
              <w:snapToGrid w:val="0"/>
              <w:spacing w:line="360" w:lineRule="auto"/>
              <w:ind w:firstLine="480" w:firstLineChars="200"/>
              <w:jc w:val="left"/>
              <w:rPr>
                <w:color w:val="auto"/>
              </w:rPr>
            </w:pPr>
            <w:r>
              <w:rPr>
                <w:color w:val="auto"/>
              </w:rPr>
              <w:t>污水量预测计算成果见下表1-4：</w:t>
            </w:r>
          </w:p>
          <w:p>
            <w:pPr>
              <w:adjustRightInd w:val="0"/>
              <w:snapToGrid w:val="0"/>
              <w:spacing w:line="360" w:lineRule="auto"/>
              <w:ind w:firstLine="560" w:firstLineChars="200"/>
              <w:jc w:val="center"/>
              <w:rPr>
                <w:rFonts w:eastAsia="黑体"/>
                <w:color w:val="auto"/>
                <w:spacing w:val="20"/>
                <w:kern w:val="0"/>
              </w:rPr>
            </w:pPr>
            <w:r>
              <w:rPr>
                <w:rFonts w:eastAsia="黑体"/>
                <w:color w:val="auto"/>
                <w:spacing w:val="20"/>
                <w:kern w:val="0"/>
              </w:rPr>
              <w:t>表1-4  污水量预计表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920"/>
              <w:gridCol w:w="1310"/>
              <w:gridCol w:w="1312"/>
              <w:gridCol w:w="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70" w:type="dxa"/>
                  <w:noWrap w:val="0"/>
                  <w:vAlign w:val="center"/>
                </w:tcPr>
                <w:p>
                  <w:pPr>
                    <w:adjustRightInd w:val="0"/>
                    <w:snapToGrid w:val="0"/>
                    <w:jc w:val="center"/>
                    <w:rPr>
                      <w:b/>
                      <w:bCs/>
                      <w:color w:val="auto"/>
                      <w:sz w:val="21"/>
                      <w:szCs w:val="21"/>
                    </w:rPr>
                  </w:pPr>
                  <w:r>
                    <w:rPr>
                      <w:b/>
                      <w:bCs/>
                      <w:color w:val="auto"/>
                      <w:sz w:val="21"/>
                      <w:szCs w:val="21"/>
                    </w:rPr>
                    <w:t>乡镇</w:t>
                  </w:r>
                </w:p>
              </w:tc>
              <w:tc>
                <w:tcPr>
                  <w:tcW w:w="1920" w:type="dxa"/>
                  <w:noWrap w:val="0"/>
                  <w:vAlign w:val="center"/>
                </w:tcPr>
                <w:p>
                  <w:pPr>
                    <w:adjustRightInd w:val="0"/>
                    <w:snapToGrid w:val="0"/>
                    <w:jc w:val="center"/>
                    <w:rPr>
                      <w:b/>
                      <w:bCs/>
                      <w:color w:val="auto"/>
                      <w:sz w:val="21"/>
                      <w:szCs w:val="21"/>
                    </w:rPr>
                  </w:pPr>
                  <w:r>
                    <w:rPr>
                      <w:b/>
                      <w:bCs/>
                      <w:color w:val="auto"/>
                      <w:sz w:val="21"/>
                      <w:szCs w:val="21"/>
                    </w:rPr>
                    <w:t>服务人口</w:t>
                  </w:r>
                </w:p>
              </w:tc>
              <w:tc>
                <w:tcPr>
                  <w:tcW w:w="2622" w:type="dxa"/>
                  <w:gridSpan w:val="2"/>
                  <w:noWrap w:val="0"/>
                  <w:vAlign w:val="center"/>
                </w:tcPr>
                <w:p>
                  <w:pPr>
                    <w:adjustRightInd w:val="0"/>
                    <w:snapToGrid w:val="0"/>
                    <w:jc w:val="center"/>
                    <w:rPr>
                      <w:b/>
                      <w:bCs/>
                      <w:color w:val="auto"/>
                      <w:sz w:val="21"/>
                      <w:szCs w:val="21"/>
                    </w:rPr>
                  </w:pPr>
                  <w:r>
                    <w:rPr>
                      <w:b/>
                      <w:bCs/>
                      <w:color w:val="auto"/>
                      <w:sz w:val="21"/>
                      <w:szCs w:val="21"/>
                    </w:rPr>
                    <w:t>平均日综合用水定额</w:t>
                  </w:r>
                </w:p>
                <w:p>
                  <w:pPr>
                    <w:adjustRightInd w:val="0"/>
                    <w:snapToGrid w:val="0"/>
                    <w:jc w:val="center"/>
                    <w:rPr>
                      <w:b/>
                      <w:bCs/>
                      <w:color w:val="auto"/>
                      <w:sz w:val="21"/>
                      <w:szCs w:val="21"/>
                    </w:rPr>
                  </w:pPr>
                  <w:r>
                    <w:rPr>
                      <w:b/>
                      <w:bCs/>
                      <w:color w:val="auto"/>
                      <w:sz w:val="21"/>
                      <w:szCs w:val="21"/>
                    </w:rPr>
                    <w:t>（L/cap.d）</w:t>
                  </w:r>
                </w:p>
              </w:tc>
              <w:tc>
                <w:tcPr>
                  <w:tcW w:w="2943" w:type="dxa"/>
                  <w:noWrap w:val="0"/>
                  <w:vAlign w:val="top"/>
                </w:tcPr>
                <w:p>
                  <w:pPr>
                    <w:adjustRightInd w:val="0"/>
                    <w:snapToGrid w:val="0"/>
                    <w:jc w:val="center"/>
                    <w:rPr>
                      <w:b/>
                      <w:bCs/>
                      <w:color w:val="auto"/>
                      <w:sz w:val="21"/>
                      <w:szCs w:val="21"/>
                    </w:rPr>
                  </w:pPr>
                  <w:r>
                    <w:rPr>
                      <w:b/>
                      <w:bCs/>
                      <w:color w:val="auto"/>
                      <w:sz w:val="21"/>
                      <w:szCs w:val="21"/>
                    </w:rPr>
                    <w:t>平均日综合生活污水定额q（L/cap.d）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noWrap w:val="0"/>
                  <w:vAlign w:val="center"/>
                </w:tcPr>
                <w:p>
                  <w:pPr>
                    <w:adjustRightInd w:val="0"/>
                    <w:snapToGrid w:val="0"/>
                    <w:jc w:val="center"/>
                    <w:rPr>
                      <w:color w:val="auto"/>
                      <w:sz w:val="21"/>
                      <w:szCs w:val="21"/>
                    </w:rPr>
                  </w:pPr>
                  <w:r>
                    <w:rPr>
                      <w:color w:val="auto"/>
                      <w:sz w:val="21"/>
                      <w:szCs w:val="21"/>
                    </w:rPr>
                    <w:t>宜坪乡桐花村</w:t>
                  </w:r>
                </w:p>
              </w:tc>
              <w:tc>
                <w:tcPr>
                  <w:tcW w:w="1920" w:type="dxa"/>
                  <w:noWrap w:val="0"/>
                  <w:vAlign w:val="center"/>
                </w:tcPr>
                <w:p>
                  <w:pPr>
                    <w:adjustRightInd w:val="0"/>
                    <w:snapToGrid w:val="0"/>
                    <w:jc w:val="center"/>
                    <w:rPr>
                      <w:color w:val="auto"/>
                      <w:sz w:val="21"/>
                      <w:szCs w:val="21"/>
                    </w:rPr>
                  </w:pPr>
                  <w:r>
                    <w:rPr>
                      <w:color w:val="auto"/>
                      <w:sz w:val="21"/>
                      <w:szCs w:val="21"/>
                    </w:rPr>
                    <w:t>404</w:t>
                  </w:r>
                </w:p>
              </w:tc>
              <w:tc>
                <w:tcPr>
                  <w:tcW w:w="2622" w:type="dxa"/>
                  <w:gridSpan w:val="2"/>
                  <w:noWrap w:val="0"/>
                  <w:vAlign w:val="center"/>
                </w:tcPr>
                <w:p>
                  <w:pPr>
                    <w:adjustRightInd w:val="0"/>
                    <w:snapToGrid w:val="0"/>
                    <w:jc w:val="center"/>
                    <w:rPr>
                      <w:color w:val="auto"/>
                      <w:sz w:val="21"/>
                      <w:szCs w:val="21"/>
                    </w:rPr>
                  </w:pPr>
                  <w:r>
                    <w:rPr>
                      <w:color w:val="auto"/>
                      <w:sz w:val="21"/>
                      <w:szCs w:val="21"/>
                    </w:rPr>
                    <w:t>120</w:t>
                  </w:r>
                </w:p>
              </w:tc>
              <w:tc>
                <w:tcPr>
                  <w:tcW w:w="2943" w:type="dxa"/>
                  <w:noWrap w:val="0"/>
                  <w:vAlign w:val="center"/>
                </w:tcPr>
                <w:p>
                  <w:pPr>
                    <w:adjustRightInd w:val="0"/>
                    <w:snapToGrid w:val="0"/>
                    <w:jc w:val="center"/>
                    <w:rPr>
                      <w:color w:val="auto"/>
                      <w:sz w:val="21"/>
                      <w:szCs w:val="21"/>
                    </w:rPr>
                  </w:pPr>
                  <w:r>
                    <w:rPr>
                      <w:color w:val="auto"/>
                      <w:sz w:val="21"/>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570" w:type="dxa"/>
                  <w:noWrap w:val="0"/>
                  <w:vAlign w:val="center"/>
                </w:tcPr>
                <w:p>
                  <w:pPr>
                    <w:adjustRightInd w:val="0"/>
                    <w:snapToGrid w:val="0"/>
                    <w:jc w:val="center"/>
                    <w:rPr>
                      <w:b/>
                      <w:bCs/>
                      <w:color w:val="auto"/>
                      <w:sz w:val="21"/>
                      <w:szCs w:val="21"/>
                    </w:rPr>
                  </w:pPr>
                  <w:r>
                    <w:rPr>
                      <w:b/>
                      <w:bCs/>
                      <w:color w:val="auto"/>
                      <w:sz w:val="21"/>
                      <w:szCs w:val="21"/>
                    </w:rPr>
                    <w:t>乡镇</w:t>
                  </w:r>
                </w:p>
              </w:tc>
              <w:tc>
                <w:tcPr>
                  <w:tcW w:w="3230" w:type="dxa"/>
                  <w:gridSpan w:val="2"/>
                  <w:noWrap w:val="0"/>
                  <w:vAlign w:val="center"/>
                </w:tcPr>
                <w:p>
                  <w:pPr>
                    <w:adjustRightInd w:val="0"/>
                    <w:snapToGrid w:val="0"/>
                    <w:jc w:val="center"/>
                    <w:rPr>
                      <w:b/>
                      <w:bCs/>
                      <w:color w:val="auto"/>
                      <w:sz w:val="21"/>
                      <w:szCs w:val="21"/>
                    </w:rPr>
                  </w:pPr>
                  <w:r>
                    <w:rPr>
                      <w:b/>
                      <w:bCs/>
                      <w:color w:val="auto"/>
                      <w:sz w:val="21"/>
                      <w:szCs w:val="21"/>
                    </w:rPr>
                    <w:t>综合生活污水量Q</w:t>
                  </w:r>
                  <w:r>
                    <w:rPr>
                      <w:b/>
                      <w:bCs/>
                      <w:color w:val="auto"/>
                      <w:sz w:val="21"/>
                      <w:szCs w:val="21"/>
                      <w:vertAlign w:val="subscript"/>
                    </w:rPr>
                    <w:t>1</w:t>
                  </w:r>
                  <w:r>
                    <w:rPr>
                      <w:b/>
                      <w:bCs/>
                      <w:color w:val="auto"/>
                      <w:sz w:val="21"/>
                      <w:szCs w:val="21"/>
                    </w:rPr>
                    <w:t>(m</w:t>
                  </w:r>
                  <w:r>
                    <w:rPr>
                      <w:b/>
                      <w:bCs/>
                      <w:color w:val="auto"/>
                      <w:sz w:val="21"/>
                      <w:szCs w:val="21"/>
                      <w:vertAlign w:val="superscript"/>
                    </w:rPr>
                    <w:t>3</w:t>
                  </w:r>
                  <w:r>
                    <w:rPr>
                      <w:b/>
                      <w:bCs/>
                      <w:color w:val="auto"/>
                      <w:sz w:val="21"/>
                      <w:szCs w:val="21"/>
                    </w:rPr>
                    <w:t>/d)</w:t>
                  </w:r>
                </w:p>
              </w:tc>
              <w:tc>
                <w:tcPr>
                  <w:tcW w:w="4255" w:type="dxa"/>
                  <w:gridSpan w:val="2"/>
                  <w:noWrap w:val="0"/>
                  <w:vAlign w:val="center"/>
                </w:tcPr>
                <w:p>
                  <w:pPr>
                    <w:adjustRightInd w:val="0"/>
                    <w:snapToGrid w:val="0"/>
                    <w:jc w:val="center"/>
                    <w:rPr>
                      <w:b/>
                      <w:bCs/>
                      <w:color w:val="auto"/>
                      <w:sz w:val="21"/>
                      <w:szCs w:val="21"/>
                    </w:rPr>
                  </w:pPr>
                  <w:r>
                    <w:rPr>
                      <w:b/>
                      <w:bCs/>
                      <w:color w:val="auto"/>
                      <w:sz w:val="21"/>
                      <w:szCs w:val="21"/>
                    </w:rPr>
                    <w:t>地下水渗入量Q</w:t>
                  </w:r>
                  <w:r>
                    <w:rPr>
                      <w:b/>
                      <w:bCs/>
                      <w:color w:val="auto"/>
                      <w:sz w:val="21"/>
                      <w:szCs w:val="21"/>
                      <w:vertAlign w:val="subscript"/>
                    </w:rPr>
                    <w:t>2</w:t>
                  </w:r>
                  <w:r>
                    <w:rPr>
                      <w:b/>
                      <w:bCs/>
                      <w:color w:val="auto"/>
                      <w:sz w:val="21"/>
                      <w:szCs w:val="21"/>
                    </w:rPr>
                    <w:t>(m</w:t>
                  </w:r>
                  <w:r>
                    <w:rPr>
                      <w:b/>
                      <w:bCs/>
                      <w:color w:val="auto"/>
                      <w:sz w:val="21"/>
                      <w:szCs w:val="21"/>
                      <w:vertAlign w:val="superscript"/>
                    </w:rPr>
                    <w:t>3</w:t>
                  </w:r>
                  <w:r>
                    <w:rPr>
                      <w:b/>
                      <w:bCs/>
                      <w:color w:val="auto"/>
                      <w:sz w:val="21"/>
                      <w:szCs w:val="21"/>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noWrap w:val="0"/>
                  <w:vAlign w:val="center"/>
                </w:tcPr>
                <w:p>
                  <w:pPr>
                    <w:adjustRightInd w:val="0"/>
                    <w:snapToGrid w:val="0"/>
                    <w:jc w:val="center"/>
                    <w:rPr>
                      <w:color w:val="auto"/>
                      <w:sz w:val="21"/>
                      <w:szCs w:val="21"/>
                    </w:rPr>
                  </w:pPr>
                  <w:r>
                    <w:rPr>
                      <w:color w:val="auto"/>
                      <w:sz w:val="21"/>
                      <w:szCs w:val="21"/>
                    </w:rPr>
                    <w:t>宜坪乡桐花村</w:t>
                  </w:r>
                </w:p>
              </w:tc>
              <w:tc>
                <w:tcPr>
                  <w:tcW w:w="3230" w:type="dxa"/>
                  <w:gridSpan w:val="2"/>
                  <w:noWrap w:val="0"/>
                  <w:vAlign w:val="center"/>
                </w:tcPr>
                <w:p>
                  <w:pPr>
                    <w:adjustRightInd w:val="0"/>
                    <w:snapToGrid w:val="0"/>
                    <w:jc w:val="center"/>
                    <w:rPr>
                      <w:color w:val="auto"/>
                      <w:sz w:val="21"/>
                      <w:szCs w:val="21"/>
                    </w:rPr>
                  </w:pPr>
                  <w:r>
                    <w:rPr>
                      <w:color w:val="auto"/>
                      <w:sz w:val="21"/>
                      <w:szCs w:val="21"/>
                    </w:rPr>
                    <w:t>41.21</w:t>
                  </w:r>
                </w:p>
              </w:tc>
              <w:tc>
                <w:tcPr>
                  <w:tcW w:w="4255" w:type="dxa"/>
                  <w:gridSpan w:val="2"/>
                  <w:noWrap w:val="0"/>
                  <w:vAlign w:val="center"/>
                </w:tcPr>
                <w:p>
                  <w:pPr>
                    <w:adjustRightInd w:val="0"/>
                    <w:snapToGrid w:val="0"/>
                    <w:jc w:val="center"/>
                    <w:rPr>
                      <w:color w:val="auto"/>
                      <w:sz w:val="21"/>
                      <w:szCs w:val="21"/>
                    </w:rPr>
                  </w:pPr>
                  <w:r>
                    <w:rPr>
                      <w:color w:val="auto"/>
                      <w:sz w:val="21"/>
                      <w:szCs w:val="21"/>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570" w:type="dxa"/>
                  <w:noWrap w:val="0"/>
                  <w:vAlign w:val="center"/>
                </w:tcPr>
                <w:p>
                  <w:pPr>
                    <w:adjustRightInd w:val="0"/>
                    <w:snapToGrid w:val="0"/>
                    <w:jc w:val="center"/>
                    <w:rPr>
                      <w:b/>
                      <w:bCs/>
                      <w:color w:val="auto"/>
                      <w:sz w:val="21"/>
                      <w:szCs w:val="21"/>
                    </w:rPr>
                  </w:pPr>
                  <w:r>
                    <w:rPr>
                      <w:b/>
                      <w:bCs/>
                      <w:color w:val="auto"/>
                      <w:sz w:val="21"/>
                      <w:szCs w:val="21"/>
                    </w:rPr>
                    <w:t>乡镇</w:t>
                  </w:r>
                </w:p>
              </w:tc>
              <w:tc>
                <w:tcPr>
                  <w:tcW w:w="3230" w:type="dxa"/>
                  <w:gridSpan w:val="2"/>
                  <w:noWrap w:val="0"/>
                  <w:vAlign w:val="center"/>
                </w:tcPr>
                <w:p>
                  <w:pPr>
                    <w:adjustRightInd w:val="0"/>
                    <w:snapToGrid w:val="0"/>
                    <w:jc w:val="center"/>
                    <w:rPr>
                      <w:b/>
                      <w:bCs/>
                      <w:color w:val="auto"/>
                      <w:sz w:val="21"/>
                      <w:szCs w:val="21"/>
                    </w:rPr>
                  </w:pPr>
                  <w:r>
                    <w:rPr>
                      <w:b/>
                      <w:bCs/>
                      <w:color w:val="auto"/>
                      <w:sz w:val="21"/>
                      <w:szCs w:val="21"/>
                    </w:rPr>
                    <w:t>不可预见污水量Q</w:t>
                  </w:r>
                  <w:r>
                    <w:rPr>
                      <w:b/>
                      <w:bCs/>
                      <w:color w:val="auto"/>
                      <w:sz w:val="21"/>
                      <w:szCs w:val="21"/>
                      <w:vertAlign w:val="subscript"/>
                    </w:rPr>
                    <w:t>3</w:t>
                  </w:r>
                  <w:r>
                    <w:rPr>
                      <w:b/>
                      <w:bCs/>
                      <w:color w:val="auto"/>
                      <w:sz w:val="21"/>
                      <w:szCs w:val="21"/>
                    </w:rPr>
                    <w:t>(m</w:t>
                  </w:r>
                  <w:r>
                    <w:rPr>
                      <w:b/>
                      <w:bCs/>
                      <w:color w:val="auto"/>
                      <w:sz w:val="21"/>
                      <w:szCs w:val="21"/>
                      <w:vertAlign w:val="superscript"/>
                    </w:rPr>
                    <w:t>3</w:t>
                  </w:r>
                  <w:r>
                    <w:rPr>
                      <w:b/>
                      <w:bCs/>
                      <w:color w:val="auto"/>
                      <w:sz w:val="21"/>
                      <w:szCs w:val="21"/>
                    </w:rPr>
                    <w:t>/d)</w:t>
                  </w:r>
                </w:p>
              </w:tc>
              <w:tc>
                <w:tcPr>
                  <w:tcW w:w="4255" w:type="dxa"/>
                  <w:gridSpan w:val="2"/>
                  <w:noWrap w:val="0"/>
                  <w:vAlign w:val="center"/>
                </w:tcPr>
                <w:p>
                  <w:pPr>
                    <w:adjustRightInd w:val="0"/>
                    <w:snapToGrid w:val="0"/>
                    <w:jc w:val="center"/>
                    <w:rPr>
                      <w:b/>
                      <w:bCs/>
                      <w:color w:val="auto"/>
                      <w:sz w:val="21"/>
                      <w:szCs w:val="21"/>
                    </w:rPr>
                  </w:pPr>
                  <w:r>
                    <w:rPr>
                      <w:b/>
                      <w:bCs/>
                      <w:color w:val="auto"/>
                      <w:sz w:val="21"/>
                      <w:szCs w:val="21"/>
                    </w:rPr>
                    <w:t>平均日污水量Q(m</w:t>
                  </w:r>
                  <w:r>
                    <w:rPr>
                      <w:b/>
                      <w:bCs/>
                      <w:color w:val="auto"/>
                      <w:sz w:val="21"/>
                      <w:szCs w:val="21"/>
                      <w:vertAlign w:val="superscript"/>
                    </w:rPr>
                    <w:t>3</w:t>
                  </w:r>
                  <w:r>
                    <w:rPr>
                      <w:b/>
                      <w:bCs/>
                      <w:color w:val="auto"/>
                      <w:sz w:val="21"/>
                      <w:szCs w:val="21"/>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noWrap w:val="0"/>
                  <w:vAlign w:val="center"/>
                </w:tcPr>
                <w:p>
                  <w:pPr>
                    <w:adjustRightInd w:val="0"/>
                    <w:snapToGrid w:val="0"/>
                    <w:jc w:val="center"/>
                    <w:rPr>
                      <w:color w:val="auto"/>
                      <w:sz w:val="21"/>
                      <w:szCs w:val="21"/>
                    </w:rPr>
                  </w:pPr>
                  <w:r>
                    <w:rPr>
                      <w:color w:val="auto"/>
                      <w:sz w:val="21"/>
                      <w:szCs w:val="21"/>
                    </w:rPr>
                    <w:t>宜坪乡桐花村</w:t>
                  </w:r>
                </w:p>
              </w:tc>
              <w:tc>
                <w:tcPr>
                  <w:tcW w:w="3230" w:type="dxa"/>
                  <w:gridSpan w:val="2"/>
                  <w:noWrap w:val="0"/>
                  <w:vAlign w:val="center"/>
                </w:tcPr>
                <w:p>
                  <w:pPr>
                    <w:adjustRightInd w:val="0"/>
                    <w:snapToGrid w:val="0"/>
                    <w:jc w:val="center"/>
                    <w:rPr>
                      <w:color w:val="auto"/>
                      <w:sz w:val="21"/>
                      <w:szCs w:val="21"/>
                    </w:rPr>
                  </w:pPr>
                  <w:r>
                    <w:rPr>
                      <w:color w:val="auto"/>
                      <w:sz w:val="21"/>
                      <w:szCs w:val="21"/>
                    </w:rPr>
                    <w:t>4.33</w:t>
                  </w:r>
                </w:p>
              </w:tc>
              <w:tc>
                <w:tcPr>
                  <w:tcW w:w="4255" w:type="dxa"/>
                  <w:gridSpan w:val="2"/>
                  <w:noWrap w:val="0"/>
                  <w:vAlign w:val="center"/>
                </w:tcPr>
                <w:p>
                  <w:pPr>
                    <w:adjustRightInd w:val="0"/>
                    <w:snapToGrid w:val="0"/>
                    <w:jc w:val="center"/>
                    <w:rPr>
                      <w:color w:val="auto"/>
                      <w:sz w:val="21"/>
                      <w:szCs w:val="21"/>
                    </w:rPr>
                  </w:pPr>
                  <w:r>
                    <w:rPr>
                      <w:color w:val="auto"/>
                      <w:sz w:val="21"/>
                      <w:szCs w:val="21"/>
                    </w:rPr>
                    <w:t>38.8</w:t>
                  </w:r>
                </w:p>
              </w:tc>
            </w:tr>
          </w:tbl>
          <w:p>
            <w:pPr>
              <w:adjustRightInd w:val="0"/>
              <w:snapToGrid w:val="0"/>
              <w:spacing w:line="360" w:lineRule="auto"/>
              <w:ind w:firstLine="480" w:firstLineChars="200"/>
              <w:rPr>
                <w:color w:val="auto"/>
              </w:rPr>
            </w:pPr>
            <w:r>
              <w:rPr>
                <w:color w:val="auto"/>
              </w:rPr>
              <w:t>根据污水量预测，宜坪乡桐花村生活污水治理项目日处理76m</w:t>
            </w:r>
            <w:r>
              <w:rPr>
                <w:color w:val="auto"/>
                <w:vertAlign w:val="superscript"/>
              </w:rPr>
              <w:t>3</w:t>
            </w:r>
            <w:r>
              <w:rPr>
                <w:color w:val="auto"/>
              </w:rPr>
              <w:t>/d（60m</w:t>
            </w:r>
            <w:r>
              <w:rPr>
                <w:color w:val="auto"/>
                <w:vertAlign w:val="superscript"/>
              </w:rPr>
              <w:t>3</w:t>
            </w:r>
            <w:r>
              <w:rPr>
                <w:color w:val="auto"/>
              </w:rPr>
              <w:t>/d+6m</w:t>
            </w:r>
            <w:r>
              <w:rPr>
                <w:color w:val="auto"/>
                <w:vertAlign w:val="superscript"/>
              </w:rPr>
              <w:t>3</w:t>
            </w:r>
            <w:r>
              <w:rPr>
                <w:color w:val="auto"/>
              </w:rPr>
              <w:t>/d+10m</w:t>
            </w:r>
            <w:r>
              <w:rPr>
                <w:color w:val="auto"/>
                <w:vertAlign w:val="superscript"/>
              </w:rPr>
              <w:t>3</w:t>
            </w:r>
            <w:r>
              <w:rPr>
                <w:color w:val="auto"/>
              </w:rPr>
              <w:t>/d）生活污水的方案可行。</w:t>
            </w:r>
          </w:p>
          <w:p>
            <w:pPr>
              <w:adjustRightInd w:val="0"/>
              <w:snapToGrid w:val="0"/>
              <w:spacing w:line="360" w:lineRule="auto"/>
              <w:ind w:firstLine="482" w:firstLineChars="200"/>
              <w:jc w:val="left"/>
              <w:rPr>
                <w:b/>
                <w:bCs/>
                <w:color w:val="auto"/>
              </w:rPr>
            </w:pPr>
            <w:r>
              <w:rPr>
                <w:b/>
                <w:bCs/>
                <w:color w:val="auto"/>
              </w:rPr>
              <w:t>3.进水水质</w:t>
            </w:r>
          </w:p>
          <w:p>
            <w:pPr>
              <w:adjustRightInd w:val="0"/>
              <w:snapToGrid w:val="0"/>
              <w:spacing w:line="360" w:lineRule="auto"/>
              <w:ind w:firstLine="480" w:firstLineChars="200"/>
              <w:rPr>
                <w:color w:val="auto"/>
                <w:lang w:val="zh-CN"/>
              </w:rPr>
            </w:pPr>
            <w:r>
              <w:rPr>
                <w:color w:val="auto"/>
              </w:rPr>
              <w:t>项目区主要以生活污水为主，没有工业废水的混入。</w:t>
            </w:r>
            <w:r>
              <w:rPr>
                <w:rFonts w:hint="eastAsia"/>
                <w:color w:val="auto"/>
              </w:rPr>
              <w:t>峨边生态环境局委托成都酉辰环境检测有限公司于2</w:t>
            </w:r>
            <w:r>
              <w:rPr>
                <w:color w:val="auto"/>
              </w:rPr>
              <w:t>020</w:t>
            </w:r>
            <w:r>
              <w:rPr>
                <w:rFonts w:hint="eastAsia"/>
                <w:color w:val="auto"/>
              </w:rPr>
              <w:t>年6月3日对桐花村生活污水采样并进行分析</w:t>
            </w:r>
            <w:r>
              <w:rPr>
                <w:color w:val="auto"/>
              </w:rPr>
              <w:t>，</w:t>
            </w:r>
            <w:r>
              <w:rPr>
                <w:rFonts w:hint="eastAsia"/>
                <w:color w:val="auto"/>
              </w:rPr>
              <w:t>检测结果</w:t>
            </w:r>
            <w:r>
              <w:rPr>
                <w:color w:val="auto"/>
              </w:rPr>
              <w:t>见表1-5。</w:t>
            </w:r>
          </w:p>
          <w:p>
            <w:pPr>
              <w:adjustRightInd w:val="0"/>
              <w:snapToGrid w:val="0"/>
              <w:jc w:val="center"/>
              <w:rPr>
                <w:rFonts w:eastAsia="黑体"/>
                <w:color w:val="auto"/>
                <w:spacing w:val="20"/>
                <w:kern w:val="0"/>
              </w:rPr>
            </w:pPr>
            <w:r>
              <w:rPr>
                <w:rFonts w:eastAsia="黑体"/>
                <w:color w:val="auto"/>
                <w:spacing w:val="20"/>
                <w:kern w:val="0"/>
              </w:rPr>
              <w:t xml:space="preserve">表1-5  </w:t>
            </w:r>
            <w:r>
              <w:rPr>
                <w:rFonts w:hint="eastAsia" w:eastAsia="黑体"/>
                <w:color w:val="auto"/>
                <w:spacing w:val="20"/>
                <w:kern w:val="0"/>
              </w:rPr>
              <w:t>进水</w:t>
            </w:r>
            <w:r>
              <w:rPr>
                <w:rFonts w:eastAsia="黑体"/>
                <w:color w:val="auto"/>
                <w:spacing w:val="20"/>
                <w:kern w:val="0"/>
              </w:rPr>
              <w:t>水质一览表</w:t>
            </w:r>
          </w:p>
          <w:p>
            <w:pPr>
              <w:adjustRightInd w:val="0"/>
              <w:snapToGrid w:val="0"/>
              <w:ind w:firstLine="560" w:firstLineChars="200"/>
              <w:jc w:val="right"/>
              <w:rPr>
                <w:rFonts w:eastAsia="黑体"/>
                <w:color w:val="auto"/>
                <w:spacing w:val="20"/>
                <w:kern w:val="0"/>
              </w:rPr>
            </w:pPr>
            <w:r>
              <w:rPr>
                <w:rFonts w:eastAsia="黑体"/>
                <w:color w:val="auto"/>
                <w:spacing w:val="20"/>
                <w:kern w:val="0"/>
              </w:rPr>
              <w:t>单位：mg/L</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92"/>
              <w:gridCol w:w="1268"/>
              <w:gridCol w:w="992"/>
              <w:gridCol w:w="1134"/>
              <w:gridCol w:w="1117"/>
              <w:gridCol w:w="1151"/>
              <w:gridCol w:w="113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tblHeader/>
                <w:jc w:val="center"/>
              </w:trPr>
              <w:tc>
                <w:tcPr>
                  <w:tcW w:w="1292" w:type="dxa"/>
                  <w:noWrap w:val="0"/>
                  <w:vAlign w:val="center"/>
                </w:tcPr>
                <w:p>
                  <w:pPr>
                    <w:jc w:val="center"/>
                    <w:rPr>
                      <w:color w:val="auto"/>
                      <w:sz w:val="21"/>
                      <w:szCs w:val="21"/>
                    </w:rPr>
                  </w:pPr>
                  <w:r>
                    <w:rPr>
                      <w:b/>
                      <w:bCs/>
                      <w:color w:val="auto"/>
                      <w:sz w:val="21"/>
                      <w:szCs w:val="21"/>
                    </w:rPr>
                    <w:t>水质指标</w:t>
                  </w:r>
                </w:p>
              </w:tc>
              <w:tc>
                <w:tcPr>
                  <w:tcW w:w="1268" w:type="dxa"/>
                  <w:noWrap w:val="0"/>
                  <w:vAlign w:val="center"/>
                </w:tcPr>
                <w:p>
                  <w:pPr>
                    <w:jc w:val="center"/>
                    <w:rPr>
                      <w:rFonts w:hint="eastAsia"/>
                      <w:b/>
                      <w:bCs/>
                      <w:color w:val="auto"/>
                      <w:sz w:val="21"/>
                      <w:szCs w:val="21"/>
                    </w:rPr>
                  </w:pPr>
                  <w:r>
                    <w:rPr>
                      <w:rFonts w:hint="eastAsia"/>
                      <w:b/>
                      <w:bCs/>
                      <w:color w:val="auto"/>
                      <w:sz w:val="21"/>
                      <w:szCs w:val="21"/>
                    </w:rPr>
                    <w:t>动植物油</w:t>
                  </w:r>
                </w:p>
              </w:tc>
              <w:tc>
                <w:tcPr>
                  <w:tcW w:w="992" w:type="dxa"/>
                  <w:noWrap w:val="0"/>
                  <w:vAlign w:val="center"/>
                </w:tcPr>
                <w:p>
                  <w:pPr>
                    <w:jc w:val="center"/>
                    <w:rPr>
                      <w:b/>
                      <w:bCs/>
                      <w:color w:val="auto"/>
                      <w:sz w:val="21"/>
                      <w:szCs w:val="21"/>
                    </w:rPr>
                  </w:pPr>
                  <w:r>
                    <w:rPr>
                      <w:b/>
                      <w:bCs/>
                      <w:color w:val="auto"/>
                      <w:sz w:val="21"/>
                      <w:szCs w:val="21"/>
                    </w:rPr>
                    <w:t>COD</w:t>
                  </w:r>
                </w:p>
              </w:tc>
              <w:tc>
                <w:tcPr>
                  <w:tcW w:w="1134" w:type="dxa"/>
                  <w:noWrap w:val="0"/>
                  <w:vAlign w:val="center"/>
                </w:tcPr>
                <w:p>
                  <w:pPr>
                    <w:jc w:val="center"/>
                    <w:rPr>
                      <w:b/>
                      <w:bCs/>
                      <w:color w:val="auto"/>
                      <w:sz w:val="21"/>
                      <w:szCs w:val="21"/>
                    </w:rPr>
                  </w:pPr>
                  <w:r>
                    <w:rPr>
                      <w:b/>
                      <w:bCs/>
                      <w:color w:val="auto"/>
                      <w:sz w:val="21"/>
                      <w:szCs w:val="21"/>
                    </w:rPr>
                    <w:t>SS</w:t>
                  </w:r>
                </w:p>
              </w:tc>
              <w:tc>
                <w:tcPr>
                  <w:tcW w:w="1117" w:type="dxa"/>
                  <w:noWrap w:val="0"/>
                  <w:vAlign w:val="center"/>
                </w:tcPr>
                <w:p>
                  <w:pPr>
                    <w:jc w:val="center"/>
                    <w:rPr>
                      <w:b/>
                      <w:bCs/>
                      <w:color w:val="auto"/>
                      <w:sz w:val="21"/>
                      <w:szCs w:val="21"/>
                    </w:rPr>
                  </w:pPr>
                  <w:r>
                    <w:rPr>
                      <w:b/>
                      <w:bCs/>
                      <w:color w:val="auto"/>
                      <w:sz w:val="21"/>
                      <w:szCs w:val="21"/>
                    </w:rPr>
                    <w:t>NH</w:t>
                  </w:r>
                  <w:r>
                    <w:rPr>
                      <w:b/>
                      <w:bCs/>
                      <w:color w:val="auto"/>
                      <w:sz w:val="21"/>
                      <w:szCs w:val="21"/>
                      <w:vertAlign w:val="subscript"/>
                    </w:rPr>
                    <w:t>3</w:t>
                  </w:r>
                  <w:r>
                    <w:rPr>
                      <w:b/>
                      <w:bCs/>
                      <w:color w:val="auto"/>
                      <w:sz w:val="21"/>
                      <w:szCs w:val="21"/>
                    </w:rPr>
                    <w:t>-N</w:t>
                  </w:r>
                </w:p>
              </w:tc>
              <w:tc>
                <w:tcPr>
                  <w:tcW w:w="1151" w:type="dxa"/>
                  <w:noWrap w:val="0"/>
                  <w:vAlign w:val="center"/>
                </w:tcPr>
                <w:p>
                  <w:pPr>
                    <w:pStyle w:val="79"/>
                    <w:rPr>
                      <w:b/>
                      <w:bCs/>
                      <w:color w:val="auto"/>
                      <w:szCs w:val="21"/>
                    </w:rPr>
                  </w:pPr>
                  <w:r>
                    <w:rPr>
                      <w:b/>
                      <w:bCs/>
                      <w:color w:val="auto"/>
                      <w:szCs w:val="21"/>
                    </w:rPr>
                    <w:t>T-N</w:t>
                  </w:r>
                </w:p>
              </w:tc>
              <w:tc>
                <w:tcPr>
                  <w:tcW w:w="1134" w:type="dxa"/>
                  <w:noWrap w:val="0"/>
                  <w:vAlign w:val="center"/>
                </w:tcPr>
                <w:p>
                  <w:pPr>
                    <w:pStyle w:val="79"/>
                    <w:rPr>
                      <w:b/>
                      <w:bCs/>
                      <w:color w:val="auto"/>
                      <w:szCs w:val="21"/>
                    </w:rPr>
                  </w:pPr>
                  <w:r>
                    <w:rPr>
                      <w:b/>
                      <w:bCs/>
                      <w:color w:val="auto"/>
                      <w:szCs w:val="21"/>
                    </w:rPr>
                    <w:t>T-P</w:t>
                  </w:r>
                </w:p>
              </w:tc>
              <w:tc>
                <w:tcPr>
                  <w:tcW w:w="934" w:type="dxa"/>
                  <w:noWrap w:val="0"/>
                  <w:vAlign w:val="top"/>
                </w:tcPr>
                <w:p>
                  <w:pPr>
                    <w:pStyle w:val="79"/>
                    <w:rPr>
                      <w:b/>
                      <w:bCs/>
                      <w:color w:val="auto"/>
                      <w:szCs w:val="21"/>
                    </w:rPr>
                  </w:pPr>
                  <w:r>
                    <w:rPr>
                      <w:b/>
                      <w:bCs/>
                      <w:color w:val="auto"/>
                      <w:szCs w:val="21"/>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7" w:hRule="atLeast"/>
                <w:tblHeader/>
                <w:jc w:val="center"/>
              </w:trPr>
              <w:tc>
                <w:tcPr>
                  <w:tcW w:w="1292" w:type="dxa"/>
                  <w:noWrap w:val="0"/>
                  <w:vAlign w:val="center"/>
                </w:tcPr>
                <w:p>
                  <w:pPr>
                    <w:jc w:val="center"/>
                    <w:rPr>
                      <w:color w:val="auto"/>
                      <w:sz w:val="21"/>
                      <w:szCs w:val="21"/>
                    </w:rPr>
                  </w:pPr>
                  <w:r>
                    <w:rPr>
                      <w:color w:val="auto"/>
                      <w:sz w:val="21"/>
                      <w:szCs w:val="21"/>
                    </w:rPr>
                    <w:t>数值</w:t>
                  </w:r>
                </w:p>
              </w:tc>
              <w:tc>
                <w:tcPr>
                  <w:tcW w:w="1268" w:type="dxa"/>
                  <w:noWrap w:val="0"/>
                  <w:vAlign w:val="center"/>
                </w:tcPr>
                <w:p>
                  <w:pPr>
                    <w:jc w:val="center"/>
                    <w:rPr>
                      <w:color w:val="auto"/>
                      <w:sz w:val="21"/>
                      <w:szCs w:val="21"/>
                    </w:rPr>
                  </w:pPr>
                  <w:r>
                    <w:rPr>
                      <w:color w:val="auto"/>
                      <w:sz w:val="21"/>
                      <w:szCs w:val="21"/>
                    </w:rPr>
                    <w:t>0.53</w:t>
                  </w:r>
                </w:p>
              </w:tc>
              <w:tc>
                <w:tcPr>
                  <w:tcW w:w="992" w:type="dxa"/>
                  <w:noWrap w:val="0"/>
                  <w:vAlign w:val="center"/>
                </w:tcPr>
                <w:p>
                  <w:pPr>
                    <w:jc w:val="center"/>
                    <w:rPr>
                      <w:rFonts w:hint="eastAsia"/>
                      <w:color w:val="auto"/>
                      <w:sz w:val="21"/>
                      <w:szCs w:val="21"/>
                    </w:rPr>
                  </w:pPr>
                  <w:r>
                    <w:rPr>
                      <w:color w:val="auto"/>
                      <w:sz w:val="21"/>
                      <w:szCs w:val="21"/>
                    </w:rPr>
                    <w:t>426</w:t>
                  </w:r>
                </w:p>
              </w:tc>
              <w:tc>
                <w:tcPr>
                  <w:tcW w:w="1134" w:type="dxa"/>
                  <w:noWrap w:val="0"/>
                  <w:vAlign w:val="center"/>
                </w:tcPr>
                <w:p>
                  <w:pPr>
                    <w:jc w:val="center"/>
                    <w:rPr>
                      <w:color w:val="auto"/>
                      <w:sz w:val="21"/>
                      <w:szCs w:val="21"/>
                    </w:rPr>
                  </w:pPr>
                  <w:r>
                    <w:rPr>
                      <w:color w:val="auto"/>
                      <w:sz w:val="21"/>
                      <w:szCs w:val="21"/>
                    </w:rPr>
                    <w:t>270</w:t>
                  </w:r>
                </w:p>
              </w:tc>
              <w:tc>
                <w:tcPr>
                  <w:tcW w:w="1117" w:type="dxa"/>
                  <w:noWrap w:val="0"/>
                  <w:vAlign w:val="center"/>
                </w:tcPr>
                <w:p>
                  <w:pPr>
                    <w:jc w:val="center"/>
                    <w:rPr>
                      <w:color w:val="auto"/>
                      <w:sz w:val="21"/>
                      <w:szCs w:val="21"/>
                    </w:rPr>
                  </w:pPr>
                  <w:r>
                    <w:rPr>
                      <w:color w:val="auto"/>
                      <w:sz w:val="21"/>
                      <w:szCs w:val="21"/>
                    </w:rPr>
                    <w:t>177</w:t>
                  </w:r>
                </w:p>
              </w:tc>
              <w:tc>
                <w:tcPr>
                  <w:tcW w:w="1151" w:type="dxa"/>
                  <w:noWrap w:val="0"/>
                  <w:vAlign w:val="center"/>
                </w:tcPr>
                <w:p>
                  <w:pPr>
                    <w:jc w:val="center"/>
                    <w:rPr>
                      <w:color w:val="auto"/>
                      <w:sz w:val="21"/>
                      <w:szCs w:val="21"/>
                    </w:rPr>
                  </w:pPr>
                  <w:r>
                    <w:rPr>
                      <w:color w:val="auto"/>
                      <w:sz w:val="21"/>
                      <w:szCs w:val="21"/>
                    </w:rPr>
                    <w:t>302</w:t>
                  </w:r>
                </w:p>
              </w:tc>
              <w:tc>
                <w:tcPr>
                  <w:tcW w:w="1134" w:type="dxa"/>
                  <w:noWrap w:val="0"/>
                  <w:vAlign w:val="center"/>
                </w:tcPr>
                <w:p>
                  <w:pPr>
                    <w:jc w:val="center"/>
                    <w:rPr>
                      <w:color w:val="auto"/>
                      <w:sz w:val="21"/>
                      <w:szCs w:val="21"/>
                    </w:rPr>
                  </w:pPr>
                  <w:r>
                    <w:rPr>
                      <w:color w:val="auto"/>
                      <w:sz w:val="21"/>
                      <w:szCs w:val="21"/>
                    </w:rPr>
                    <w:t>20.9</w:t>
                  </w:r>
                </w:p>
              </w:tc>
              <w:tc>
                <w:tcPr>
                  <w:tcW w:w="934" w:type="dxa"/>
                  <w:noWrap w:val="0"/>
                  <w:vAlign w:val="top"/>
                </w:tcPr>
                <w:p>
                  <w:pPr>
                    <w:jc w:val="center"/>
                    <w:rPr>
                      <w:color w:val="auto"/>
                      <w:sz w:val="21"/>
                      <w:szCs w:val="21"/>
                    </w:rPr>
                  </w:pPr>
                  <w:r>
                    <w:rPr>
                      <w:rFonts w:hint="eastAsia"/>
                      <w:color w:val="auto"/>
                      <w:sz w:val="21"/>
                      <w:szCs w:val="21"/>
                    </w:rPr>
                    <w:t>8</w:t>
                  </w:r>
                  <w:r>
                    <w:rPr>
                      <w:color w:val="auto"/>
                      <w:sz w:val="21"/>
                      <w:szCs w:val="21"/>
                    </w:rPr>
                    <w:t>.20~8.31</w:t>
                  </w:r>
                </w:p>
              </w:tc>
            </w:tr>
          </w:tbl>
          <w:p>
            <w:pPr>
              <w:adjustRightInd w:val="0"/>
              <w:snapToGrid w:val="0"/>
              <w:spacing w:line="360" w:lineRule="auto"/>
              <w:ind w:firstLine="482" w:firstLineChars="200"/>
              <w:jc w:val="left"/>
              <w:rPr>
                <w:b/>
                <w:bCs/>
                <w:color w:val="auto"/>
              </w:rPr>
            </w:pPr>
            <w:r>
              <w:rPr>
                <w:b/>
                <w:bCs/>
                <w:color w:val="auto"/>
              </w:rPr>
              <w:t>4.设计出水水质</w:t>
            </w:r>
          </w:p>
          <w:p>
            <w:pPr>
              <w:adjustRightInd w:val="0"/>
              <w:snapToGrid w:val="0"/>
              <w:spacing w:line="360" w:lineRule="auto"/>
              <w:ind w:firstLine="480" w:firstLineChars="200"/>
              <w:rPr>
                <w:color w:val="auto"/>
              </w:rPr>
            </w:pPr>
            <w:r>
              <w:rPr>
                <w:color w:val="auto"/>
              </w:rPr>
              <w:t>根据国家环保相关规定的要求，宜坪乡桐花村生活污水经处理后达到四川省《农村生活污水处理设施水污染物排放标准》（DB51/ 2626-2019）一级标准后排入官料河</w:t>
            </w:r>
            <w:r>
              <w:rPr>
                <w:rFonts w:hint="eastAsia"/>
                <w:color w:val="auto"/>
              </w:rPr>
              <w:t>；其他不能进入一体化设备的居民生活污水采取“化粪池+人工湿地”处理后，用于周边农田施肥，不外排</w:t>
            </w:r>
            <w:r>
              <w:rPr>
                <w:color w:val="auto"/>
              </w:rPr>
              <w:t>。</w:t>
            </w:r>
          </w:p>
          <w:p>
            <w:pPr>
              <w:adjustRightInd w:val="0"/>
              <w:snapToGrid w:val="0"/>
              <w:spacing w:line="360" w:lineRule="auto"/>
              <w:ind w:firstLine="480" w:firstLineChars="200"/>
              <w:rPr>
                <w:color w:val="auto"/>
              </w:rPr>
            </w:pPr>
            <w:r>
              <w:rPr>
                <w:color w:val="auto"/>
              </w:rPr>
              <w:t>宜坪乡桐花村生活污水处理工程设计出水水质指标见表1-7。</w:t>
            </w:r>
          </w:p>
          <w:p>
            <w:pPr>
              <w:autoSpaceDE w:val="0"/>
              <w:autoSpaceDN w:val="0"/>
              <w:adjustRightInd w:val="0"/>
              <w:snapToGrid w:val="0"/>
              <w:jc w:val="center"/>
              <w:rPr>
                <w:rFonts w:eastAsia="黑体"/>
                <w:color w:val="auto"/>
                <w:spacing w:val="20"/>
                <w:kern w:val="0"/>
              </w:rPr>
            </w:pPr>
            <w:r>
              <w:rPr>
                <w:rFonts w:eastAsia="黑体"/>
                <w:color w:val="auto"/>
                <w:spacing w:val="20"/>
                <w:kern w:val="0"/>
              </w:rPr>
              <w:t>表1-7  设计出水水质一览表</w:t>
            </w:r>
          </w:p>
          <w:p>
            <w:pPr>
              <w:autoSpaceDE w:val="0"/>
              <w:autoSpaceDN w:val="0"/>
              <w:adjustRightInd w:val="0"/>
              <w:snapToGrid w:val="0"/>
              <w:jc w:val="right"/>
              <w:rPr>
                <w:rFonts w:eastAsia="黑体"/>
                <w:color w:val="auto"/>
                <w:spacing w:val="20"/>
                <w:kern w:val="0"/>
              </w:rPr>
            </w:pPr>
            <w:r>
              <w:rPr>
                <w:rFonts w:eastAsia="黑体"/>
                <w:color w:val="auto"/>
                <w:spacing w:val="20"/>
                <w:kern w:val="0"/>
              </w:rPr>
              <w:t>单位：mg/L</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30"/>
              <w:gridCol w:w="1131"/>
              <w:gridCol w:w="1130"/>
              <w:gridCol w:w="1131"/>
              <w:gridCol w:w="1130"/>
              <w:gridCol w:w="1131"/>
              <w:gridCol w:w="113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158" w:hRule="atLeast"/>
                <w:tblHeader/>
                <w:jc w:val="center"/>
              </w:trPr>
              <w:tc>
                <w:tcPr>
                  <w:tcW w:w="1130" w:type="dxa"/>
                  <w:noWrap w:val="0"/>
                  <w:vAlign w:val="center"/>
                </w:tcPr>
                <w:p>
                  <w:pPr>
                    <w:jc w:val="center"/>
                    <w:rPr>
                      <w:b/>
                      <w:bCs/>
                      <w:color w:val="auto"/>
                      <w:sz w:val="21"/>
                      <w:szCs w:val="21"/>
                    </w:rPr>
                  </w:pPr>
                  <w:r>
                    <w:rPr>
                      <w:b/>
                      <w:bCs/>
                      <w:color w:val="auto"/>
                      <w:sz w:val="21"/>
                      <w:szCs w:val="21"/>
                    </w:rPr>
                    <w:t>水质指标</w:t>
                  </w:r>
                </w:p>
              </w:tc>
              <w:tc>
                <w:tcPr>
                  <w:tcW w:w="1131" w:type="dxa"/>
                  <w:noWrap w:val="0"/>
                  <w:vAlign w:val="center"/>
                </w:tcPr>
                <w:p>
                  <w:pPr>
                    <w:jc w:val="center"/>
                    <w:rPr>
                      <w:b/>
                      <w:bCs/>
                      <w:color w:val="auto"/>
                      <w:sz w:val="21"/>
                      <w:szCs w:val="21"/>
                    </w:rPr>
                  </w:pPr>
                  <w:r>
                    <w:rPr>
                      <w:b/>
                      <w:bCs/>
                      <w:color w:val="auto"/>
                      <w:sz w:val="21"/>
                      <w:szCs w:val="21"/>
                    </w:rPr>
                    <w:t>BOD</w:t>
                  </w:r>
                  <w:r>
                    <w:rPr>
                      <w:b/>
                      <w:bCs/>
                      <w:color w:val="auto"/>
                      <w:sz w:val="21"/>
                      <w:szCs w:val="21"/>
                      <w:vertAlign w:val="subscript"/>
                    </w:rPr>
                    <w:t>5</w:t>
                  </w:r>
                </w:p>
              </w:tc>
              <w:tc>
                <w:tcPr>
                  <w:tcW w:w="1130" w:type="dxa"/>
                  <w:noWrap w:val="0"/>
                  <w:vAlign w:val="center"/>
                </w:tcPr>
                <w:p>
                  <w:pPr>
                    <w:jc w:val="center"/>
                    <w:rPr>
                      <w:b/>
                      <w:bCs/>
                      <w:color w:val="auto"/>
                      <w:sz w:val="21"/>
                      <w:szCs w:val="21"/>
                    </w:rPr>
                  </w:pPr>
                  <w:r>
                    <w:rPr>
                      <w:b/>
                      <w:bCs/>
                      <w:color w:val="auto"/>
                      <w:sz w:val="21"/>
                      <w:szCs w:val="21"/>
                    </w:rPr>
                    <w:t>COD</w:t>
                  </w:r>
                </w:p>
              </w:tc>
              <w:tc>
                <w:tcPr>
                  <w:tcW w:w="1131" w:type="dxa"/>
                  <w:noWrap w:val="0"/>
                  <w:vAlign w:val="center"/>
                </w:tcPr>
                <w:p>
                  <w:pPr>
                    <w:jc w:val="center"/>
                    <w:rPr>
                      <w:b/>
                      <w:bCs/>
                      <w:color w:val="auto"/>
                      <w:sz w:val="21"/>
                      <w:szCs w:val="21"/>
                    </w:rPr>
                  </w:pPr>
                  <w:r>
                    <w:rPr>
                      <w:b/>
                      <w:bCs/>
                      <w:color w:val="auto"/>
                      <w:sz w:val="21"/>
                      <w:szCs w:val="21"/>
                    </w:rPr>
                    <w:t>SS</w:t>
                  </w:r>
                </w:p>
              </w:tc>
              <w:tc>
                <w:tcPr>
                  <w:tcW w:w="1130" w:type="dxa"/>
                  <w:noWrap w:val="0"/>
                  <w:vAlign w:val="center"/>
                </w:tcPr>
                <w:p>
                  <w:pPr>
                    <w:jc w:val="center"/>
                    <w:rPr>
                      <w:b/>
                      <w:bCs/>
                      <w:color w:val="auto"/>
                      <w:sz w:val="21"/>
                      <w:szCs w:val="21"/>
                    </w:rPr>
                  </w:pPr>
                  <w:r>
                    <w:rPr>
                      <w:b/>
                      <w:bCs/>
                      <w:color w:val="auto"/>
                      <w:sz w:val="21"/>
                      <w:szCs w:val="21"/>
                    </w:rPr>
                    <w:t>NH</w:t>
                  </w:r>
                  <w:r>
                    <w:rPr>
                      <w:b/>
                      <w:bCs/>
                      <w:color w:val="auto"/>
                      <w:sz w:val="21"/>
                      <w:szCs w:val="21"/>
                      <w:vertAlign w:val="subscript"/>
                    </w:rPr>
                    <w:t>3</w:t>
                  </w:r>
                  <w:r>
                    <w:rPr>
                      <w:b/>
                      <w:bCs/>
                      <w:color w:val="auto"/>
                      <w:sz w:val="21"/>
                      <w:szCs w:val="21"/>
                    </w:rPr>
                    <w:t>-N</w:t>
                  </w:r>
                </w:p>
              </w:tc>
              <w:tc>
                <w:tcPr>
                  <w:tcW w:w="1131" w:type="dxa"/>
                  <w:noWrap w:val="0"/>
                  <w:vAlign w:val="center"/>
                </w:tcPr>
                <w:p>
                  <w:pPr>
                    <w:jc w:val="center"/>
                    <w:rPr>
                      <w:b/>
                      <w:bCs/>
                      <w:color w:val="auto"/>
                      <w:sz w:val="21"/>
                      <w:szCs w:val="21"/>
                    </w:rPr>
                  </w:pPr>
                  <w:r>
                    <w:rPr>
                      <w:b/>
                      <w:bCs/>
                      <w:color w:val="auto"/>
                      <w:sz w:val="21"/>
                      <w:szCs w:val="21"/>
                    </w:rPr>
                    <w:t>TN</w:t>
                  </w:r>
                </w:p>
              </w:tc>
              <w:tc>
                <w:tcPr>
                  <w:tcW w:w="1130" w:type="dxa"/>
                  <w:noWrap w:val="0"/>
                  <w:vAlign w:val="center"/>
                </w:tcPr>
                <w:p>
                  <w:pPr>
                    <w:jc w:val="center"/>
                    <w:rPr>
                      <w:b/>
                      <w:bCs/>
                      <w:color w:val="auto"/>
                      <w:sz w:val="21"/>
                      <w:szCs w:val="21"/>
                    </w:rPr>
                  </w:pPr>
                  <w:r>
                    <w:rPr>
                      <w:b/>
                      <w:bCs/>
                      <w:color w:val="auto"/>
                      <w:sz w:val="21"/>
                      <w:szCs w:val="21"/>
                    </w:rPr>
                    <w:t>TP</w:t>
                  </w:r>
                </w:p>
              </w:tc>
              <w:tc>
                <w:tcPr>
                  <w:tcW w:w="1131" w:type="dxa"/>
                  <w:noWrap w:val="0"/>
                  <w:vAlign w:val="center"/>
                </w:tcPr>
                <w:p>
                  <w:pPr>
                    <w:jc w:val="center"/>
                    <w:rPr>
                      <w:b/>
                      <w:bCs/>
                      <w:color w:val="auto"/>
                      <w:sz w:val="21"/>
                      <w:szCs w:val="21"/>
                    </w:rPr>
                  </w:pPr>
                  <w:r>
                    <w:rPr>
                      <w:b/>
                      <w:bCs/>
                      <w:color w:val="auto"/>
                      <w:sz w:val="21"/>
                      <w:szCs w:val="21"/>
                    </w:rPr>
                    <w:t>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wBefore w:w="0" w:type="dxa"/>
                <w:wAfter w:w="0" w:type="dxa"/>
                <w:trHeight w:val="157" w:hRule="atLeast"/>
                <w:tblHeader/>
                <w:jc w:val="center"/>
              </w:trPr>
              <w:tc>
                <w:tcPr>
                  <w:tcW w:w="1130" w:type="dxa"/>
                  <w:noWrap w:val="0"/>
                  <w:vAlign w:val="center"/>
                </w:tcPr>
                <w:p>
                  <w:pPr>
                    <w:jc w:val="center"/>
                    <w:rPr>
                      <w:color w:val="auto"/>
                      <w:sz w:val="21"/>
                      <w:szCs w:val="21"/>
                    </w:rPr>
                  </w:pPr>
                  <w:r>
                    <w:rPr>
                      <w:color w:val="auto"/>
                      <w:sz w:val="21"/>
                      <w:szCs w:val="21"/>
                    </w:rPr>
                    <w:t>预测数值</w:t>
                  </w:r>
                </w:p>
              </w:tc>
              <w:tc>
                <w:tcPr>
                  <w:tcW w:w="1131" w:type="dxa"/>
                  <w:noWrap w:val="0"/>
                  <w:vAlign w:val="center"/>
                </w:tcPr>
                <w:p>
                  <w:pPr>
                    <w:jc w:val="center"/>
                    <w:rPr>
                      <w:color w:val="auto"/>
                      <w:sz w:val="21"/>
                      <w:szCs w:val="21"/>
                    </w:rPr>
                  </w:pPr>
                  <w:r>
                    <w:rPr>
                      <w:color w:val="auto"/>
                      <w:sz w:val="21"/>
                      <w:szCs w:val="21"/>
                    </w:rPr>
                    <w:t>10</w:t>
                  </w:r>
                </w:p>
              </w:tc>
              <w:tc>
                <w:tcPr>
                  <w:tcW w:w="1130" w:type="dxa"/>
                  <w:noWrap w:val="0"/>
                  <w:vAlign w:val="center"/>
                </w:tcPr>
                <w:p>
                  <w:pPr>
                    <w:jc w:val="center"/>
                    <w:rPr>
                      <w:color w:val="auto"/>
                      <w:sz w:val="21"/>
                      <w:szCs w:val="21"/>
                    </w:rPr>
                  </w:pPr>
                  <w:r>
                    <w:rPr>
                      <w:color w:val="auto"/>
                      <w:sz w:val="21"/>
                      <w:szCs w:val="21"/>
                    </w:rPr>
                    <w:t>60</w:t>
                  </w:r>
                </w:p>
              </w:tc>
              <w:tc>
                <w:tcPr>
                  <w:tcW w:w="1131" w:type="dxa"/>
                  <w:noWrap w:val="0"/>
                  <w:vAlign w:val="center"/>
                </w:tcPr>
                <w:p>
                  <w:pPr>
                    <w:jc w:val="center"/>
                    <w:rPr>
                      <w:color w:val="auto"/>
                      <w:sz w:val="21"/>
                      <w:szCs w:val="21"/>
                    </w:rPr>
                  </w:pPr>
                  <w:r>
                    <w:rPr>
                      <w:color w:val="auto"/>
                      <w:sz w:val="21"/>
                      <w:szCs w:val="21"/>
                    </w:rPr>
                    <w:t>20</w:t>
                  </w:r>
                </w:p>
              </w:tc>
              <w:tc>
                <w:tcPr>
                  <w:tcW w:w="1130" w:type="dxa"/>
                  <w:noWrap w:val="0"/>
                  <w:vAlign w:val="center"/>
                </w:tcPr>
                <w:p>
                  <w:pPr>
                    <w:jc w:val="center"/>
                    <w:rPr>
                      <w:color w:val="auto"/>
                      <w:sz w:val="21"/>
                      <w:szCs w:val="21"/>
                    </w:rPr>
                  </w:pPr>
                  <w:r>
                    <w:rPr>
                      <w:color w:val="auto"/>
                      <w:sz w:val="21"/>
                      <w:szCs w:val="21"/>
                    </w:rPr>
                    <w:t>8（15）</w:t>
                  </w:r>
                </w:p>
              </w:tc>
              <w:tc>
                <w:tcPr>
                  <w:tcW w:w="1131" w:type="dxa"/>
                  <w:noWrap w:val="0"/>
                  <w:vAlign w:val="center"/>
                </w:tcPr>
                <w:p>
                  <w:pPr>
                    <w:jc w:val="center"/>
                    <w:rPr>
                      <w:color w:val="auto"/>
                      <w:sz w:val="21"/>
                      <w:szCs w:val="21"/>
                    </w:rPr>
                  </w:pPr>
                  <w:r>
                    <w:rPr>
                      <w:color w:val="auto"/>
                      <w:sz w:val="21"/>
                      <w:szCs w:val="21"/>
                    </w:rPr>
                    <w:t>20</w:t>
                  </w:r>
                </w:p>
              </w:tc>
              <w:tc>
                <w:tcPr>
                  <w:tcW w:w="1130" w:type="dxa"/>
                  <w:noWrap w:val="0"/>
                  <w:vAlign w:val="center"/>
                </w:tcPr>
                <w:p>
                  <w:pPr>
                    <w:jc w:val="center"/>
                    <w:rPr>
                      <w:color w:val="auto"/>
                      <w:sz w:val="21"/>
                      <w:szCs w:val="21"/>
                    </w:rPr>
                  </w:pPr>
                  <w:r>
                    <w:rPr>
                      <w:color w:val="auto"/>
                      <w:sz w:val="21"/>
                      <w:szCs w:val="21"/>
                    </w:rPr>
                    <w:t>1.5</w:t>
                  </w:r>
                </w:p>
              </w:tc>
              <w:tc>
                <w:tcPr>
                  <w:tcW w:w="1131" w:type="dxa"/>
                  <w:noWrap w:val="0"/>
                  <w:vAlign w:val="center"/>
                </w:tcPr>
                <w:p>
                  <w:pPr>
                    <w:jc w:val="center"/>
                    <w:rPr>
                      <w:color w:val="auto"/>
                      <w:sz w:val="21"/>
                      <w:szCs w:val="21"/>
                    </w:rPr>
                  </w:pPr>
                  <w:r>
                    <w:rPr>
                      <w:color w:val="auto"/>
                      <w:sz w:val="21"/>
                      <w:szCs w:val="21"/>
                    </w:rPr>
                    <w:t>6~9</w:t>
                  </w:r>
                </w:p>
              </w:tc>
            </w:tr>
          </w:tbl>
          <w:p>
            <w:pPr>
              <w:autoSpaceDE w:val="0"/>
              <w:autoSpaceDN w:val="0"/>
              <w:adjustRightInd w:val="0"/>
              <w:snapToGrid w:val="0"/>
              <w:spacing w:line="360" w:lineRule="auto"/>
              <w:jc w:val="center"/>
              <w:rPr>
                <w:rFonts w:eastAsia="黑体"/>
                <w:color w:val="auto"/>
                <w:spacing w:val="20"/>
                <w:kern w:val="0"/>
              </w:rPr>
            </w:pPr>
          </w:p>
          <w:p>
            <w:pPr>
              <w:autoSpaceDE w:val="0"/>
              <w:autoSpaceDN w:val="0"/>
              <w:adjustRightInd w:val="0"/>
              <w:snapToGrid w:val="0"/>
              <w:spacing w:line="360" w:lineRule="auto"/>
              <w:jc w:val="center"/>
              <w:rPr>
                <w:rFonts w:eastAsia="黑体"/>
                <w:color w:val="auto"/>
                <w:spacing w:val="20"/>
                <w:kern w:val="0"/>
              </w:rPr>
            </w:pPr>
            <w:r>
              <w:rPr>
                <w:rFonts w:eastAsia="黑体"/>
                <w:color w:val="auto"/>
                <w:spacing w:val="20"/>
                <w:kern w:val="0"/>
              </w:rPr>
              <w:t>表1-8  本工程设计进水水质去除率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5"/>
              <w:gridCol w:w="1325"/>
              <w:gridCol w:w="1134"/>
              <w:gridCol w:w="1113"/>
              <w:gridCol w:w="1134"/>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sz w:val="21"/>
                      <w:szCs w:val="21"/>
                    </w:rPr>
                  </w:pPr>
                  <w:r>
                    <w:rPr>
                      <w:b/>
                      <w:bCs/>
                      <w:color w:val="auto"/>
                      <w:sz w:val="21"/>
                      <w:szCs w:val="21"/>
                    </w:rPr>
                    <w:t>指标</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sz w:val="21"/>
                      <w:szCs w:val="21"/>
                    </w:rPr>
                  </w:pPr>
                  <w:r>
                    <w:rPr>
                      <w:b/>
                      <w:bCs/>
                      <w:color w:val="auto"/>
                      <w:sz w:val="21"/>
                      <w:szCs w:val="21"/>
                    </w:rPr>
                    <w:t>COD</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sz w:val="21"/>
                      <w:szCs w:val="21"/>
                    </w:rPr>
                  </w:pPr>
                  <w:r>
                    <w:rPr>
                      <w:b/>
                      <w:bCs/>
                      <w:color w:val="auto"/>
                      <w:sz w:val="21"/>
                      <w:szCs w:val="21"/>
                    </w:rPr>
                    <w:t>SS</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sz w:val="21"/>
                      <w:szCs w:val="21"/>
                    </w:rPr>
                  </w:pPr>
                  <w:r>
                    <w:rPr>
                      <w:b/>
                      <w:bCs/>
                      <w:color w:val="auto"/>
                      <w:sz w:val="21"/>
                      <w:szCs w:val="21"/>
                    </w:rPr>
                    <w:t>NH</w:t>
                  </w:r>
                  <w:r>
                    <w:rPr>
                      <w:b/>
                      <w:bCs/>
                      <w:color w:val="auto"/>
                      <w:sz w:val="21"/>
                      <w:szCs w:val="21"/>
                      <w:vertAlign w:val="subscript"/>
                    </w:rPr>
                    <w:t>3</w:t>
                  </w:r>
                  <w:r>
                    <w:rPr>
                      <w:b/>
                      <w:bCs/>
                      <w:color w:val="auto"/>
                      <w:sz w:val="21"/>
                      <w:szCs w:val="21"/>
                    </w:rPr>
                    <w:t>-N</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b/>
                      <w:bCs/>
                      <w:color w:val="auto"/>
                      <w:sz w:val="21"/>
                      <w:szCs w:val="21"/>
                    </w:rPr>
                  </w:pPr>
                  <w:r>
                    <w:rPr>
                      <w:b/>
                      <w:bCs/>
                      <w:color w:val="auto"/>
                      <w:sz w:val="21"/>
                      <w:szCs w:val="21"/>
                    </w:rPr>
                    <w:t>TN</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b/>
                      <w:bCs/>
                      <w:color w:val="auto"/>
                      <w:sz w:val="21"/>
                      <w:szCs w:val="21"/>
                    </w:rPr>
                  </w:pPr>
                  <w:r>
                    <w:rPr>
                      <w:b/>
                      <w:bCs/>
                      <w:color w:val="auto"/>
                      <w:sz w:val="21"/>
                      <w:szCs w:val="21"/>
                    </w:rPr>
                    <w:t>TP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进水水质（mg/l）</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426</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270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177</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302</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9"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pPr>
                    <w:rPr>
                      <w:color w:val="auto"/>
                      <w:sz w:val="21"/>
                      <w:szCs w:val="21"/>
                    </w:rPr>
                  </w:pPr>
                  <w:r>
                    <w:rPr>
                      <w:color w:val="auto"/>
                      <w:sz w:val="21"/>
                      <w:szCs w:val="21"/>
                    </w:rPr>
                    <w:t>四川省《农村生活污水处理设施水污染物排放标准》（DB51/2626-2019）一级标准出水水质</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60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8（15）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20</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ind w:firstLine="105" w:firstLineChars="50"/>
                    <w:jc w:val="center"/>
                    <w:rPr>
                      <w:color w:val="auto"/>
                      <w:sz w:val="21"/>
                      <w:szCs w:val="21"/>
                    </w:rPr>
                  </w:pPr>
                  <w:r>
                    <w:rPr>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去除率（％）</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rFonts w:hint="eastAsia"/>
                      <w:color w:val="auto"/>
                      <w:sz w:val="21"/>
                      <w:szCs w:val="21"/>
                    </w:rPr>
                    <w:t>8</w:t>
                  </w:r>
                  <w:r>
                    <w:rPr>
                      <w:color w:val="auto"/>
                      <w:sz w:val="21"/>
                      <w:szCs w:val="21"/>
                    </w:rPr>
                    <w:t>5.9</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rFonts w:hint="eastAsia"/>
                      <w:color w:val="auto"/>
                      <w:sz w:val="21"/>
                      <w:szCs w:val="21"/>
                    </w:rPr>
                    <w:t>9</w:t>
                  </w:r>
                  <w:r>
                    <w:rPr>
                      <w:color w:val="auto"/>
                      <w:sz w:val="21"/>
                      <w:szCs w:val="21"/>
                    </w:rPr>
                    <w:t>2.6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rFonts w:hint="eastAsia"/>
                      <w:color w:val="auto"/>
                      <w:sz w:val="21"/>
                      <w:szCs w:val="21"/>
                    </w:rPr>
                    <w:t>9</w:t>
                  </w:r>
                  <w:r>
                    <w:rPr>
                      <w:color w:val="auto"/>
                      <w:sz w:val="21"/>
                      <w:szCs w:val="21"/>
                    </w:rPr>
                    <w:t>5.5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1"/>
                      <w:szCs w:val="21"/>
                    </w:rPr>
                  </w:pPr>
                  <w:r>
                    <w:rPr>
                      <w:color w:val="auto"/>
                      <w:sz w:val="21"/>
                      <w:szCs w:val="21"/>
                    </w:rPr>
                    <w:t>93.4</w:t>
                  </w:r>
                </w:p>
              </w:tc>
              <w:tc>
                <w:tcPr>
                  <w:tcW w:w="110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auto"/>
                      <w:sz w:val="21"/>
                      <w:szCs w:val="21"/>
                    </w:rPr>
                  </w:pPr>
                  <w:r>
                    <w:rPr>
                      <w:rFonts w:hint="eastAsia"/>
                      <w:color w:val="auto"/>
                      <w:sz w:val="21"/>
                      <w:szCs w:val="21"/>
                    </w:rPr>
                    <w:t>9</w:t>
                  </w:r>
                  <w:r>
                    <w:rPr>
                      <w:color w:val="auto"/>
                      <w:sz w:val="21"/>
                      <w:szCs w:val="21"/>
                    </w:rPr>
                    <w:t>2.8</w:t>
                  </w:r>
                </w:p>
              </w:tc>
            </w:tr>
          </w:tbl>
          <w:p>
            <w:pPr>
              <w:adjustRightInd w:val="0"/>
              <w:snapToGrid w:val="0"/>
              <w:spacing w:line="360" w:lineRule="auto"/>
              <w:ind w:firstLine="482" w:firstLineChars="200"/>
              <w:jc w:val="left"/>
              <w:rPr>
                <w:b/>
                <w:bCs/>
                <w:color w:val="auto"/>
              </w:rPr>
            </w:pPr>
            <w:r>
              <w:rPr>
                <w:b/>
                <w:bCs/>
                <w:color w:val="auto"/>
              </w:rPr>
              <w:t>5.污水处理工艺</w:t>
            </w:r>
          </w:p>
          <w:p>
            <w:pPr>
              <w:adjustRightInd w:val="0"/>
              <w:snapToGrid w:val="0"/>
              <w:spacing w:line="360" w:lineRule="auto"/>
              <w:ind w:firstLine="480" w:firstLineChars="200"/>
              <w:rPr>
                <w:color w:val="auto"/>
              </w:rPr>
            </w:pPr>
            <w:r>
              <w:rPr>
                <w:color w:val="auto"/>
              </w:rPr>
              <w:t>本项目主要采用“化粪池+MBR一体化处理设备”</w:t>
            </w:r>
            <w:r>
              <w:rPr>
                <w:rFonts w:hint="eastAsia"/>
                <w:color w:val="auto"/>
              </w:rPr>
              <w:t>、</w:t>
            </w:r>
            <w:r>
              <w:rPr>
                <w:color w:val="auto"/>
              </w:rPr>
              <w:t>“化粪池+人工湿地”工艺，具体工艺论证及比较详见第五章第二节工艺流程简述。本项目污水处理工艺流程图见图1-1。</w:t>
            </w:r>
          </w:p>
          <w:p>
            <w:pPr>
              <w:pStyle w:val="2"/>
              <w:ind w:left="0" w:leftChars="0" w:firstLine="480"/>
              <w:rPr>
                <w:rFonts w:hint="default" w:ascii="Times New Roman" w:hAnsi="Times New Roman"/>
                <w:color w:val="auto"/>
              </w:rPr>
            </w:pPr>
            <w:r>
              <w:rPr>
                <w:rFonts w:hint="default" w:ascii="Times New Roman" w:hAnsi="Times New Roman"/>
                <w:color w:val="auto"/>
                <w:sz w:val="24"/>
              </w:rPr>
              <w:t>“化粪池+MBR一体化处理设备</w:t>
            </w:r>
            <w:r>
              <w:rPr>
                <w:rFonts w:hint="default" w:ascii="Times New Roman" w:hAnsi="Times New Roman"/>
                <w:color w:val="auto"/>
                <w:kern w:val="2"/>
                <w:sz w:val="24"/>
              </w:rPr>
              <w:t>”工艺流程图如下：</w:t>
            </w:r>
          </w:p>
          <w:p>
            <w:pPr>
              <w:spacing w:line="360" w:lineRule="auto"/>
              <w:jc w:val="center"/>
              <w:rPr>
                <w:color w:val="auto"/>
              </w:rPr>
            </w:pPr>
            <w:r>
              <w:rPr>
                <w:color w:val="auto"/>
                <w:lang/>
              </w:rPr>
              <w:drawing>
                <wp:inline distT="0" distB="0" distL="114300" distR="114300">
                  <wp:extent cx="2637790" cy="4476115"/>
                  <wp:effectExtent l="0" t="0" r="1016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2637790" cy="4476115"/>
                          </a:xfrm>
                          <a:prstGeom prst="rect">
                            <a:avLst/>
                          </a:prstGeom>
                          <a:noFill/>
                          <a:ln>
                            <a:noFill/>
                          </a:ln>
                        </pic:spPr>
                      </pic:pic>
                    </a:graphicData>
                  </a:graphic>
                </wp:inline>
              </w:drawing>
            </w:r>
          </w:p>
          <w:p>
            <w:pPr>
              <w:spacing w:line="360" w:lineRule="auto"/>
              <w:jc w:val="center"/>
              <w:rPr>
                <w:rFonts w:eastAsia="黑体"/>
                <w:color w:val="auto"/>
              </w:rPr>
            </w:pPr>
            <w:r>
              <w:rPr>
                <w:rFonts w:eastAsia="黑体"/>
                <w:color w:val="auto"/>
              </w:rPr>
              <w:t>图1-1  污水处理工艺流程图</w:t>
            </w:r>
          </w:p>
          <w:p>
            <w:pPr>
              <w:pStyle w:val="2"/>
              <w:ind w:left="0" w:leftChars="0" w:firstLine="480"/>
              <w:rPr>
                <w:rFonts w:hint="default" w:ascii="Times New Roman" w:hAnsi="Times New Roman"/>
                <w:color w:val="auto"/>
              </w:rPr>
            </w:pPr>
            <w:r>
              <w:rPr>
                <w:rFonts w:hint="default" w:ascii="Times New Roman" w:hAnsi="Times New Roman"/>
                <w:color w:val="auto"/>
                <w:sz w:val="24"/>
              </w:rPr>
              <w:t>“</w:t>
            </w:r>
            <w:r>
              <w:rPr>
                <w:rFonts w:hint="default" w:ascii="Times New Roman" w:hAnsi="Times New Roman"/>
                <w:color w:val="auto"/>
                <w:kern w:val="2"/>
                <w:sz w:val="24"/>
              </w:rPr>
              <w:t>化粪池+人工湿地”工艺流程图如下：</w:t>
            </w:r>
          </w:p>
          <w:p>
            <w:pPr>
              <w:pStyle w:val="2"/>
              <w:ind w:left="0" w:leftChars="0" w:firstLine="0" w:firstLineChars="0"/>
              <w:jc w:val="center"/>
              <w:rPr>
                <w:rFonts w:hint="default" w:ascii="Times New Roman" w:hAnsi="Times New Roman"/>
                <w:color w:val="auto"/>
              </w:rPr>
            </w:pPr>
            <w:r>
              <w:rPr>
                <w:color w:val="auto"/>
                <w:lang/>
              </w:rPr>
              <w:drawing>
                <wp:inline distT="0" distB="0" distL="114300" distR="114300">
                  <wp:extent cx="2095500" cy="2047875"/>
                  <wp:effectExtent l="0" t="0" r="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2095500" cy="2047875"/>
                          </a:xfrm>
                          <a:prstGeom prst="rect">
                            <a:avLst/>
                          </a:prstGeom>
                          <a:noFill/>
                          <a:ln>
                            <a:noFill/>
                          </a:ln>
                        </pic:spPr>
                      </pic:pic>
                    </a:graphicData>
                  </a:graphic>
                </wp:inline>
              </w:drawing>
            </w:r>
          </w:p>
          <w:p>
            <w:pPr>
              <w:spacing w:line="360" w:lineRule="auto"/>
              <w:jc w:val="center"/>
              <w:rPr>
                <w:rStyle w:val="106"/>
                <w:rFonts w:eastAsia="黑体"/>
                <w:bCs/>
                <w:color w:val="auto"/>
              </w:rPr>
            </w:pPr>
            <w:r>
              <w:rPr>
                <w:rStyle w:val="106"/>
                <w:rFonts w:eastAsia="黑体"/>
                <w:bCs/>
                <w:color w:val="auto"/>
              </w:rPr>
              <w:t>图1-2  “化粪池+人工湿地”</w:t>
            </w:r>
            <w:r>
              <w:rPr>
                <w:rStyle w:val="106"/>
                <w:rFonts w:eastAsia="黑体"/>
                <w:color w:val="auto"/>
              </w:rPr>
              <w:t>污水处理工艺流程</w:t>
            </w:r>
            <w:r>
              <w:rPr>
                <w:rStyle w:val="106"/>
                <w:rFonts w:hint="eastAsia" w:eastAsia="黑体"/>
                <w:color w:val="auto"/>
              </w:rPr>
              <w:t>图</w:t>
            </w:r>
          </w:p>
          <w:p>
            <w:pPr>
              <w:tabs>
                <w:tab w:val="left" w:pos="682"/>
              </w:tabs>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十、原辅材料及能耗</w:t>
            </w:r>
          </w:p>
          <w:p>
            <w:pPr>
              <w:adjustRightInd w:val="0"/>
              <w:snapToGrid w:val="0"/>
              <w:spacing w:line="360" w:lineRule="auto"/>
              <w:ind w:firstLine="480" w:firstLineChars="200"/>
              <w:rPr>
                <w:color w:val="auto"/>
              </w:rPr>
            </w:pPr>
            <w:r>
              <w:rPr>
                <w:color w:val="auto"/>
              </w:rPr>
              <w:t>按照本项目污水处理站的处理规模，主要原辅材料种类、数量及项目能耗情况统计见下表。</w:t>
            </w:r>
          </w:p>
          <w:p>
            <w:pPr>
              <w:adjustRightInd w:val="0"/>
              <w:snapToGrid w:val="0"/>
              <w:spacing w:line="360" w:lineRule="auto"/>
              <w:jc w:val="center"/>
              <w:rPr>
                <w:rFonts w:eastAsia="黑体"/>
                <w:color w:val="auto"/>
                <w:spacing w:val="20"/>
                <w:kern w:val="0"/>
              </w:rPr>
            </w:pPr>
            <w:r>
              <w:rPr>
                <w:rFonts w:eastAsia="黑体"/>
                <w:color w:val="auto"/>
                <w:spacing w:val="20"/>
                <w:kern w:val="0"/>
              </w:rPr>
              <w:t>表1-9  主要原辅材料及能耗情况表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139"/>
              <w:gridCol w:w="1398"/>
              <w:gridCol w:w="1832"/>
              <w:gridCol w:w="2048"/>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noWrap w:val="0"/>
                  <w:vAlign w:val="center"/>
                </w:tcPr>
                <w:p>
                  <w:pPr>
                    <w:adjustRightInd w:val="0"/>
                    <w:snapToGrid w:val="0"/>
                    <w:jc w:val="center"/>
                    <w:rPr>
                      <w:color w:val="auto"/>
                      <w:sz w:val="21"/>
                      <w:szCs w:val="21"/>
                    </w:rPr>
                  </w:pPr>
                  <w:r>
                    <w:rPr>
                      <w:color w:val="auto"/>
                      <w:sz w:val="21"/>
                      <w:szCs w:val="21"/>
                    </w:rPr>
                    <w:t>项目</w:t>
                  </w:r>
                </w:p>
              </w:tc>
              <w:tc>
                <w:tcPr>
                  <w:tcW w:w="2537" w:type="dxa"/>
                  <w:gridSpan w:val="2"/>
                  <w:noWrap w:val="0"/>
                  <w:vAlign w:val="center"/>
                </w:tcPr>
                <w:p>
                  <w:pPr>
                    <w:adjustRightInd w:val="0"/>
                    <w:snapToGrid w:val="0"/>
                    <w:jc w:val="center"/>
                    <w:rPr>
                      <w:color w:val="auto"/>
                      <w:sz w:val="21"/>
                      <w:szCs w:val="21"/>
                    </w:rPr>
                  </w:pPr>
                  <w:r>
                    <w:rPr>
                      <w:color w:val="auto"/>
                      <w:sz w:val="21"/>
                      <w:szCs w:val="21"/>
                    </w:rPr>
                    <w:t>名称</w:t>
                  </w:r>
                </w:p>
              </w:tc>
              <w:tc>
                <w:tcPr>
                  <w:tcW w:w="1832" w:type="dxa"/>
                  <w:noWrap w:val="0"/>
                  <w:vAlign w:val="center"/>
                </w:tcPr>
                <w:p>
                  <w:pPr>
                    <w:adjustRightInd w:val="0"/>
                    <w:snapToGrid w:val="0"/>
                    <w:jc w:val="center"/>
                    <w:rPr>
                      <w:color w:val="auto"/>
                      <w:sz w:val="21"/>
                      <w:szCs w:val="21"/>
                    </w:rPr>
                  </w:pPr>
                  <w:r>
                    <w:rPr>
                      <w:color w:val="auto"/>
                      <w:sz w:val="21"/>
                      <w:szCs w:val="21"/>
                    </w:rPr>
                    <w:t>用量</w:t>
                  </w:r>
                </w:p>
              </w:tc>
              <w:tc>
                <w:tcPr>
                  <w:tcW w:w="2048" w:type="dxa"/>
                  <w:noWrap w:val="0"/>
                  <w:vAlign w:val="center"/>
                </w:tcPr>
                <w:p>
                  <w:pPr>
                    <w:adjustRightInd w:val="0"/>
                    <w:snapToGrid w:val="0"/>
                    <w:jc w:val="center"/>
                    <w:rPr>
                      <w:color w:val="auto"/>
                      <w:sz w:val="21"/>
                      <w:szCs w:val="21"/>
                    </w:rPr>
                  </w:pPr>
                  <w:r>
                    <w:rPr>
                      <w:color w:val="auto"/>
                      <w:sz w:val="21"/>
                      <w:szCs w:val="21"/>
                    </w:rPr>
                    <w:t>来源</w:t>
                  </w:r>
                </w:p>
              </w:tc>
              <w:tc>
                <w:tcPr>
                  <w:tcW w:w="1667" w:type="dxa"/>
                  <w:noWrap w:val="0"/>
                  <w:vAlign w:val="center"/>
                </w:tcPr>
                <w:p>
                  <w:pPr>
                    <w:adjustRightInd w:val="0"/>
                    <w:snapToGrid w:val="0"/>
                    <w:jc w:val="center"/>
                    <w:rPr>
                      <w:color w:val="auto"/>
                      <w:sz w:val="21"/>
                      <w:szCs w:val="21"/>
                    </w:rPr>
                  </w:pPr>
                  <w:r>
                    <w:rPr>
                      <w:color w:val="auto"/>
                      <w:sz w:val="21"/>
                      <w:szCs w:val="21"/>
                    </w:rPr>
                    <w:t>主要化学成分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vMerge w:val="restart"/>
                  <w:noWrap w:val="0"/>
                  <w:vAlign w:val="center"/>
                </w:tcPr>
                <w:p>
                  <w:pPr>
                    <w:adjustRightInd w:val="0"/>
                    <w:snapToGrid w:val="0"/>
                    <w:jc w:val="center"/>
                    <w:rPr>
                      <w:color w:val="auto"/>
                      <w:sz w:val="21"/>
                      <w:szCs w:val="21"/>
                    </w:rPr>
                  </w:pPr>
                  <w:r>
                    <w:rPr>
                      <w:color w:val="auto"/>
                      <w:sz w:val="21"/>
                      <w:szCs w:val="21"/>
                    </w:rPr>
                    <w:t>主</w:t>
                  </w:r>
                </w:p>
                <w:p>
                  <w:pPr>
                    <w:adjustRightInd w:val="0"/>
                    <w:snapToGrid w:val="0"/>
                    <w:jc w:val="center"/>
                    <w:rPr>
                      <w:color w:val="auto"/>
                      <w:sz w:val="21"/>
                      <w:szCs w:val="21"/>
                    </w:rPr>
                  </w:pPr>
                  <w:r>
                    <w:rPr>
                      <w:color w:val="auto"/>
                      <w:sz w:val="21"/>
                      <w:szCs w:val="21"/>
                    </w:rPr>
                    <w:t>（辅）</w:t>
                  </w:r>
                </w:p>
                <w:p>
                  <w:pPr>
                    <w:adjustRightInd w:val="0"/>
                    <w:snapToGrid w:val="0"/>
                    <w:jc w:val="center"/>
                    <w:rPr>
                      <w:color w:val="auto"/>
                      <w:sz w:val="21"/>
                      <w:szCs w:val="21"/>
                    </w:rPr>
                  </w:pPr>
                  <w:r>
                    <w:rPr>
                      <w:color w:val="auto"/>
                      <w:sz w:val="21"/>
                      <w:szCs w:val="21"/>
                    </w:rPr>
                    <w:t>料</w:t>
                  </w:r>
                </w:p>
              </w:tc>
              <w:tc>
                <w:tcPr>
                  <w:tcW w:w="1139" w:type="dxa"/>
                  <w:vMerge w:val="restart"/>
                  <w:noWrap w:val="0"/>
                  <w:vAlign w:val="center"/>
                </w:tcPr>
                <w:p>
                  <w:pPr>
                    <w:adjustRightInd w:val="0"/>
                    <w:snapToGrid w:val="0"/>
                    <w:jc w:val="center"/>
                    <w:rPr>
                      <w:color w:val="auto"/>
                      <w:sz w:val="21"/>
                      <w:szCs w:val="21"/>
                    </w:rPr>
                  </w:pPr>
                  <w:r>
                    <w:rPr>
                      <w:color w:val="auto"/>
                      <w:sz w:val="21"/>
                      <w:szCs w:val="21"/>
                    </w:rPr>
                    <w:t>施工期</w:t>
                  </w:r>
                </w:p>
              </w:tc>
              <w:tc>
                <w:tcPr>
                  <w:tcW w:w="1398" w:type="dxa"/>
                  <w:noWrap w:val="0"/>
                  <w:vAlign w:val="center"/>
                </w:tcPr>
                <w:p>
                  <w:pPr>
                    <w:adjustRightInd w:val="0"/>
                    <w:snapToGrid w:val="0"/>
                    <w:jc w:val="center"/>
                    <w:rPr>
                      <w:color w:val="auto"/>
                      <w:sz w:val="21"/>
                      <w:szCs w:val="21"/>
                    </w:rPr>
                  </w:pPr>
                  <w:r>
                    <w:rPr>
                      <w:color w:val="auto"/>
                      <w:sz w:val="21"/>
                      <w:szCs w:val="21"/>
                    </w:rPr>
                    <w:t>钢材</w:t>
                  </w:r>
                </w:p>
              </w:tc>
              <w:tc>
                <w:tcPr>
                  <w:tcW w:w="1832" w:type="dxa"/>
                  <w:noWrap w:val="0"/>
                  <w:vAlign w:val="center"/>
                </w:tcPr>
                <w:p>
                  <w:pPr>
                    <w:adjustRightInd w:val="0"/>
                    <w:snapToGrid w:val="0"/>
                    <w:jc w:val="center"/>
                    <w:rPr>
                      <w:color w:val="auto"/>
                      <w:sz w:val="21"/>
                      <w:szCs w:val="21"/>
                    </w:rPr>
                  </w:pPr>
                  <w:r>
                    <w:rPr>
                      <w:color w:val="auto"/>
                      <w:sz w:val="21"/>
                      <w:szCs w:val="21"/>
                    </w:rPr>
                    <w:t>16.0t</w:t>
                  </w:r>
                </w:p>
              </w:tc>
              <w:tc>
                <w:tcPr>
                  <w:tcW w:w="2048" w:type="dxa"/>
                  <w:vMerge w:val="restart"/>
                  <w:noWrap w:val="0"/>
                  <w:vAlign w:val="center"/>
                </w:tcPr>
                <w:p>
                  <w:pPr>
                    <w:pStyle w:val="25"/>
                    <w:widowControl w:val="0"/>
                    <w:adjustRightInd w:val="0"/>
                    <w:snapToGrid w:val="0"/>
                    <w:spacing w:before="0" w:beforeAutospacing="0" w:after="0" w:afterAutospacing="0"/>
                    <w:jc w:val="center"/>
                    <w:rPr>
                      <w:rFonts w:ascii="Times New Roman" w:hAnsi="Times New Roman" w:cs="Times New Roman"/>
                      <w:color w:val="auto"/>
                      <w:sz w:val="21"/>
                      <w:szCs w:val="21"/>
                    </w:rPr>
                  </w:pPr>
                  <w:r>
                    <w:rPr>
                      <w:rFonts w:ascii="Times New Roman" w:hAnsi="Times New Roman" w:cs="Times New Roman"/>
                      <w:color w:val="auto"/>
                      <w:sz w:val="21"/>
                      <w:szCs w:val="21"/>
                    </w:rPr>
                    <w:t>外购</w:t>
                  </w:r>
                </w:p>
              </w:tc>
              <w:tc>
                <w:tcPr>
                  <w:tcW w:w="1667" w:type="dxa"/>
                  <w:noWrap w:val="0"/>
                  <w:vAlign w:val="center"/>
                </w:tcPr>
                <w:p>
                  <w:pPr>
                    <w:adjustRightInd w:val="0"/>
                    <w:snapToGrid w:val="0"/>
                    <w:jc w:val="center"/>
                    <w:rPr>
                      <w:color w:val="auto"/>
                      <w:sz w:val="21"/>
                      <w:szCs w:val="21"/>
                    </w:rPr>
                  </w:pPr>
                  <w:r>
                    <w:rPr>
                      <w:color w:val="auto"/>
                      <w:sz w:val="21"/>
                      <w:szCs w:val="21"/>
                    </w:rPr>
                    <w:t>Fe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vMerge w:val="continue"/>
                  <w:noWrap w:val="0"/>
                  <w:vAlign w:val="center"/>
                </w:tcPr>
                <w:p>
                  <w:pPr>
                    <w:adjustRightInd w:val="0"/>
                    <w:snapToGrid w:val="0"/>
                    <w:jc w:val="center"/>
                    <w:rPr>
                      <w:color w:val="auto"/>
                      <w:sz w:val="21"/>
                      <w:szCs w:val="21"/>
                    </w:rPr>
                  </w:pPr>
                </w:p>
              </w:tc>
              <w:tc>
                <w:tcPr>
                  <w:tcW w:w="1139" w:type="dxa"/>
                  <w:vMerge w:val="continue"/>
                  <w:noWrap w:val="0"/>
                  <w:vAlign w:val="center"/>
                </w:tcPr>
                <w:p>
                  <w:pPr>
                    <w:adjustRightInd w:val="0"/>
                    <w:snapToGrid w:val="0"/>
                    <w:jc w:val="center"/>
                    <w:rPr>
                      <w:color w:val="auto"/>
                      <w:sz w:val="21"/>
                      <w:szCs w:val="21"/>
                    </w:rPr>
                  </w:pPr>
                </w:p>
              </w:tc>
              <w:tc>
                <w:tcPr>
                  <w:tcW w:w="1398" w:type="dxa"/>
                  <w:noWrap w:val="0"/>
                  <w:vAlign w:val="center"/>
                </w:tcPr>
                <w:p>
                  <w:pPr>
                    <w:adjustRightInd w:val="0"/>
                    <w:snapToGrid w:val="0"/>
                    <w:jc w:val="center"/>
                    <w:rPr>
                      <w:color w:val="auto"/>
                      <w:sz w:val="21"/>
                      <w:szCs w:val="21"/>
                    </w:rPr>
                  </w:pPr>
                  <w:r>
                    <w:rPr>
                      <w:color w:val="auto"/>
                      <w:sz w:val="21"/>
                      <w:szCs w:val="21"/>
                    </w:rPr>
                    <w:t>混凝土</w:t>
                  </w:r>
                </w:p>
              </w:tc>
              <w:tc>
                <w:tcPr>
                  <w:tcW w:w="1832" w:type="dxa"/>
                  <w:noWrap w:val="0"/>
                  <w:vAlign w:val="center"/>
                </w:tcPr>
                <w:p>
                  <w:pPr>
                    <w:adjustRightInd w:val="0"/>
                    <w:snapToGrid w:val="0"/>
                    <w:jc w:val="center"/>
                    <w:rPr>
                      <w:color w:val="auto"/>
                      <w:sz w:val="21"/>
                      <w:szCs w:val="21"/>
                    </w:rPr>
                  </w:pPr>
                  <w:r>
                    <w:rPr>
                      <w:color w:val="auto"/>
                      <w:sz w:val="21"/>
                      <w:szCs w:val="21"/>
                    </w:rPr>
                    <w:t>350m</w:t>
                  </w:r>
                  <w:r>
                    <w:rPr>
                      <w:color w:val="auto"/>
                      <w:sz w:val="21"/>
                      <w:szCs w:val="21"/>
                      <w:vertAlign w:val="superscript"/>
                    </w:rPr>
                    <w:t>3</w:t>
                  </w:r>
                </w:p>
              </w:tc>
              <w:tc>
                <w:tcPr>
                  <w:tcW w:w="2048" w:type="dxa"/>
                  <w:vMerge w:val="continue"/>
                  <w:noWrap w:val="0"/>
                  <w:vAlign w:val="center"/>
                </w:tcPr>
                <w:p>
                  <w:pPr>
                    <w:adjustRightInd w:val="0"/>
                    <w:snapToGrid w:val="0"/>
                    <w:jc w:val="center"/>
                    <w:rPr>
                      <w:color w:val="auto"/>
                      <w:sz w:val="21"/>
                      <w:szCs w:val="21"/>
                    </w:rPr>
                  </w:pPr>
                </w:p>
              </w:tc>
              <w:tc>
                <w:tcPr>
                  <w:tcW w:w="1667" w:type="dxa"/>
                  <w:noWrap w:val="0"/>
                  <w:vAlign w:val="center"/>
                </w:tcPr>
                <w:p>
                  <w:pPr>
                    <w:adjustRightInd w:val="0"/>
                    <w:snapToGrid w:val="0"/>
                    <w:jc w:val="center"/>
                    <w:rPr>
                      <w:color w:val="auto"/>
                      <w:sz w:val="21"/>
                      <w:szCs w:val="21"/>
                    </w:rPr>
                  </w:pPr>
                  <w:r>
                    <w:rPr>
                      <w:color w:val="auto"/>
                      <w:sz w:val="21"/>
                      <w:szCs w:val="21"/>
                    </w:rPr>
                    <w:t>硅酸盐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vMerge w:val="continue"/>
                  <w:noWrap w:val="0"/>
                  <w:vAlign w:val="center"/>
                </w:tcPr>
                <w:p>
                  <w:pPr>
                    <w:adjustRightInd w:val="0"/>
                    <w:snapToGrid w:val="0"/>
                    <w:jc w:val="center"/>
                    <w:rPr>
                      <w:color w:val="auto"/>
                      <w:sz w:val="21"/>
                      <w:szCs w:val="21"/>
                    </w:rPr>
                  </w:pPr>
                </w:p>
              </w:tc>
              <w:tc>
                <w:tcPr>
                  <w:tcW w:w="1139" w:type="dxa"/>
                  <w:vMerge w:val="continue"/>
                  <w:noWrap w:val="0"/>
                  <w:vAlign w:val="center"/>
                </w:tcPr>
                <w:p>
                  <w:pPr>
                    <w:adjustRightInd w:val="0"/>
                    <w:snapToGrid w:val="0"/>
                    <w:jc w:val="center"/>
                    <w:rPr>
                      <w:color w:val="auto"/>
                      <w:sz w:val="21"/>
                      <w:szCs w:val="21"/>
                    </w:rPr>
                  </w:pPr>
                </w:p>
              </w:tc>
              <w:tc>
                <w:tcPr>
                  <w:tcW w:w="1398" w:type="dxa"/>
                  <w:noWrap w:val="0"/>
                  <w:vAlign w:val="center"/>
                </w:tcPr>
                <w:p>
                  <w:pPr>
                    <w:adjustRightInd w:val="0"/>
                    <w:snapToGrid w:val="0"/>
                    <w:jc w:val="center"/>
                    <w:rPr>
                      <w:color w:val="auto"/>
                      <w:sz w:val="21"/>
                      <w:szCs w:val="21"/>
                    </w:rPr>
                  </w:pPr>
                  <w:r>
                    <w:rPr>
                      <w:color w:val="auto"/>
                      <w:sz w:val="21"/>
                      <w:szCs w:val="21"/>
                    </w:rPr>
                    <w:t>砖</w:t>
                  </w:r>
                </w:p>
              </w:tc>
              <w:tc>
                <w:tcPr>
                  <w:tcW w:w="1832" w:type="dxa"/>
                  <w:noWrap w:val="0"/>
                  <w:vAlign w:val="center"/>
                </w:tcPr>
                <w:p>
                  <w:pPr>
                    <w:adjustRightInd w:val="0"/>
                    <w:snapToGrid w:val="0"/>
                    <w:jc w:val="center"/>
                    <w:rPr>
                      <w:color w:val="auto"/>
                      <w:sz w:val="21"/>
                      <w:szCs w:val="21"/>
                    </w:rPr>
                  </w:pPr>
                  <w:r>
                    <w:rPr>
                      <w:color w:val="auto"/>
                      <w:sz w:val="21"/>
                      <w:szCs w:val="21"/>
                    </w:rPr>
                    <w:t>22m</w:t>
                  </w:r>
                  <w:r>
                    <w:rPr>
                      <w:color w:val="auto"/>
                      <w:sz w:val="21"/>
                      <w:szCs w:val="21"/>
                      <w:vertAlign w:val="superscript"/>
                    </w:rPr>
                    <w:t>3</w:t>
                  </w:r>
                </w:p>
              </w:tc>
              <w:tc>
                <w:tcPr>
                  <w:tcW w:w="2048" w:type="dxa"/>
                  <w:vMerge w:val="continue"/>
                  <w:noWrap w:val="0"/>
                  <w:vAlign w:val="center"/>
                </w:tcPr>
                <w:p>
                  <w:pPr>
                    <w:adjustRightInd w:val="0"/>
                    <w:snapToGrid w:val="0"/>
                    <w:jc w:val="center"/>
                    <w:rPr>
                      <w:color w:val="auto"/>
                      <w:sz w:val="21"/>
                      <w:szCs w:val="21"/>
                    </w:rPr>
                  </w:pPr>
                </w:p>
              </w:tc>
              <w:tc>
                <w:tcPr>
                  <w:tcW w:w="1667"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76" w:type="dxa"/>
                  <w:vMerge w:val="continue"/>
                  <w:noWrap w:val="0"/>
                  <w:vAlign w:val="center"/>
                </w:tcPr>
                <w:p>
                  <w:pPr>
                    <w:adjustRightInd w:val="0"/>
                    <w:snapToGrid w:val="0"/>
                    <w:jc w:val="center"/>
                    <w:rPr>
                      <w:color w:val="auto"/>
                      <w:sz w:val="21"/>
                      <w:szCs w:val="21"/>
                    </w:rPr>
                  </w:pPr>
                </w:p>
              </w:tc>
              <w:tc>
                <w:tcPr>
                  <w:tcW w:w="1139" w:type="dxa"/>
                  <w:vMerge w:val="continue"/>
                  <w:noWrap w:val="0"/>
                  <w:vAlign w:val="center"/>
                </w:tcPr>
                <w:p>
                  <w:pPr>
                    <w:adjustRightInd w:val="0"/>
                    <w:snapToGrid w:val="0"/>
                    <w:jc w:val="center"/>
                    <w:rPr>
                      <w:color w:val="auto"/>
                      <w:sz w:val="21"/>
                      <w:szCs w:val="21"/>
                    </w:rPr>
                  </w:pPr>
                </w:p>
              </w:tc>
              <w:tc>
                <w:tcPr>
                  <w:tcW w:w="1398" w:type="dxa"/>
                  <w:noWrap w:val="0"/>
                  <w:vAlign w:val="center"/>
                </w:tcPr>
                <w:p>
                  <w:pPr>
                    <w:adjustRightInd w:val="0"/>
                    <w:snapToGrid w:val="0"/>
                    <w:jc w:val="center"/>
                    <w:rPr>
                      <w:color w:val="auto"/>
                      <w:sz w:val="21"/>
                      <w:szCs w:val="21"/>
                    </w:rPr>
                  </w:pPr>
                  <w:r>
                    <w:rPr>
                      <w:color w:val="auto"/>
                      <w:sz w:val="21"/>
                      <w:szCs w:val="21"/>
                    </w:rPr>
                    <w:t>水泥</w:t>
                  </w:r>
                </w:p>
              </w:tc>
              <w:tc>
                <w:tcPr>
                  <w:tcW w:w="1832" w:type="dxa"/>
                  <w:noWrap w:val="0"/>
                  <w:vAlign w:val="center"/>
                </w:tcPr>
                <w:p>
                  <w:pPr>
                    <w:adjustRightInd w:val="0"/>
                    <w:snapToGrid w:val="0"/>
                    <w:jc w:val="center"/>
                    <w:rPr>
                      <w:color w:val="auto"/>
                      <w:sz w:val="21"/>
                      <w:szCs w:val="21"/>
                    </w:rPr>
                  </w:pPr>
                  <w:r>
                    <w:rPr>
                      <w:color w:val="auto"/>
                      <w:sz w:val="21"/>
                      <w:szCs w:val="21"/>
                    </w:rPr>
                    <w:t>17t</w:t>
                  </w:r>
                </w:p>
              </w:tc>
              <w:tc>
                <w:tcPr>
                  <w:tcW w:w="2048" w:type="dxa"/>
                  <w:vMerge w:val="continue"/>
                  <w:noWrap w:val="0"/>
                  <w:vAlign w:val="center"/>
                </w:tcPr>
                <w:p>
                  <w:pPr>
                    <w:adjustRightInd w:val="0"/>
                    <w:snapToGrid w:val="0"/>
                    <w:jc w:val="center"/>
                    <w:rPr>
                      <w:color w:val="auto"/>
                      <w:sz w:val="21"/>
                      <w:szCs w:val="21"/>
                    </w:rPr>
                  </w:pPr>
                </w:p>
              </w:tc>
              <w:tc>
                <w:tcPr>
                  <w:tcW w:w="1667"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vMerge w:val="continue"/>
                  <w:noWrap w:val="0"/>
                  <w:vAlign w:val="center"/>
                </w:tcPr>
                <w:p>
                  <w:pPr>
                    <w:adjustRightInd w:val="0"/>
                    <w:snapToGrid w:val="0"/>
                    <w:jc w:val="center"/>
                    <w:rPr>
                      <w:color w:val="auto"/>
                      <w:sz w:val="21"/>
                      <w:szCs w:val="21"/>
                    </w:rPr>
                  </w:pPr>
                </w:p>
              </w:tc>
              <w:tc>
                <w:tcPr>
                  <w:tcW w:w="1139" w:type="dxa"/>
                  <w:vMerge w:val="continue"/>
                  <w:noWrap w:val="0"/>
                  <w:vAlign w:val="center"/>
                </w:tcPr>
                <w:p>
                  <w:pPr>
                    <w:adjustRightInd w:val="0"/>
                    <w:snapToGrid w:val="0"/>
                    <w:jc w:val="center"/>
                    <w:rPr>
                      <w:color w:val="auto"/>
                      <w:sz w:val="21"/>
                      <w:szCs w:val="21"/>
                    </w:rPr>
                  </w:pPr>
                </w:p>
              </w:tc>
              <w:tc>
                <w:tcPr>
                  <w:tcW w:w="1398" w:type="dxa"/>
                  <w:noWrap w:val="0"/>
                  <w:vAlign w:val="center"/>
                </w:tcPr>
                <w:p>
                  <w:pPr>
                    <w:adjustRightInd w:val="0"/>
                    <w:snapToGrid w:val="0"/>
                    <w:jc w:val="center"/>
                    <w:rPr>
                      <w:color w:val="auto"/>
                      <w:sz w:val="21"/>
                      <w:szCs w:val="21"/>
                    </w:rPr>
                  </w:pPr>
                  <w:r>
                    <w:rPr>
                      <w:color w:val="auto"/>
                      <w:sz w:val="21"/>
                      <w:szCs w:val="21"/>
                    </w:rPr>
                    <w:t>沙石</w:t>
                  </w:r>
                </w:p>
              </w:tc>
              <w:tc>
                <w:tcPr>
                  <w:tcW w:w="1832" w:type="dxa"/>
                  <w:noWrap w:val="0"/>
                  <w:vAlign w:val="center"/>
                </w:tcPr>
                <w:p>
                  <w:pPr>
                    <w:adjustRightInd w:val="0"/>
                    <w:snapToGrid w:val="0"/>
                    <w:jc w:val="center"/>
                    <w:rPr>
                      <w:color w:val="auto"/>
                      <w:sz w:val="21"/>
                      <w:szCs w:val="21"/>
                    </w:rPr>
                  </w:pPr>
                  <w:r>
                    <w:rPr>
                      <w:color w:val="auto"/>
                      <w:sz w:val="21"/>
                      <w:szCs w:val="21"/>
                    </w:rPr>
                    <w:t>33t</w:t>
                  </w:r>
                </w:p>
              </w:tc>
              <w:tc>
                <w:tcPr>
                  <w:tcW w:w="2048" w:type="dxa"/>
                  <w:vMerge w:val="continue"/>
                  <w:noWrap w:val="0"/>
                  <w:vAlign w:val="center"/>
                </w:tcPr>
                <w:p>
                  <w:pPr>
                    <w:adjustRightInd w:val="0"/>
                    <w:snapToGrid w:val="0"/>
                    <w:jc w:val="center"/>
                    <w:rPr>
                      <w:color w:val="auto"/>
                      <w:sz w:val="21"/>
                      <w:szCs w:val="21"/>
                    </w:rPr>
                  </w:pPr>
                </w:p>
              </w:tc>
              <w:tc>
                <w:tcPr>
                  <w:tcW w:w="1667"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vMerge w:val="continue"/>
                  <w:noWrap w:val="0"/>
                  <w:vAlign w:val="center"/>
                </w:tcPr>
                <w:p>
                  <w:pPr>
                    <w:adjustRightInd w:val="0"/>
                    <w:snapToGrid w:val="0"/>
                    <w:jc w:val="center"/>
                    <w:rPr>
                      <w:color w:val="auto"/>
                      <w:sz w:val="21"/>
                      <w:szCs w:val="21"/>
                    </w:rPr>
                  </w:pPr>
                </w:p>
              </w:tc>
              <w:tc>
                <w:tcPr>
                  <w:tcW w:w="1139" w:type="dxa"/>
                  <w:vMerge w:val="continue"/>
                  <w:noWrap w:val="0"/>
                  <w:vAlign w:val="center"/>
                </w:tcPr>
                <w:p>
                  <w:pPr>
                    <w:adjustRightInd w:val="0"/>
                    <w:snapToGrid w:val="0"/>
                    <w:jc w:val="center"/>
                    <w:rPr>
                      <w:color w:val="auto"/>
                      <w:sz w:val="21"/>
                      <w:szCs w:val="21"/>
                    </w:rPr>
                  </w:pPr>
                </w:p>
              </w:tc>
              <w:tc>
                <w:tcPr>
                  <w:tcW w:w="1398" w:type="dxa"/>
                  <w:noWrap w:val="0"/>
                  <w:vAlign w:val="center"/>
                </w:tcPr>
                <w:p>
                  <w:pPr>
                    <w:adjustRightInd w:val="0"/>
                    <w:snapToGrid w:val="0"/>
                    <w:jc w:val="center"/>
                    <w:rPr>
                      <w:color w:val="auto"/>
                      <w:sz w:val="21"/>
                      <w:szCs w:val="21"/>
                    </w:rPr>
                  </w:pPr>
                  <w:r>
                    <w:rPr>
                      <w:color w:val="auto"/>
                      <w:sz w:val="21"/>
                      <w:szCs w:val="21"/>
                    </w:rPr>
                    <w:t>防渗材料</w:t>
                  </w:r>
                </w:p>
              </w:tc>
              <w:tc>
                <w:tcPr>
                  <w:tcW w:w="1832" w:type="dxa"/>
                  <w:noWrap w:val="0"/>
                  <w:vAlign w:val="center"/>
                </w:tcPr>
                <w:p>
                  <w:pPr>
                    <w:adjustRightInd w:val="0"/>
                    <w:snapToGrid w:val="0"/>
                    <w:jc w:val="center"/>
                    <w:rPr>
                      <w:color w:val="auto"/>
                      <w:sz w:val="21"/>
                      <w:szCs w:val="21"/>
                    </w:rPr>
                  </w:pPr>
                  <w:r>
                    <w:rPr>
                      <w:color w:val="auto"/>
                      <w:sz w:val="21"/>
                      <w:szCs w:val="21"/>
                    </w:rPr>
                    <w:t>800m</w:t>
                  </w:r>
                  <w:r>
                    <w:rPr>
                      <w:color w:val="auto"/>
                      <w:sz w:val="21"/>
                      <w:szCs w:val="21"/>
                      <w:vertAlign w:val="superscript"/>
                    </w:rPr>
                    <w:t>2</w:t>
                  </w:r>
                </w:p>
              </w:tc>
              <w:tc>
                <w:tcPr>
                  <w:tcW w:w="2048" w:type="dxa"/>
                  <w:vMerge w:val="continue"/>
                  <w:noWrap w:val="0"/>
                  <w:vAlign w:val="center"/>
                </w:tcPr>
                <w:p>
                  <w:pPr>
                    <w:adjustRightInd w:val="0"/>
                    <w:snapToGrid w:val="0"/>
                    <w:jc w:val="center"/>
                    <w:rPr>
                      <w:color w:val="auto"/>
                      <w:sz w:val="21"/>
                      <w:szCs w:val="21"/>
                    </w:rPr>
                  </w:pPr>
                </w:p>
              </w:tc>
              <w:tc>
                <w:tcPr>
                  <w:tcW w:w="1667"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noWrap w:val="0"/>
                  <w:vAlign w:val="center"/>
                </w:tcPr>
                <w:p>
                  <w:pPr>
                    <w:adjustRightInd w:val="0"/>
                    <w:snapToGrid w:val="0"/>
                    <w:jc w:val="center"/>
                    <w:rPr>
                      <w:color w:val="auto"/>
                      <w:sz w:val="21"/>
                      <w:szCs w:val="21"/>
                    </w:rPr>
                  </w:pPr>
                  <w:r>
                    <w:rPr>
                      <w:color w:val="auto"/>
                      <w:sz w:val="21"/>
                      <w:szCs w:val="21"/>
                    </w:rPr>
                    <w:t>能源</w:t>
                  </w:r>
                </w:p>
              </w:tc>
              <w:tc>
                <w:tcPr>
                  <w:tcW w:w="2537" w:type="dxa"/>
                  <w:gridSpan w:val="2"/>
                  <w:noWrap w:val="0"/>
                  <w:vAlign w:val="center"/>
                </w:tcPr>
                <w:p>
                  <w:pPr>
                    <w:adjustRightInd w:val="0"/>
                    <w:snapToGrid w:val="0"/>
                    <w:jc w:val="center"/>
                    <w:rPr>
                      <w:color w:val="auto"/>
                      <w:sz w:val="21"/>
                      <w:szCs w:val="21"/>
                    </w:rPr>
                  </w:pPr>
                  <w:r>
                    <w:rPr>
                      <w:color w:val="auto"/>
                      <w:sz w:val="21"/>
                      <w:szCs w:val="21"/>
                    </w:rPr>
                    <w:t>电</w:t>
                  </w:r>
                </w:p>
              </w:tc>
              <w:tc>
                <w:tcPr>
                  <w:tcW w:w="1832" w:type="dxa"/>
                  <w:noWrap w:val="0"/>
                  <w:vAlign w:val="center"/>
                </w:tcPr>
                <w:p>
                  <w:pPr>
                    <w:adjustRightInd w:val="0"/>
                    <w:snapToGrid w:val="0"/>
                    <w:jc w:val="center"/>
                    <w:rPr>
                      <w:color w:val="auto"/>
                      <w:sz w:val="21"/>
                      <w:szCs w:val="21"/>
                    </w:rPr>
                  </w:pPr>
                  <w:r>
                    <w:rPr>
                      <w:color w:val="auto"/>
                      <w:sz w:val="21"/>
                      <w:szCs w:val="21"/>
                    </w:rPr>
                    <w:t>5.0万kw·h/a</w:t>
                  </w:r>
                </w:p>
              </w:tc>
              <w:tc>
                <w:tcPr>
                  <w:tcW w:w="2048" w:type="dxa"/>
                  <w:noWrap w:val="0"/>
                  <w:vAlign w:val="center"/>
                </w:tcPr>
                <w:p>
                  <w:pPr>
                    <w:adjustRightInd w:val="0"/>
                    <w:snapToGrid w:val="0"/>
                    <w:jc w:val="center"/>
                    <w:rPr>
                      <w:color w:val="auto"/>
                      <w:sz w:val="21"/>
                      <w:szCs w:val="21"/>
                    </w:rPr>
                  </w:pPr>
                  <w:r>
                    <w:rPr>
                      <w:color w:val="auto"/>
                      <w:sz w:val="21"/>
                      <w:szCs w:val="21"/>
                    </w:rPr>
                    <w:t>市政电网</w:t>
                  </w:r>
                </w:p>
              </w:tc>
              <w:tc>
                <w:tcPr>
                  <w:tcW w:w="1667" w:type="dxa"/>
                  <w:noWrap w:val="0"/>
                  <w:vAlign w:val="center"/>
                </w:tcPr>
                <w:p>
                  <w:pPr>
                    <w:adjustRightInd w:val="0"/>
                    <w:snapToGrid w:val="0"/>
                    <w:jc w:val="center"/>
                    <w:rPr>
                      <w:color w:val="auto"/>
                      <w:sz w:val="21"/>
                      <w:szCs w:val="21"/>
                    </w:rPr>
                  </w:pPr>
                  <w:r>
                    <w:rPr>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6" w:type="dxa"/>
                  <w:noWrap w:val="0"/>
                  <w:vAlign w:val="center"/>
                </w:tcPr>
                <w:p>
                  <w:pPr>
                    <w:adjustRightInd w:val="0"/>
                    <w:snapToGrid w:val="0"/>
                    <w:jc w:val="center"/>
                    <w:rPr>
                      <w:color w:val="auto"/>
                      <w:sz w:val="21"/>
                      <w:szCs w:val="21"/>
                    </w:rPr>
                  </w:pPr>
                  <w:r>
                    <w:rPr>
                      <w:color w:val="auto"/>
                      <w:sz w:val="21"/>
                      <w:szCs w:val="21"/>
                    </w:rPr>
                    <w:t>水量</w:t>
                  </w:r>
                </w:p>
              </w:tc>
              <w:tc>
                <w:tcPr>
                  <w:tcW w:w="2537" w:type="dxa"/>
                  <w:gridSpan w:val="2"/>
                  <w:noWrap w:val="0"/>
                  <w:vAlign w:val="center"/>
                </w:tcPr>
                <w:p>
                  <w:pPr>
                    <w:adjustRightInd w:val="0"/>
                    <w:snapToGrid w:val="0"/>
                    <w:jc w:val="center"/>
                    <w:rPr>
                      <w:color w:val="auto"/>
                      <w:sz w:val="21"/>
                      <w:szCs w:val="21"/>
                    </w:rPr>
                  </w:pPr>
                  <w:r>
                    <w:rPr>
                      <w:color w:val="auto"/>
                      <w:sz w:val="21"/>
                      <w:szCs w:val="21"/>
                    </w:rPr>
                    <w:t>水</w:t>
                  </w:r>
                </w:p>
              </w:tc>
              <w:tc>
                <w:tcPr>
                  <w:tcW w:w="1832" w:type="dxa"/>
                  <w:noWrap w:val="0"/>
                  <w:vAlign w:val="center"/>
                </w:tcPr>
                <w:p>
                  <w:pPr>
                    <w:adjustRightInd w:val="0"/>
                    <w:snapToGrid w:val="0"/>
                    <w:jc w:val="center"/>
                    <w:rPr>
                      <w:color w:val="auto"/>
                      <w:sz w:val="21"/>
                      <w:szCs w:val="21"/>
                    </w:rPr>
                  </w:pPr>
                  <w:r>
                    <w:rPr>
                      <w:color w:val="auto"/>
                      <w:sz w:val="21"/>
                      <w:szCs w:val="21"/>
                    </w:rPr>
                    <w:t>100m</w:t>
                  </w:r>
                  <w:r>
                    <w:rPr>
                      <w:color w:val="auto"/>
                      <w:sz w:val="21"/>
                      <w:szCs w:val="21"/>
                      <w:vertAlign w:val="superscript"/>
                    </w:rPr>
                    <w:t>3</w:t>
                  </w:r>
                  <w:r>
                    <w:rPr>
                      <w:color w:val="auto"/>
                      <w:sz w:val="21"/>
                      <w:szCs w:val="21"/>
                    </w:rPr>
                    <w:t>/a</w:t>
                  </w:r>
                </w:p>
              </w:tc>
              <w:tc>
                <w:tcPr>
                  <w:tcW w:w="2048" w:type="dxa"/>
                  <w:noWrap w:val="0"/>
                  <w:vAlign w:val="center"/>
                </w:tcPr>
                <w:p>
                  <w:pPr>
                    <w:adjustRightInd w:val="0"/>
                    <w:snapToGrid w:val="0"/>
                    <w:jc w:val="center"/>
                    <w:rPr>
                      <w:color w:val="auto"/>
                      <w:sz w:val="21"/>
                      <w:szCs w:val="21"/>
                    </w:rPr>
                  </w:pPr>
                  <w:r>
                    <w:rPr>
                      <w:color w:val="auto"/>
                      <w:sz w:val="21"/>
                      <w:szCs w:val="21"/>
                    </w:rPr>
                    <w:t>周边农户</w:t>
                  </w:r>
                </w:p>
              </w:tc>
              <w:tc>
                <w:tcPr>
                  <w:tcW w:w="1667" w:type="dxa"/>
                  <w:noWrap w:val="0"/>
                  <w:vAlign w:val="center"/>
                </w:tcPr>
                <w:p>
                  <w:pPr>
                    <w:adjustRightInd w:val="0"/>
                    <w:snapToGrid w:val="0"/>
                    <w:jc w:val="center"/>
                    <w:rPr>
                      <w:color w:val="auto"/>
                      <w:sz w:val="21"/>
                      <w:szCs w:val="21"/>
                    </w:rPr>
                  </w:pPr>
                  <w:r>
                    <w:rPr>
                      <w:color w:val="auto"/>
                      <w:sz w:val="21"/>
                      <w:szCs w:val="21"/>
                    </w:rPr>
                    <w:t>－</w:t>
                  </w:r>
                </w:p>
              </w:tc>
            </w:tr>
          </w:tbl>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十一、主要公辅设施</w:t>
            </w:r>
          </w:p>
          <w:p>
            <w:pPr>
              <w:adjustRightInd w:val="0"/>
              <w:snapToGrid w:val="0"/>
              <w:spacing w:line="360" w:lineRule="auto"/>
              <w:ind w:firstLine="482" w:firstLineChars="200"/>
              <w:rPr>
                <w:b/>
                <w:bCs/>
                <w:color w:val="auto"/>
                <w:lang w:bidi="ar"/>
              </w:rPr>
            </w:pPr>
            <w:r>
              <w:rPr>
                <w:b/>
                <w:bCs/>
                <w:color w:val="auto"/>
                <w:lang w:bidi="ar"/>
              </w:rPr>
              <w:t>1.给水</w:t>
            </w:r>
          </w:p>
          <w:p>
            <w:pPr>
              <w:adjustRightInd w:val="0"/>
              <w:snapToGrid w:val="0"/>
              <w:spacing w:line="360" w:lineRule="auto"/>
              <w:ind w:firstLine="480" w:firstLineChars="200"/>
              <w:rPr>
                <w:color w:val="auto"/>
              </w:rPr>
            </w:pPr>
            <w:r>
              <w:rPr>
                <w:color w:val="auto"/>
              </w:rPr>
              <w:t>本项目生产用水，由乡镇自来水管网供给，用水量约100t/a。</w:t>
            </w:r>
          </w:p>
          <w:p>
            <w:pPr>
              <w:adjustRightInd w:val="0"/>
              <w:snapToGrid w:val="0"/>
              <w:spacing w:line="360" w:lineRule="auto"/>
              <w:ind w:firstLine="482" w:firstLineChars="200"/>
              <w:rPr>
                <w:b/>
                <w:bCs/>
                <w:color w:val="auto"/>
                <w:lang w:bidi="ar"/>
              </w:rPr>
            </w:pPr>
            <w:r>
              <w:rPr>
                <w:b/>
                <w:bCs/>
                <w:color w:val="auto"/>
                <w:lang w:bidi="ar"/>
              </w:rPr>
              <w:t>2.排水</w:t>
            </w:r>
          </w:p>
          <w:p>
            <w:pPr>
              <w:adjustRightInd w:val="0"/>
              <w:snapToGrid w:val="0"/>
              <w:spacing w:line="360" w:lineRule="auto"/>
              <w:ind w:firstLine="480" w:firstLineChars="200"/>
              <w:rPr>
                <w:color w:val="auto"/>
              </w:rPr>
            </w:pPr>
            <w:r>
              <w:rPr>
                <w:color w:val="auto"/>
              </w:rPr>
              <w:t>宜坪乡桐花村排水为雨、污分流制，村内生活污水主要靠管网收集污水后再通过DN400污水干管自流进入本项目污水处理设施；村内生活污水经本污水处理设施处理达到四川省《农村生活污水处理设施水污染物排放标准》（DB51/2626-2019）一级标准后排入官料河。</w:t>
            </w:r>
          </w:p>
          <w:p>
            <w:pPr>
              <w:adjustRightInd w:val="0"/>
              <w:snapToGrid w:val="0"/>
              <w:spacing w:line="360" w:lineRule="auto"/>
              <w:ind w:firstLine="480" w:firstLineChars="200"/>
              <w:rPr>
                <w:color w:val="auto"/>
              </w:rPr>
            </w:pPr>
            <w:r>
              <w:rPr>
                <w:color w:val="auto"/>
              </w:rPr>
              <w:t>本项目管网工程量详见表1-10。</w:t>
            </w:r>
          </w:p>
          <w:p>
            <w:pPr>
              <w:adjustRightInd w:val="0"/>
              <w:snapToGrid w:val="0"/>
              <w:spacing w:line="360" w:lineRule="auto"/>
              <w:jc w:val="center"/>
              <w:rPr>
                <w:rFonts w:eastAsia="黑体"/>
                <w:color w:val="auto"/>
                <w:spacing w:val="20"/>
                <w:kern w:val="0"/>
              </w:rPr>
            </w:pPr>
            <w:r>
              <w:rPr>
                <w:rFonts w:eastAsia="黑体"/>
                <w:color w:val="auto"/>
                <w:spacing w:val="20"/>
                <w:kern w:val="0"/>
              </w:rPr>
              <w:t>表1-10  污水管网工程量</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23"/>
              <w:gridCol w:w="1985"/>
              <w:gridCol w:w="2126"/>
              <w:gridCol w:w="1944"/>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color w:val="auto"/>
                      <w:sz w:val="21"/>
                      <w:szCs w:val="21"/>
                    </w:rPr>
                  </w:pPr>
                  <w:r>
                    <w:rPr>
                      <w:color w:val="auto"/>
                      <w:sz w:val="21"/>
                      <w:szCs w:val="21"/>
                    </w:rPr>
                    <w:t>序号</w:t>
                  </w:r>
                </w:p>
              </w:tc>
              <w:tc>
                <w:tcPr>
                  <w:tcW w:w="1985" w:type="dxa"/>
                  <w:noWrap w:val="0"/>
                  <w:vAlign w:val="center"/>
                </w:tcPr>
                <w:p>
                  <w:pPr>
                    <w:jc w:val="center"/>
                    <w:rPr>
                      <w:color w:val="auto"/>
                      <w:sz w:val="21"/>
                      <w:szCs w:val="21"/>
                    </w:rPr>
                  </w:pPr>
                  <w:r>
                    <w:rPr>
                      <w:color w:val="auto"/>
                      <w:sz w:val="21"/>
                      <w:szCs w:val="21"/>
                    </w:rPr>
                    <w:t>名称</w:t>
                  </w:r>
                </w:p>
              </w:tc>
              <w:tc>
                <w:tcPr>
                  <w:tcW w:w="2126" w:type="dxa"/>
                  <w:noWrap w:val="0"/>
                  <w:vAlign w:val="center"/>
                </w:tcPr>
                <w:p>
                  <w:pPr>
                    <w:jc w:val="center"/>
                    <w:rPr>
                      <w:color w:val="auto"/>
                      <w:sz w:val="21"/>
                      <w:szCs w:val="21"/>
                    </w:rPr>
                  </w:pPr>
                  <w:r>
                    <w:rPr>
                      <w:color w:val="auto"/>
                      <w:sz w:val="21"/>
                      <w:szCs w:val="21"/>
                    </w:rPr>
                    <w:t>规格</w:t>
                  </w:r>
                </w:p>
              </w:tc>
              <w:tc>
                <w:tcPr>
                  <w:tcW w:w="1944" w:type="dxa"/>
                  <w:noWrap w:val="0"/>
                  <w:vAlign w:val="center"/>
                </w:tcPr>
                <w:p>
                  <w:pPr>
                    <w:jc w:val="center"/>
                    <w:rPr>
                      <w:color w:val="auto"/>
                      <w:sz w:val="21"/>
                      <w:szCs w:val="21"/>
                    </w:rPr>
                  </w:pPr>
                  <w:r>
                    <w:rPr>
                      <w:color w:val="auto"/>
                      <w:sz w:val="21"/>
                      <w:szCs w:val="21"/>
                    </w:rPr>
                    <w:t>数量</w:t>
                  </w:r>
                </w:p>
              </w:tc>
              <w:tc>
                <w:tcPr>
                  <w:tcW w:w="1767" w:type="dxa"/>
                  <w:noWrap w:val="0"/>
                  <w:vAlign w:val="center"/>
                </w:tcPr>
                <w:p>
                  <w:pPr>
                    <w:jc w:val="center"/>
                    <w:rPr>
                      <w:color w:val="auto"/>
                      <w:sz w:val="21"/>
                      <w:szCs w:val="21"/>
                    </w:rPr>
                  </w:pPr>
                  <w:r>
                    <w:rPr>
                      <w:color w:val="auto"/>
                      <w:sz w:val="21"/>
                      <w:szCs w:val="21"/>
                    </w:rPr>
                    <w:t>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1</w:t>
                  </w:r>
                </w:p>
              </w:tc>
              <w:tc>
                <w:tcPr>
                  <w:tcW w:w="1985" w:type="dxa"/>
                  <w:noWrap w:val="0"/>
                  <w:vAlign w:val="center"/>
                </w:tcPr>
                <w:p>
                  <w:pPr>
                    <w:jc w:val="center"/>
                    <w:rPr>
                      <w:rFonts w:hint="eastAsia"/>
                      <w:color w:val="auto"/>
                      <w:sz w:val="21"/>
                      <w:szCs w:val="21"/>
                    </w:rPr>
                  </w:pPr>
                  <w:r>
                    <w:rPr>
                      <w:rFonts w:hint="eastAsia"/>
                      <w:color w:val="auto"/>
                      <w:sz w:val="21"/>
                      <w:szCs w:val="21"/>
                    </w:rPr>
                    <w:t>污水干管</w:t>
                  </w:r>
                </w:p>
              </w:tc>
              <w:tc>
                <w:tcPr>
                  <w:tcW w:w="2126" w:type="dxa"/>
                  <w:noWrap w:val="0"/>
                  <w:vAlign w:val="center"/>
                </w:tcPr>
                <w:p>
                  <w:pPr>
                    <w:jc w:val="center"/>
                    <w:rPr>
                      <w:rFonts w:hint="eastAsia"/>
                      <w:color w:val="auto"/>
                      <w:sz w:val="21"/>
                      <w:szCs w:val="21"/>
                    </w:rPr>
                  </w:pPr>
                  <w:r>
                    <w:rPr>
                      <w:rFonts w:hint="eastAsia"/>
                      <w:color w:val="auto"/>
                      <w:sz w:val="21"/>
                      <w:szCs w:val="21"/>
                    </w:rPr>
                    <w:t>DN225</w:t>
                  </w:r>
                </w:p>
              </w:tc>
              <w:tc>
                <w:tcPr>
                  <w:tcW w:w="1944" w:type="dxa"/>
                  <w:noWrap w:val="0"/>
                  <w:vAlign w:val="center"/>
                </w:tcPr>
                <w:p>
                  <w:pPr>
                    <w:jc w:val="center"/>
                    <w:rPr>
                      <w:rFonts w:hint="eastAsia"/>
                      <w:color w:val="auto"/>
                      <w:sz w:val="21"/>
                      <w:szCs w:val="21"/>
                    </w:rPr>
                  </w:pPr>
                  <w:r>
                    <w:rPr>
                      <w:rFonts w:hint="eastAsia"/>
                      <w:color w:val="auto"/>
                      <w:sz w:val="21"/>
                      <w:szCs w:val="21"/>
                    </w:rPr>
                    <w:t>1255m</w:t>
                  </w:r>
                </w:p>
              </w:tc>
              <w:tc>
                <w:tcPr>
                  <w:tcW w:w="1767" w:type="dxa"/>
                  <w:noWrap w:val="0"/>
                  <w:vAlign w:val="center"/>
                </w:tcPr>
                <w:p>
                  <w:pPr>
                    <w:jc w:val="center"/>
                    <w:rPr>
                      <w:color w:val="auto"/>
                      <w:sz w:val="21"/>
                      <w:szCs w:val="21"/>
                    </w:rPr>
                  </w:pPr>
                  <w:r>
                    <w:rPr>
                      <w:rFonts w:hint="eastAsia"/>
                      <w:color w:val="auto"/>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2</w:t>
                  </w:r>
                </w:p>
              </w:tc>
              <w:tc>
                <w:tcPr>
                  <w:tcW w:w="1985" w:type="dxa"/>
                  <w:noWrap w:val="0"/>
                  <w:vAlign w:val="center"/>
                </w:tcPr>
                <w:p>
                  <w:pPr>
                    <w:jc w:val="center"/>
                    <w:rPr>
                      <w:color w:val="auto"/>
                      <w:sz w:val="21"/>
                      <w:szCs w:val="21"/>
                    </w:rPr>
                  </w:pPr>
                  <w:r>
                    <w:rPr>
                      <w:rFonts w:hint="eastAsia"/>
                      <w:color w:val="auto"/>
                      <w:sz w:val="21"/>
                      <w:szCs w:val="21"/>
                    </w:rPr>
                    <w:t>污水干管</w:t>
                  </w:r>
                </w:p>
              </w:tc>
              <w:tc>
                <w:tcPr>
                  <w:tcW w:w="2126" w:type="dxa"/>
                  <w:noWrap w:val="0"/>
                  <w:vAlign w:val="center"/>
                </w:tcPr>
                <w:p>
                  <w:pPr>
                    <w:jc w:val="center"/>
                    <w:rPr>
                      <w:color w:val="auto"/>
                      <w:sz w:val="21"/>
                      <w:szCs w:val="21"/>
                    </w:rPr>
                  </w:pPr>
                  <w:r>
                    <w:rPr>
                      <w:rFonts w:hint="eastAsia"/>
                      <w:color w:val="auto"/>
                      <w:sz w:val="21"/>
                      <w:szCs w:val="21"/>
                    </w:rPr>
                    <w:t>DN315</w:t>
                  </w:r>
                </w:p>
              </w:tc>
              <w:tc>
                <w:tcPr>
                  <w:tcW w:w="1944" w:type="dxa"/>
                  <w:noWrap w:val="0"/>
                  <w:vAlign w:val="center"/>
                </w:tcPr>
                <w:p>
                  <w:pPr>
                    <w:jc w:val="center"/>
                    <w:rPr>
                      <w:rFonts w:hint="eastAsia"/>
                      <w:color w:val="auto"/>
                      <w:sz w:val="21"/>
                      <w:szCs w:val="21"/>
                    </w:rPr>
                  </w:pPr>
                  <w:r>
                    <w:rPr>
                      <w:rFonts w:hint="eastAsia"/>
                      <w:color w:val="auto"/>
                      <w:sz w:val="21"/>
                      <w:szCs w:val="21"/>
                    </w:rPr>
                    <w:t>576m</w:t>
                  </w:r>
                </w:p>
              </w:tc>
              <w:tc>
                <w:tcPr>
                  <w:tcW w:w="1767" w:type="dxa"/>
                  <w:noWrap w:val="0"/>
                  <w:vAlign w:val="center"/>
                </w:tcPr>
                <w:p>
                  <w:pPr>
                    <w:jc w:val="center"/>
                    <w:rPr>
                      <w:color w:val="auto"/>
                      <w:sz w:val="21"/>
                      <w:szCs w:val="21"/>
                    </w:rPr>
                  </w:pPr>
                  <w:r>
                    <w:rPr>
                      <w:rFonts w:hint="eastAsia"/>
                      <w:color w:val="auto"/>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3</w:t>
                  </w:r>
                </w:p>
              </w:tc>
              <w:tc>
                <w:tcPr>
                  <w:tcW w:w="1985" w:type="dxa"/>
                  <w:noWrap w:val="0"/>
                  <w:vAlign w:val="center"/>
                </w:tcPr>
                <w:p>
                  <w:pPr>
                    <w:jc w:val="center"/>
                    <w:rPr>
                      <w:color w:val="auto"/>
                      <w:sz w:val="21"/>
                      <w:szCs w:val="21"/>
                    </w:rPr>
                  </w:pPr>
                  <w:r>
                    <w:rPr>
                      <w:rFonts w:hint="eastAsia"/>
                      <w:color w:val="auto"/>
                      <w:sz w:val="21"/>
                      <w:szCs w:val="21"/>
                    </w:rPr>
                    <w:t>污水干管</w:t>
                  </w:r>
                </w:p>
              </w:tc>
              <w:tc>
                <w:tcPr>
                  <w:tcW w:w="2126" w:type="dxa"/>
                  <w:noWrap w:val="0"/>
                  <w:vAlign w:val="center"/>
                </w:tcPr>
                <w:p>
                  <w:pPr>
                    <w:jc w:val="center"/>
                    <w:rPr>
                      <w:rFonts w:hint="eastAsia"/>
                      <w:color w:val="auto"/>
                      <w:sz w:val="21"/>
                      <w:szCs w:val="21"/>
                    </w:rPr>
                  </w:pPr>
                  <w:r>
                    <w:rPr>
                      <w:rFonts w:hint="eastAsia"/>
                      <w:color w:val="auto"/>
                      <w:sz w:val="21"/>
                      <w:szCs w:val="21"/>
                    </w:rPr>
                    <w:t>DN200</w:t>
                  </w:r>
                </w:p>
              </w:tc>
              <w:tc>
                <w:tcPr>
                  <w:tcW w:w="1944" w:type="dxa"/>
                  <w:noWrap w:val="0"/>
                  <w:vAlign w:val="center"/>
                </w:tcPr>
                <w:p>
                  <w:pPr>
                    <w:jc w:val="center"/>
                    <w:rPr>
                      <w:rFonts w:hint="eastAsia"/>
                      <w:color w:val="auto"/>
                      <w:sz w:val="21"/>
                      <w:szCs w:val="21"/>
                    </w:rPr>
                  </w:pPr>
                  <w:r>
                    <w:rPr>
                      <w:rFonts w:hint="eastAsia"/>
                      <w:color w:val="auto"/>
                      <w:sz w:val="21"/>
                      <w:szCs w:val="21"/>
                    </w:rPr>
                    <w:t>180m</w:t>
                  </w:r>
                </w:p>
              </w:tc>
              <w:tc>
                <w:tcPr>
                  <w:tcW w:w="1767" w:type="dxa"/>
                  <w:noWrap w:val="0"/>
                  <w:vAlign w:val="center"/>
                </w:tcPr>
                <w:p>
                  <w:pPr>
                    <w:jc w:val="center"/>
                    <w:rPr>
                      <w:color w:val="auto"/>
                      <w:sz w:val="21"/>
                      <w:szCs w:val="21"/>
                    </w:rPr>
                  </w:pPr>
                  <w:r>
                    <w:rPr>
                      <w:rFonts w:hint="eastAsia"/>
                      <w:color w:val="auto"/>
                      <w:sz w:val="21"/>
                      <w:szCs w:val="21"/>
                    </w:rPr>
                    <w:t>HDPE双壁波纹管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4</w:t>
                  </w:r>
                </w:p>
              </w:tc>
              <w:tc>
                <w:tcPr>
                  <w:tcW w:w="1985" w:type="dxa"/>
                  <w:noWrap w:val="0"/>
                  <w:vAlign w:val="center"/>
                </w:tcPr>
                <w:p>
                  <w:pPr>
                    <w:pStyle w:val="79"/>
                    <w:rPr>
                      <w:color w:val="auto"/>
                      <w:szCs w:val="21"/>
                    </w:rPr>
                  </w:pPr>
                  <w:r>
                    <w:rPr>
                      <w:color w:val="auto"/>
                      <w:szCs w:val="21"/>
                    </w:rPr>
                    <w:t>污水支管</w:t>
                  </w:r>
                </w:p>
              </w:tc>
              <w:tc>
                <w:tcPr>
                  <w:tcW w:w="2126" w:type="dxa"/>
                  <w:noWrap w:val="0"/>
                  <w:vAlign w:val="center"/>
                </w:tcPr>
                <w:p>
                  <w:pPr>
                    <w:pStyle w:val="79"/>
                    <w:rPr>
                      <w:color w:val="auto"/>
                      <w:szCs w:val="21"/>
                    </w:rPr>
                  </w:pPr>
                  <w:r>
                    <w:rPr>
                      <w:color w:val="auto"/>
                      <w:szCs w:val="21"/>
                    </w:rPr>
                    <w:t>D</w:t>
                  </w:r>
                  <w:r>
                    <w:rPr>
                      <w:rFonts w:hint="eastAsia"/>
                      <w:color w:val="auto"/>
                      <w:szCs w:val="21"/>
                    </w:rPr>
                    <w:t>N</w:t>
                  </w:r>
                  <w:r>
                    <w:rPr>
                      <w:color w:val="auto"/>
                      <w:szCs w:val="21"/>
                    </w:rPr>
                    <w:t>160</w:t>
                  </w:r>
                </w:p>
              </w:tc>
              <w:tc>
                <w:tcPr>
                  <w:tcW w:w="1944" w:type="dxa"/>
                  <w:noWrap w:val="0"/>
                  <w:vAlign w:val="center"/>
                </w:tcPr>
                <w:p>
                  <w:pPr>
                    <w:pStyle w:val="79"/>
                    <w:rPr>
                      <w:color w:val="auto"/>
                      <w:szCs w:val="21"/>
                    </w:rPr>
                  </w:pPr>
                  <w:r>
                    <w:rPr>
                      <w:color w:val="auto"/>
                      <w:szCs w:val="21"/>
                    </w:rPr>
                    <w:t>4000m</w:t>
                  </w:r>
                </w:p>
              </w:tc>
              <w:tc>
                <w:tcPr>
                  <w:tcW w:w="1767" w:type="dxa"/>
                  <w:noWrap w:val="0"/>
                  <w:vAlign w:val="center"/>
                </w:tcPr>
                <w:p>
                  <w:pPr>
                    <w:pStyle w:val="79"/>
                    <w:rPr>
                      <w:rFonts w:hint="eastAsia"/>
                      <w:color w:val="auto"/>
                      <w:szCs w:val="21"/>
                    </w:rPr>
                  </w:pPr>
                  <w:r>
                    <w:rPr>
                      <w:rFonts w:hint="eastAsia"/>
                      <w:color w:val="auto"/>
                      <w:szCs w:val="21"/>
                    </w:rPr>
                    <w:t>UPVC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5</w:t>
                  </w:r>
                </w:p>
              </w:tc>
              <w:tc>
                <w:tcPr>
                  <w:tcW w:w="1985" w:type="dxa"/>
                  <w:noWrap w:val="0"/>
                  <w:vAlign w:val="center"/>
                </w:tcPr>
                <w:p>
                  <w:pPr>
                    <w:pStyle w:val="79"/>
                    <w:rPr>
                      <w:color w:val="auto"/>
                      <w:szCs w:val="21"/>
                    </w:rPr>
                  </w:pPr>
                  <w:r>
                    <w:rPr>
                      <w:color w:val="auto"/>
                      <w:szCs w:val="21"/>
                    </w:rPr>
                    <w:t>浅型污水检查井</w:t>
                  </w:r>
                </w:p>
              </w:tc>
              <w:tc>
                <w:tcPr>
                  <w:tcW w:w="2126" w:type="dxa"/>
                  <w:noWrap w:val="0"/>
                  <w:vAlign w:val="center"/>
                </w:tcPr>
                <w:p>
                  <w:pPr>
                    <w:pStyle w:val="79"/>
                    <w:rPr>
                      <w:color w:val="auto"/>
                      <w:szCs w:val="21"/>
                    </w:rPr>
                  </w:pPr>
                  <w:r>
                    <w:rPr>
                      <w:color w:val="auto"/>
                      <w:szCs w:val="21"/>
                    </w:rPr>
                    <w:t>Φ1300</w:t>
                  </w:r>
                </w:p>
              </w:tc>
              <w:tc>
                <w:tcPr>
                  <w:tcW w:w="1944" w:type="dxa"/>
                  <w:noWrap w:val="0"/>
                  <w:vAlign w:val="center"/>
                </w:tcPr>
                <w:p>
                  <w:pPr>
                    <w:pStyle w:val="79"/>
                    <w:rPr>
                      <w:color w:val="auto"/>
                      <w:szCs w:val="21"/>
                    </w:rPr>
                  </w:pPr>
                  <w:r>
                    <w:rPr>
                      <w:color w:val="auto"/>
                      <w:szCs w:val="21"/>
                    </w:rPr>
                    <w:t>101座</w:t>
                  </w:r>
                </w:p>
              </w:tc>
              <w:tc>
                <w:tcPr>
                  <w:tcW w:w="1767" w:type="dxa"/>
                  <w:noWrap w:val="0"/>
                  <w:vAlign w:val="center"/>
                </w:tcPr>
                <w:p>
                  <w:pPr>
                    <w:pStyle w:val="79"/>
                    <w:rPr>
                      <w:color w:val="auto"/>
                      <w:szCs w:val="21"/>
                    </w:rPr>
                  </w:pPr>
                  <w:r>
                    <w:rPr>
                      <w:color w:val="auto"/>
                      <w:szCs w:val="21"/>
                    </w:rPr>
                    <w:t>混凝土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 w:hRule="atLeast"/>
                <w:jc w:val="center"/>
              </w:trPr>
              <w:tc>
                <w:tcPr>
                  <w:tcW w:w="1023" w:type="dxa"/>
                  <w:noWrap w:val="0"/>
                  <w:vAlign w:val="center"/>
                </w:tcPr>
                <w:p>
                  <w:pPr>
                    <w:jc w:val="center"/>
                    <w:rPr>
                      <w:rFonts w:hint="eastAsia"/>
                      <w:color w:val="auto"/>
                      <w:sz w:val="21"/>
                      <w:szCs w:val="21"/>
                    </w:rPr>
                  </w:pPr>
                  <w:r>
                    <w:rPr>
                      <w:rFonts w:hint="eastAsia"/>
                      <w:color w:val="auto"/>
                      <w:sz w:val="21"/>
                      <w:szCs w:val="21"/>
                    </w:rPr>
                    <w:t>6</w:t>
                  </w:r>
                </w:p>
              </w:tc>
              <w:tc>
                <w:tcPr>
                  <w:tcW w:w="1985" w:type="dxa"/>
                  <w:noWrap w:val="0"/>
                  <w:vAlign w:val="center"/>
                </w:tcPr>
                <w:p>
                  <w:pPr>
                    <w:pStyle w:val="79"/>
                    <w:rPr>
                      <w:color w:val="auto"/>
                      <w:szCs w:val="21"/>
                    </w:rPr>
                  </w:pPr>
                  <w:r>
                    <w:rPr>
                      <w:color w:val="auto"/>
                      <w:szCs w:val="21"/>
                    </w:rPr>
                    <w:t>深型污水检查井</w:t>
                  </w:r>
                </w:p>
              </w:tc>
              <w:tc>
                <w:tcPr>
                  <w:tcW w:w="2126" w:type="dxa"/>
                  <w:noWrap w:val="0"/>
                  <w:vAlign w:val="center"/>
                </w:tcPr>
                <w:p>
                  <w:pPr>
                    <w:pStyle w:val="79"/>
                    <w:rPr>
                      <w:color w:val="auto"/>
                      <w:szCs w:val="21"/>
                    </w:rPr>
                  </w:pPr>
                  <w:r>
                    <w:rPr>
                      <w:color w:val="auto"/>
                      <w:szCs w:val="21"/>
                    </w:rPr>
                    <w:t>Φ1600</w:t>
                  </w:r>
                </w:p>
              </w:tc>
              <w:tc>
                <w:tcPr>
                  <w:tcW w:w="1944" w:type="dxa"/>
                  <w:noWrap w:val="0"/>
                  <w:vAlign w:val="center"/>
                </w:tcPr>
                <w:p>
                  <w:pPr>
                    <w:pStyle w:val="79"/>
                    <w:rPr>
                      <w:color w:val="auto"/>
                      <w:szCs w:val="21"/>
                    </w:rPr>
                  </w:pPr>
                  <w:r>
                    <w:rPr>
                      <w:color w:val="auto"/>
                      <w:szCs w:val="21"/>
                    </w:rPr>
                    <w:t>3座</w:t>
                  </w:r>
                </w:p>
              </w:tc>
              <w:tc>
                <w:tcPr>
                  <w:tcW w:w="1767" w:type="dxa"/>
                  <w:noWrap w:val="0"/>
                  <w:vAlign w:val="center"/>
                </w:tcPr>
                <w:p>
                  <w:pPr>
                    <w:pStyle w:val="79"/>
                    <w:rPr>
                      <w:color w:val="auto"/>
                      <w:szCs w:val="21"/>
                    </w:rPr>
                  </w:pPr>
                  <w:r>
                    <w:rPr>
                      <w:color w:val="auto"/>
                      <w:szCs w:val="21"/>
                    </w:rPr>
                    <w:t>混凝土</w:t>
                  </w:r>
                </w:p>
              </w:tc>
            </w:tr>
          </w:tbl>
          <w:p>
            <w:pPr>
              <w:adjustRightInd w:val="0"/>
              <w:snapToGrid w:val="0"/>
              <w:spacing w:line="360" w:lineRule="auto"/>
              <w:ind w:firstLine="482" w:firstLineChars="200"/>
              <w:rPr>
                <w:b/>
                <w:bCs/>
                <w:color w:val="auto"/>
                <w:lang w:bidi="ar"/>
              </w:rPr>
            </w:pPr>
            <w:r>
              <w:rPr>
                <w:b/>
                <w:bCs/>
                <w:color w:val="auto"/>
                <w:lang w:bidi="ar"/>
              </w:rPr>
              <w:t>3.供电</w:t>
            </w:r>
          </w:p>
          <w:p>
            <w:pPr>
              <w:adjustRightInd w:val="0"/>
              <w:snapToGrid w:val="0"/>
              <w:spacing w:line="360" w:lineRule="auto"/>
              <w:ind w:firstLine="480" w:firstLineChars="200"/>
              <w:rPr>
                <w:color w:val="auto"/>
              </w:rPr>
            </w:pPr>
            <w:r>
              <w:rPr>
                <w:color w:val="auto"/>
              </w:rPr>
              <w:t>本项目供电由当地供电所供给，为保证污水处理站电气系统的连续、可靠运行，本项目由市政电网供电。</w:t>
            </w:r>
          </w:p>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十二、厂区总平面布置</w:t>
            </w:r>
          </w:p>
          <w:p>
            <w:pPr>
              <w:adjustRightInd w:val="0"/>
              <w:snapToGrid w:val="0"/>
              <w:spacing w:line="360" w:lineRule="auto"/>
              <w:ind w:firstLine="482" w:firstLineChars="200"/>
              <w:rPr>
                <w:b/>
                <w:bCs/>
                <w:color w:val="auto"/>
                <w:lang w:bidi="ar"/>
              </w:rPr>
            </w:pPr>
            <w:r>
              <w:rPr>
                <w:b/>
                <w:bCs/>
                <w:color w:val="auto"/>
                <w:lang w:bidi="ar"/>
              </w:rPr>
              <w:t>1.总平面布置原则</w:t>
            </w:r>
          </w:p>
          <w:p>
            <w:pPr>
              <w:adjustRightInd w:val="0"/>
              <w:snapToGrid w:val="0"/>
              <w:spacing w:line="360" w:lineRule="auto"/>
              <w:ind w:firstLine="480" w:firstLineChars="200"/>
              <w:rPr>
                <w:color w:val="auto"/>
              </w:rPr>
            </w:pPr>
            <w:r>
              <w:rPr>
                <w:color w:val="auto"/>
              </w:rPr>
              <w:t>（1）在满足工艺流程顺畅、简洁、合理的前提下，力求布局紧凑，管线短捷，尽量少交叉，并充分注意节省占地。</w:t>
            </w:r>
          </w:p>
          <w:p>
            <w:pPr>
              <w:adjustRightInd w:val="0"/>
              <w:snapToGrid w:val="0"/>
              <w:spacing w:line="360" w:lineRule="auto"/>
              <w:ind w:firstLine="480" w:firstLineChars="200"/>
              <w:rPr>
                <w:color w:val="auto"/>
              </w:rPr>
            </w:pPr>
            <w:r>
              <w:rPr>
                <w:color w:val="auto"/>
              </w:rPr>
              <w:t>（2）辅助生产建筑物应集中布置，以提高全厂统一管理及生产的可靠性和方便性。</w:t>
            </w:r>
          </w:p>
          <w:p>
            <w:pPr>
              <w:adjustRightInd w:val="0"/>
              <w:snapToGrid w:val="0"/>
              <w:spacing w:line="360" w:lineRule="auto"/>
              <w:ind w:firstLine="480" w:firstLineChars="200"/>
              <w:rPr>
                <w:color w:val="auto"/>
              </w:rPr>
            </w:pPr>
            <w:r>
              <w:rPr>
                <w:color w:val="auto"/>
              </w:rPr>
              <w:t>（3）交通顺畅，便于施工与管理。</w:t>
            </w:r>
          </w:p>
          <w:p>
            <w:pPr>
              <w:adjustRightInd w:val="0"/>
              <w:snapToGrid w:val="0"/>
              <w:spacing w:line="360" w:lineRule="auto"/>
              <w:ind w:firstLine="480" w:firstLineChars="200"/>
              <w:rPr>
                <w:color w:val="auto"/>
              </w:rPr>
            </w:pPr>
            <w:r>
              <w:rPr>
                <w:color w:val="auto"/>
              </w:rPr>
              <w:t>（4）功能分区明确，构筑物布置紧凑，减少占地面积。</w:t>
            </w:r>
          </w:p>
          <w:p>
            <w:pPr>
              <w:adjustRightInd w:val="0"/>
              <w:snapToGrid w:val="0"/>
              <w:spacing w:line="360" w:lineRule="auto"/>
              <w:ind w:firstLine="482" w:firstLineChars="200"/>
              <w:rPr>
                <w:b/>
                <w:bCs/>
                <w:color w:val="auto"/>
              </w:rPr>
            </w:pPr>
            <w:r>
              <w:rPr>
                <w:b/>
                <w:bCs/>
                <w:color w:val="auto"/>
              </w:rPr>
              <w:t>2.总平面布置合理性分析</w:t>
            </w:r>
          </w:p>
          <w:p>
            <w:pPr>
              <w:adjustRightInd w:val="0"/>
              <w:snapToGrid w:val="0"/>
              <w:spacing w:line="360" w:lineRule="auto"/>
              <w:ind w:firstLine="480" w:firstLineChars="200"/>
              <w:rPr>
                <w:color w:val="auto"/>
              </w:rPr>
            </w:pPr>
            <w:r>
              <w:rPr>
                <w:color w:val="auto"/>
              </w:rPr>
              <w:t>整个污水处理站按照生产工艺流程合理布置。农村生活污水经管道进入处理区，分别从格栅</w:t>
            </w:r>
            <w:r>
              <w:rPr>
                <w:rFonts w:hint="eastAsia"/>
                <w:color w:val="auto"/>
              </w:rPr>
              <w:t>井</w:t>
            </w:r>
            <w:r>
              <w:rPr>
                <w:color w:val="auto"/>
              </w:rPr>
              <w:t>、化粪池、MBR一体化设备（人工湿地）的流程依次布置。同时，在满足工艺、建筑的前提下，构筑物布置紧凑，减少占地面积。</w:t>
            </w:r>
          </w:p>
          <w:p>
            <w:pPr>
              <w:adjustRightInd w:val="0"/>
              <w:snapToGrid w:val="0"/>
              <w:spacing w:line="360" w:lineRule="auto"/>
              <w:ind w:firstLine="480" w:firstLineChars="200"/>
              <w:rPr>
                <w:color w:val="auto"/>
              </w:rPr>
            </w:pPr>
            <w:r>
              <w:rPr>
                <w:color w:val="auto"/>
              </w:rPr>
              <w:t>项目厂址地势较为平坦，靠近受纳水体下游，便于处理后污水排放。新建污水处理站与厂外道路联通，实现污水处理站对外交通便利，便于施工和今后的运行管理。</w:t>
            </w:r>
          </w:p>
          <w:p>
            <w:pPr>
              <w:adjustRightInd w:val="0"/>
              <w:snapToGrid w:val="0"/>
              <w:spacing w:line="360" w:lineRule="auto"/>
              <w:ind w:firstLine="480" w:firstLineChars="200"/>
              <w:rPr>
                <w:color w:val="auto"/>
              </w:rPr>
            </w:pPr>
            <w:r>
              <w:rPr>
                <w:color w:val="auto"/>
              </w:rPr>
              <w:t>总体来说，本项目的总体布置较为合理。</w:t>
            </w:r>
          </w:p>
          <w:p>
            <w:pPr>
              <w:adjustRightInd w:val="0"/>
              <w:snapToGrid w:val="0"/>
              <w:spacing w:line="360" w:lineRule="auto"/>
              <w:ind w:firstLine="560" w:firstLineChars="200"/>
              <w:rPr>
                <w:rFonts w:eastAsia="黑体"/>
                <w:color w:val="auto"/>
                <w:sz w:val="28"/>
                <w:szCs w:val="28"/>
              </w:rPr>
            </w:pPr>
            <w:r>
              <w:rPr>
                <w:rFonts w:eastAsia="黑体"/>
                <w:color w:val="auto"/>
                <w:sz w:val="28"/>
                <w:szCs w:val="28"/>
              </w:rPr>
              <w:t>十三、工作制度及劳动定员</w:t>
            </w:r>
          </w:p>
          <w:p>
            <w:pPr>
              <w:adjustRightInd w:val="0"/>
              <w:snapToGrid w:val="0"/>
              <w:spacing w:line="360" w:lineRule="auto"/>
              <w:ind w:firstLine="480" w:firstLineChars="200"/>
              <w:rPr>
                <w:color w:val="auto"/>
              </w:rPr>
            </w:pPr>
            <w:r>
              <w:rPr>
                <w:color w:val="auto"/>
              </w:rPr>
              <w:t>本项目职工人数为1人，每年工作日365天，污水处理系统24h运行。</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5" w:type="dxa"/>
            <w:bottom w:w="0" w:type="dxa"/>
            <w:right w:w="85" w:type="dxa"/>
          </w:tblCellMar>
        </w:tblPrEx>
        <w:trPr>
          <w:wBefore w:w="0" w:type="dxa"/>
          <w:wAfter w:w="0" w:type="dxa"/>
          <w:trHeight w:val="1020" w:hRule="atLeast"/>
          <w:jc w:val="center"/>
        </w:trPr>
        <w:tc>
          <w:tcPr>
            <w:tcW w:w="9240" w:type="dxa"/>
            <w:gridSpan w:val="6"/>
            <w:tcBorders>
              <w:top w:val="single" w:color="auto" w:sz="6" w:space="0"/>
              <w:bottom w:val="single" w:color="auto" w:sz="4" w:space="0"/>
            </w:tcBorders>
            <w:noWrap w:val="0"/>
            <w:vAlign w:val="top"/>
          </w:tcPr>
          <w:p>
            <w:pPr>
              <w:adjustRightInd w:val="0"/>
              <w:snapToGrid w:val="0"/>
              <w:spacing w:line="360" w:lineRule="auto"/>
            </w:pPr>
            <w:r>
              <w:t>与本项目有关的原有污染情况及主要环境问题</w:t>
            </w:r>
          </w:p>
          <w:p>
            <w:pPr>
              <w:adjustRightInd w:val="0"/>
              <w:snapToGrid w:val="0"/>
              <w:spacing w:line="360" w:lineRule="auto"/>
              <w:ind w:firstLine="480" w:firstLineChars="200"/>
            </w:pPr>
            <w:r>
              <w:t>本项目为新建工程，不存在与项目有关的原有环境污染问题。本项目建成后，将在较大程度上改善当地地表水水质，有助于保护农村环境和提升农村整体形象。</w:t>
            </w: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tc>
      </w:tr>
    </w:tbl>
    <w:p>
      <w:pPr>
        <w:outlineLvl w:val="0"/>
        <w:rPr>
          <w:rFonts w:eastAsia="黑体"/>
          <w:color w:val="auto"/>
          <w:sz w:val="32"/>
          <w:szCs w:val="32"/>
        </w:rPr>
      </w:pPr>
      <w:r>
        <w:rPr>
          <w:b/>
          <w:color w:val="auto"/>
          <w:sz w:val="32"/>
          <w:szCs w:val="32"/>
        </w:rPr>
        <w:br w:type="page"/>
      </w:r>
      <w:r>
        <w:rPr>
          <w:rFonts w:eastAsia="黑体"/>
          <w:bCs/>
          <w:color w:val="auto"/>
          <w:sz w:val="32"/>
          <w:szCs w:val="32"/>
        </w:rPr>
        <w:t>建设项目所在地自然环境简况                       （表二）</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048" w:hRule="atLeast"/>
          <w:jc w:val="center"/>
        </w:trPr>
        <w:tc>
          <w:tcPr>
            <w:tcW w:w="9032" w:type="dxa"/>
            <w:noWrap w:val="0"/>
            <w:vAlign w:val="top"/>
          </w:tcPr>
          <w:p>
            <w:pPr>
              <w:adjustRightInd w:val="0"/>
              <w:snapToGrid w:val="0"/>
              <w:spacing w:line="360" w:lineRule="auto"/>
              <w:rPr>
                <w:b/>
                <w:bCs/>
                <w:color w:val="auto"/>
                <w:sz w:val="28"/>
                <w:szCs w:val="28"/>
              </w:rPr>
            </w:pPr>
            <w:r>
              <w:rPr>
                <w:rFonts w:eastAsia="黑体"/>
                <w:color w:val="auto"/>
                <w:sz w:val="28"/>
                <w:szCs w:val="28"/>
              </w:rPr>
              <w:t>自然环境简况（地形、地貌、地质、气候、气象、水文、植被、生物多样性等）</w:t>
            </w:r>
          </w:p>
          <w:p>
            <w:pPr>
              <w:adjustRightInd w:val="0"/>
              <w:snapToGrid w:val="0"/>
              <w:spacing w:line="360" w:lineRule="auto"/>
              <w:ind w:firstLine="480" w:firstLineChars="200"/>
              <w:rPr>
                <w:rFonts w:eastAsia="黑体"/>
                <w:color w:val="auto"/>
              </w:rPr>
            </w:pPr>
            <w:r>
              <w:rPr>
                <w:rFonts w:eastAsia="黑体"/>
                <w:color w:val="auto"/>
              </w:rPr>
              <w:t>1.地理位置</w:t>
            </w:r>
          </w:p>
          <w:p>
            <w:pPr>
              <w:adjustRightInd w:val="0"/>
              <w:snapToGrid w:val="0"/>
              <w:spacing w:line="360" w:lineRule="auto"/>
              <w:ind w:firstLine="480" w:firstLineChars="200"/>
              <w:rPr>
                <w:color w:val="auto"/>
              </w:rPr>
            </w:pPr>
            <w:r>
              <w:rPr>
                <w:color w:val="auto"/>
                <w:shd w:val="clear" w:color="auto" w:fill="FFFFFF"/>
              </w:rPr>
              <w:t>峨边彝族自治县隶属于</w:t>
            </w:r>
            <w:r>
              <w:rPr>
                <w:color w:val="auto"/>
                <w:shd w:val="clear" w:color="auto" w:fill="FFFFFF"/>
              </w:rPr>
              <w:fldChar w:fldCharType="begin"/>
            </w:r>
            <w:r>
              <w:rPr>
                <w:color w:val="auto"/>
                <w:shd w:val="clear" w:color="auto" w:fill="FFFFFF"/>
              </w:rPr>
              <w:instrText xml:space="preserve"> HYPERLINK "https://baike.sogou.com/lemma/ShowInnerLink.htm?lemmaId=12591&amp;ss_c=ssc.citiao.link" \t "https://baike.sogou.com/_blank" </w:instrText>
            </w:r>
            <w:r>
              <w:rPr>
                <w:color w:val="auto"/>
                <w:shd w:val="clear" w:color="auto" w:fill="FFFFFF"/>
              </w:rPr>
              <w:fldChar w:fldCharType="separate"/>
            </w:r>
            <w:r>
              <w:rPr>
                <w:rStyle w:val="34"/>
                <w:color w:val="auto"/>
                <w:shd w:val="clear" w:color="auto" w:fill="FFFFFF"/>
              </w:rPr>
              <w:t>四川省乐山市</w:t>
            </w:r>
            <w:r>
              <w:rPr>
                <w:color w:val="auto"/>
                <w:shd w:val="clear" w:color="auto" w:fill="FFFFFF"/>
              </w:rPr>
              <w:fldChar w:fldCharType="end"/>
            </w:r>
            <w:r>
              <w:rPr>
                <w:color w:val="auto"/>
                <w:shd w:val="clear" w:color="auto" w:fill="FFFFFF"/>
              </w:rPr>
              <w:t>，位于四川省西南部的</w:t>
            </w:r>
            <w:r>
              <w:rPr>
                <w:color w:val="auto"/>
                <w:shd w:val="clear" w:color="auto" w:fill="FFFFFF"/>
              </w:rPr>
              <w:fldChar w:fldCharType="begin"/>
            </w:r>
            <w:r>
              <w:rPr>
                <w:color w:val="auto"/>
                <w:shd w:val="clear" w:color="auto" w:fill="FFFFFF"/>
              </w:rPr>
              <w:instrText xml:space="preserve"> HYPERLINK "https://baike.sogou.com/lemma/ShowInnerLink.htm?lemmaId=174470620&amp;ss_c=ssc.citiao.link" \t "https://baike.sogou.com/_blank" </w:instrText>
            </w:r>
            <w:r>
              <w:rPr>
                <w:color w:val="auto"/>
                <w:shd w:val="clear" w:color="auto" w:fill="FFFFFF"/>
              </w:rPr>
              <w:fldChar w:fldCharType="separate"/>
            </w:r>
            <w:r>
              <w:rPr>
                <w:rStyle w:val="34"/>
                <w:color w:val="auto"/>
                <w:shd w:val="clear" w:color="auto" w:fill="FFFFFF"/>
              </w:rPr>
              <w:t>小凉山</w:t>
            </w:r>
            <w:r>
              <w:rPr>
                <w:color w:val="auto"/>
                <w:shd w:val="clear" w:color="auto" w:fill="FFFFFF"/>
              </w:rPr>
              <w:fldChar w:fldCharType="end"/>
            </w:r>
            <w:r>
              <w:rPr>
                <w:color w:val="auto"/>
                <w:shd w:val="clear" w:color="auto" w:fill="FFFFFF"/>
              </w:rPr>
              <w:t>区，西南部的</w:t>
            </w:r>
            <w:r>
              <w:rPr>
                <w:color w:val="auto"/>
                <w:shd w:val="clear" w:color="auto" w:fill="FFFFFF"/>
              </w:rPr>
              <w:fldChar w:fldCharType="begin"/>
            </w:r>
            <w:r>
              <w:rPr>
                <w:color w:val="auto"/>
                <w:shd w:val="clear" w:color="auto" w:fill="FFFFFF"/>
              </w:rPr>
              <w:instrText xml:space="preserve"> HYPERLINK "https://baike.sogou.com/lemma/ShowInnerLink.htm?lemmaId=174470620&amp;ss_c=ssc.citiao.link" \t "https://baike.sogou.com/_blank" </w:instrText>
            </w:r>
            <w:r>
              <w:rPr>
                <w:color w:val="auto"/>
                <w:shd w:val="clear" w:color="auto" w:fill="FFFFFF"/>
              </w:rPr>
              <w:fldChar w:fldCharType="separate"/>
            </w:r>
            <w:r>
              <w:rPr>
                <w:rStyle w:val="34"/>
                <w:color w:val="auto"/>
                <w:shd w:val="clear" w:color="auto" w:fill="FFFFFF"/>
              </w:rPr>
              <w:t>小凉山</w:t>
            </w:r>
            <w:r>
              <w:rPr>
                <w:color w:val="auto"/>
                <w:shd w:val="clear" w:color="auto" w:fill="FFFFFF"/>
              </w:rPr>
              <w:fldChar w:fldCharType="end"/>
            </w:r>
            <w:r>
              <w:rPr>
                <w:color w:val="auto"/>
                <w:shd w:val="clear" w:color="auto" w:fill="FFFFFF"/>
              </w:rPr>
              <w:t>区，与佛教圣地</w:t>
            </w:r>
            <w:r>
              <w:rPr>
                <w:color w:val="auto"/>
                <w:shd w:val="clear" w:color="auto" w:fill="FFFFFF"/>
              </w:rPr>
              <w:fldChar w:fldCharType="begin"/>
            </w:r>
            <w:r>
              <w:rPr>
                <w:color w:val="auto"/>
                <w:shd w:val="clear" w:color="auto" w:fill="FFFFFF"/>
              </w:rPr>
              <w:instrText xml:space="preserve"> HYPERLINK "https://baike.sogou.com/lemma/ShowInnerLink.htm?lemmaId=65411060&amp;ss_c=ssc.citiao.link" \t "https://baike.sogou.com/_blank" </w:instrText>
            </w:r>
            <w:r>
              <w:rPr>
                <w:color w:val="auto"/>
                <w:shd w:val="clear" w:color="auto" w:fill="FFFFFF"/>
              </w:rPr>
              <w:fldChar w:fldCharType="separate"/>
            </w:r>
            <w:r>
              <w:rPr>
                <w:rStyle w:val="34"/>
                <w:color w:val="auto"/>
                <w:shd w:val="clear" w:color="auto" w:fill="FFFFFF"/>
              </w:rPr>
              <w:t>峨眉山</w:t>
            </w:r>
            <w:r>
              <w:rPr>
                <w:color w:val="auto"/>
                <w:shd w:val="clear" w:color="auto" w:fill="FFFFFF"/>
              </w:rPr>
              <w:fldChar w:fldCharType="end"/>
            </w:r>
            <w:r>
              <w:rPr>
                <w:color w:val="auto"/>
                <w:shd w:val="clear" w:color="auto" w:fill="FFFFFF"/>
              </w:rPr>
              <w:t>毗邻，是通往</w:t>
            </w:r>
            <w:r>
              <w:rPr>
                <w:color w:val="auto"/>
                <w:shd w:val="clear" w:color="auto" w:fill="FFFFFF"/>
              </w:rPr>
              <w:fldChar w:fldCharType="begin"/>
            </w:r>
            <w:r>
              <w:rPr>
                <w:color w:val="auto"/>
                <w:shd w:val="clear" w:color="auto" w:fill="FFFFFF"/>
              </w:rPr>
              <w:instrText xml:space="preserve"> HYPERLINK "https://baike.sogou.com/lemma/ShowInnerLink.htm?lemmaId=7824022&amp;ss_c=ssc.citiao.link" \t "https://baike.sogou.com/_blank" </w:instrText>
            </w:r>
            <w:r>
              <w:rPr>
                <w:color w:val="auto"/>
                <w:shd w:val="clear" w:color="auto" w:fill="FFFFFF"/>
              </w:rPr>
              <w:fldChar w:fldCharType="separate"/>
            </w:r>
            <w:r>
              <w:rPr>
                <w:rStyle w:val="34"/>
                <w:color w:val="auto"/>
                <w:shd w:val="clear" w:color="auto" w:fill="FFFFFF"/>
              </w:rPr>
              <w:t>大凉山</w:t>
            </w:r>
            <w:r>
              <w:rPr>
                <w:color w:val="auto"/>
                <w:shd w:val="clear" w:color="auto" w:fill="FFFFFF"/>
              </w:rPr>
              <w:fldChar w:fldCharType="end"/>
            </w:r>
            <w:r>
              <w:rPr>
                <w:color w:val="auto"/>
                <w:shd w:val="clear" w:color="auto" w:fill="FFFFFF"/>
              </w:rPr>
              <w:t>的门户。地处西南边陲的峨边历史悠久，秦时隶属蜀郡，汉时属</w:t>
            </w:r>
            <w:r>
              <w:rPr>
                <w:color w:val="auto"/>
                <w:shd w:val="clear" w:color="auto" w:fill="FFFFFF"/>
              </w:rPr>
              <w:fldChar w:fldCharType="begin"/>
            </w:r>
            <w:r>
              <w:rPr>
                <w:color w:val="auto"/>
                <w:shd w:val="clear" w:color="auto" w:fill="FFFFFF"/>
              </w:rPr>
              <w:instrText xml:space="preserve"> HYPERLINK "https://baike.sogou.com/lemma/ShowInnerLink.htm?lemmaId=57431379&amp;ss_c=ssc.citiao.link" \t "https://baike.sogou.com/_blank" </w:instrText>
            </w:r>
            <w:r>
              <w:rPr>
                <w:color w:val="auto"/>
                <w:shd w:val="clear" w:color="auto" w:fill="FFFFFF"/>
              </w:rPr>
              <w:fldChar w:fldCharType="separate"/>
            </w:r>
            <w:r>
              <w:rPr>
                <w:rStyle w:val="34"/>
                <w:color w:val="auto"/>
                <w:shd w:val="clear" w:color="auto" w:fill="FFFFFF"/>
              </w:rPr>
              <w:t>犍为郡</w:t>
            </w:r>
            <w:r>
              <w:rPr>
                <w:color w:val="auto"/>
                <w:shd w:val="clear" w:color="auto" w:fill="FFFFFF"/>
              </w:rPr>
              <w:fldChar w:fldCharType="end"/>
            </w:r>
            <w:r>
              <w:rPr>
                <w:color w:val="auto"/>
                <w:shd w:val="clear" w:color="auto" w:fill="FFFFFF"/>
              </w:rPr>
              <w:t>，清时置峨边厅，1914年改为峨边县，1949年12月峨边解放，1984年成立彝族自治县。峨边属亚热带湿润季风气候，幅员面积2382平方公里，户籍人口147486人（2017年）</w:t>
            </w:r>
            <w:bookmarkStart w:id="0" w:name="ref_2"/>
            <w:bookmarkEnd w:id="0"/>
            <w:r>
              <w:rPr>
                <w:color w:val="auto"/>
                <w:shd w:val="clear" w:color="auto" w:fill="FFFFFF"/>
              </w:rPr>
              <w:t>，辖19个乡镇129个村。</w:t>
            </w:r>
          </w:p>
          <w:p>
            <w:pPr>
              <w:adjustRightInd w:val="0"/>
              <w:snapToGrid w:val="0"/>
              <w:spacing w:line="360" w:lineRule="auto"/>
              <w:ind w:firstLine="480" w:firstLineChars="200"/>
              <w:rPr>
                <w:color w:val="auto"/>
                <w:shd w:val="clear" w:color="auto" w:fill="FFFFFF"/>
              </w:rPr>
            </w:pPr>
            <w:r>
              <w:rPr>
                <w:color w:val="auto"/>
                <w:shd w:val="clear" w:color="auto" w:fill="FFFFFF"/>
              </w:rPr>
              <w:t>宜坪乡，</w:t>
            </w:r>
            <w:r>
              <w:rPr>
                <w:color w:val="auto"/>
                <w:shd w:val="clear" w:color="auto" w:fill="FFFFFF"/>
              </w:rPr>
              <w:fldChar w:fldCharType="begin"/>
            </w:r>
            <w:r>
              <w:rPr>
                <w:color w:val="auto"/>
                <w:shd w:val="clear" w:color="auto" w:fill="FFFFFF"/>
              </w:rPr>
              <w:instrText xml:space="preserve"> HYPERLINK "https://baike.sogou.com/lemma/ShowInnerLink.htm?lemmaId=12591&amp;ss_c=ssc.citiao.link" \t "https://baike.sogou.com/_blank" </w:instrText>
            </w:r>
            <w:r>
              <w:rPr>
                <w:color w:val="auto"/>
                <w:shd w:val="clear" w:color="auto" w:fill="FFFFFF"/>
              </w:rPr>
              <w:fldChar w:fldCharType="separate"/>
            </w:r>
            <w:r>
              <w:rPr>
                <w:color w:val="auto"/>
                <w:shd w:val="clear" w:color="auto" w:fill="FFFFFF"/>
              </w:rPr>
              <w:t>四川省乐山市</w:t>
            </w:r>
            <w:r>
              <w:rPr>
                <w:color w:val="auto"/>
                <w:shd w:val="clear" w:color="auto" w:fill="FFFFFF"/>
              </w:rPr>
              <w:fldChar w:fldCharType="end"/>
            </w:r>
            <w:r>
              <w:rPr>
                <w:color w:val="auto"/>
                <w:shd w:val="clear" w:color="auto" w:fill="FFFFFF"/>
              </w:rPr>
              <w:fldChar w:fldCharType="begin"/>
            </w:r>
            <w:r>
              <w:rPr>
                <w:color w:val="auto"/>
                <w:shd w:val="clear" w:color="auto" w:fill="FFFFFF"/>
              </w:rPr>
              <w:instrText xml:space="preserve"> HYPERLINK "https://baike.sogou.com/lemma/ShowInnerLink.htm?lemmaId=12621&amp;ss_c=ssc.citiao.link" \t "https://baike.sogou.com/_blank" </w:instrText>
            </w:r>
            <w:r>
              <w:rPr>
                <w:color w:val="auto"/>
                <w:shd w:val="clear" w:color="auto" w:fill="FFFFFF"/>
              </w:rPr>
              <w:fldChar w:fldCharType="separate"/>
            </w:r>
            <w:r>
              <w:rPr>
                <w:color w:val="auto"/>
                <w:shd w:val="clear" w:color="auto" w:fill="FFFFFF"/>
              </w:rPr>
              <w:t>峨边彝族自治县</w:t>
            </w:r>
            <w:r>
              <w:rPr>
                <w:color w:val="auto"/>
                <w:shd w:val="clear" w:color="auto" w:fill="FFFFFF"/>
              </w:rPr>
              <w:fldChar w:fldCharType="end"/>
            </w:r>
            <w:r>
              <w:rPr>
                <w:color w:val="auto"/>
                <w:shd w:val="clear" w:color="auto" w:fill="FFFFFF"/>
              </w:rPr>
              <w:t>辖乡。1951年建宜坪乡，1958年与杨村、红花、</w:t>
            </w:r>
            <w:r>
              <w:rPr>
                <w:color w:val="auto"/>
                <w:shd w:val="clear" w:color="auto" w:fill="FFFFFF"/>
              </w:rPr>
              <w:fldChar w:fldCharType="begin"/>
            </w:r>
            <w:r>
              <w:rPr>
                <w:color w:val="auto"/>
                <w:shd w:val="clear" w:color="auto" w:fill="FFFFFF"/>
              </w:rPr>
              <w:instrText xml:space="preserve"> HYPERLINK "https://baike.sogou.com/lemma/ShowInnerLink.htm?lemmaId=6479804&amp;ss_c=ssc.citiao.link" \t "https://baike.sogou.com/_blank" </w:instrText>
            </w:r>
            <w:r>
              <w:rPr>
                <w:color w:val="auto"/>
                <w:shd w:val="clear" w:color="auto" w:fill="FFFFFF"/>
              </w:rPr>
              <w:fldChar w:fldCharType="separate"/>
            </w:r>
            <w:r>
              <w:rPr>
                <w:color w:val="auto"/>
                <w:shd w:val="clear" w:color="auto" w:fill="FFFFFF"/>
              </w:rPr>
              <w:t>茨竹</w:t>
            </w:r>
            <w:r>
              <w:rPr>
                <w:color w:val="auto"/>
                <w:shd w:val="clear" w:color="auto" w:fill="FFFFFF"/>
              </w:rPr>
              <w:fldChar w:fldCharType="end"/>
            </w:r>
            <w:r>
              <w:rPr>
                <w:color w:val="auto"/>
                <w:shd w:val="clear" w:color="auto" w:fill="FFFFFF"/>
              </w:rPr>
              <w:t>合并建红旗公社，1959年建宜坪公社 ，1984年复置乡。位于县境北部，距县府6公里。面积38.2平方公里，人口0.8万。辖宜坪、庙岗、红岩、泉水、群力、桐花、草坪7个村委会。</w:t>
            </w:r>
          </w:p>
          <w:p>
            <w:pPr>
              <w:adjustRightInd w:val="0"/>
              <w:snapToGrid w:val="0"/>
              <w:spacing w:line="360" w:lineRule="auto"/>
              <w:ind w:firstLine="480" w:firstLineChars="200"/>
              <w:jc w:val="left"/>
              <w:rPr>
                <w:color w:val="auto"/>
              </w:rPr>
            </w:pPr>
            <w:r>
              <w:rPr>
                <w:color w:val="auto"/>
              </w:rPr>
              <w:t>本项目地理位置见附图1。</w:t>
            </w:r>
          </w:p>
          <w:p>
            <w:pPr>
              <w:adjustRightInd w:val="0"/>
              <w:snapToGrid w:val="0"/>
              <w:spacing w:line="360" w:lineRule="auto"/>
              <w:ind w:firstLine="480" w:firstLineChars="200"/>
              <w:rPr>
                <w:rFonts w:eastAsia="黑体"/>
                <w:color w:val="auto"/>
              </w:rPr>
            </w:pPr>
            <w:r>
              <w:rPr>
                <w:rFonts w:eastAsia="黑体"/>
                <w:color w:val="auto"/>
              </w:rPr>
              <w:t>2.地形、地貌</w:t>
            </w:r>
          </w:p>
          <w:p>
            <w:pPr>
              <w:adjustRightInd w:val="0"/>
              <w:snapToGrid w:val="0"/>
              <w:spacing w:line="360" w:lineRule="auto"/>
              <w:ind w:firstLine="480" w:firstLineChars="200"/>
              <w:rPr>
                <w:color w:val="auto"/>
                <w:shd w:val="clear" w:color="auto" w:fill="FFFFFF"/>
              </w:rPr>
            </w:pPr>
            <w:r>
              <w:rPr>
                <w:color w:val="auto"/>
                <w:shd w:val="clear" w:color="auto" w:fill="FFFFFF"/>
              </w:rPr>
              <w:t>峨边地处四川盆地与云贵高原的过渡地带，属亚热带湿润季风气候，春迟，夏短，秋绵雨，冬长，四季分明，垂直差异明显，形成“一山分四季，十里不同天，山顶戴雪帽，山脚百花开”的气象景观。境内崇山峻岭，沟壑纵横，高差悬殊，最高马鞍山主峰海拔4288米，最低海拔469米。幅员辽阔，山高坡陡，物产丰富是自治县的显著特点。境内以坡地居多，坡度在20度以上占48.2％，旱地为耕地的91％，土壤为中性、微酸性和微碱性，壤土占75％。</w:t>
            </w:r>
          </w:p>
          <w:p>
            <w:pPr>
              <w:adjustRightInd w:val="0"/>
              <w:snapToGrid w:val="0"/>
              <w:spacing w:line="360" w:lineRule="auto"/>
              <w:ind w:firstLine="480" w:firstLineChars="200"/>
              <w:rPr>
                <w:color w:val="auto"/>
                <w:shd w:val="clear" w:color="auto" w:fill="FFFFFF"/>
              </w:rPr>
            </w:pPr>
            <w:r>
              <w:rPr>
                <w:color w:val="auto"/>
                <w:shd w:val="clear" w:color="auto" w:fill="FFFFFF"/>
              </w:rPr>
              <w:t>据四川省地震局资料，本区域中强度地震发生频率高，从1967年到1973年，县境内共发生5起地震，震级2.6-4.8级（不含邻区地震波及），相邻地区曾有强震发生。据国家地震局1/400万中国地震裂度区划图，工程区地震裂度为7度。据GB181306—2001《中国地震动参数区划图》，工程区50年超越概率10%的地震动净值加速度为0.1g，相应地震反应谱特征周期为0.4s， 对应的地震基本裂度为Ⅶ度。</w:t>
            </w:r>
          </w:p>
          <w:p>
            <w:pPr>
              <w:pStyle w:val="3"/>
              <w:snapToGrid w:val="0"/>
              <w:spacing w:line="360" w:lineRule="auto"/>
              <w:rPr>
                <w:rFonts w:hint="default" w:ascii="Times New Roman" w:hAnsi="Times New Roman" w:eastAsia="黑体"/>
                <w:bCs/>
                <w:color w:val="auto"/>
                <w:szCs w:val="24"/>
              </w:rPr>
            </w:pPr>
            <w:r>
              <w:rPr>
                <w:rFonts w:hint="default" w:ascii="Times New Roman" w:hAnsi="Times New Roman" w:eastAsia="黑体"/>
                <w:bCs/>
                <w:color w:val="auto"/>
                <w:szCs w:val="24"/>
              </w:rPr>
              <w:t>3、气候气象</w:t>
            </w:r>
          </w:p>
          <w:p>
            <w:pPr>
              <w:adjustRightInd w:val="0"/>
              <w:snapToGrid w:val="0"/>
              <w:spacing w:line="360" w:lineRule="auto"/>
              <w:ind w:firstLine="480" w:firstLineChars="200"/>
              <w:rPr>
                <w:color w:val="auto"/>
              </w:rPr>
            </w:pPr>
            <w:r>
              <w:rPr>
                <w:color w:val="auto"/>
              </w:rPr>
              <w:t>本项目所在区域属亚热带气候，多雨、炎热、潮湿，年平均气温16.8℃，历史最高气温38.3℃，最低为-4.4℃；年平均相对湿度77%，年平均降水量为1250㎜，多年平均蒸发量为1321.2㎜，日照全年时间仅为1014h；风向以北北东和东北居多，风力较小，静风频率约占37%。</w:t>
            </w:r>
          </w:p>
          <w:p>
            <w:pPr>
              <w:adjustRightInd w:val="0"/>
              <w:snapToGrid w:val="0"/>
              <w:spacing w:line="360" w:lineRule="auto"/>
              <w:ind w:firstLine="480" w:firstLineChars="200"/>
              <w:rPr>
                <w:color w:val="auto"/>
              </w:rPr>
            </w:pPr>
            <w:r>
              <w:rPr>
                <w:color w:val="auto"/>
              </w:rPr>
              <w:t>主要气象参数为：</w:t>
            </w:r>
          </w:p>
          <w:p>
            <w:pPr>
              <w:adjustRightInd w:val="0"/>
              <w:snapToGrid w:val="0"/>
              <w:spacing w:line="360" w:lineRule="auto"/>
              <w:ind w:firstLine="480" w:firstLineChars="200"/>
              <w:rPr>
                <w:color w:val="auto"/>
              </w:rPr>
            </w:pPr>
            <w:r>
              <w:rPr>
                <w:color w:val="auto"/>
              </w:rPr>
              <w:t>多年平均气温 16.4oC</w:t>
            </w:r>
          </w:p>
          <w:p>
            <w:pPr>
              <w:adjustRightInd w:val="0"/>
              <w:snapToGrid w:val="0"/>
              <w:spacing w:line="360" w:lineRule="auto"/>
              <w:ind w:firstLine="480" w:firstLineChars="200"/>
              <w:rPr>
                <w:color w:val="auto"/>
              </w:rPr>
            </w:pPr>
            <w:r>
              <w:rPr>
                <w:color w:val="auto"/>
              </w:rPr>
              <w:t>极端最高气温 36.1 oC</w:t>
            </w:r>
          </w:p>
          <w:p>
            <w:pPr>
              <w:adjustRightInd w:val="0"/>
              <w:snapToGrid w:val="0"/>
              <w:spacing w:line="360" w:lineRule="auto"/>
              <w:ind w:firstLine="480" w:firstLineChars="200"/>
              <w:rPr>
                <w:color w:val="auto"/>
              </w:rPr>
            </w:pPr>
            <w:r>
              <w:rPr>
                <w:color w:val="auto"/>
              </w:rPr>
              <w:t>极端最低气温 -3.2 oC</w:t>
            </w:r>
          </w:p>
          <w:p>
            <w:pPr>
              <w:adjustRightInd w:val="0"/>
              <w:snapToGrid w:val="0"/>
              <w:spacing w:line="360" w:lineRule="auto"/>
              <w:ind w:firstLine="480" w:firstLineChars="200"/>
              <w:rPr>
                <w:color w:val="auto"/>
              </w:rPr>
            </w:pPr>
            <w:r>
              <w:rPr>
                <w:color w:val="auto"/>
              </w:rPr>
              <w:t>多年平均相对湿度77%</w:t>
            </w:r>
          </w:p>
          <w:p>
            <w:pPr>
              <w:adjustRightInd w:val="0"/>
              <w:snapToGrid w:val="0"/>
              <w:spacing w:line="360" w:lineRule="auto"/>
              <w:ind w:firstLine="480" w:firstLineChars="200"/>
              <w:rPr>
                <w:color w:val="auto"/>
              </w:rPr>
            </w:pPr>
            <w:r>
              <w:rPr>
                <w:color w:val="auto"/>
              </w:rPr>
              <w:t>多年平均降水量1250mm</w:t>
            </w:r>
          </w:p>
          <w:p>
            <w:pPr>
              <w:adjustRightInd w:val="0"/>
              <w:snapToGrid w:val="0"/>
              <w:spacing w:line="360" w:lineRule="auto"/>
              <w:ind w:firstLine="480" w:firstLineChars="200"/>
              <w:rPr>
                <w:color w:val="auto"/>
              </w:rPr>
            </w:pPr>
            <w:r>
              <w:rPr>
                <w:color w:val="auto"/>
              </w:rPr>
              <w:t>多年平均蒸发量1321.2mm</w:t>
            </w:r>
          </w:p>
          <w:p>
            <w:pPr>
              <w:adjustRightInd w:val="0"/>
              <w:snapToGrid w:val="0"/>
              <w:spacing w:line="360" w:lineRule="auto"/>
              <w:ind w:firstLine="480" w:firstLineChars="200"/>
              <w:rPr>
                <w:color w:val="auto"/>
              </w:rPr>
            </w:pPr>
            <w:r>
              <w:rPr>
                <w:color w:val="auto"/>
              </w:rPr>
              <w:t>年平均日照时数1014h</w:t>
            </w:r>
          </w:p>
          <w:p>
            <w:pPr>
              <w:adjustRightInd w:val="0"/>
              <w:snapToGrid w:val="0"/>
              <w:spacing w:line="360" w:lineRule="auto"/>
              <w:ind w:firstLine="480" w:firstLineChars="200"/>
              <w:rPr>
                <w:color w:val="auto"/>
              </w:rPr>
            </w:pPr>
            <w:r>
              <w:rPr>
                <w:color w:val="auto"/>
              </w:rPr>
              <w:t>常年主导风向、平均风速 NE风、年平均风速1.7m/s、最大风速17.3m/s</w:t>
            </w:r>
          </w:p>
          <w:p>
            <w:pPr>
              <w:adjustRightInd w:val="0"/>
              <w:snapToGrid w:val="0"/>
              <w:spacing w:line="360" w:lineRule="auto"/>
              <w:ind w:firstLine="480" w:firstLineChars="200"/>
              <w:rPr>
                <w:color w:val="auto"/>
              </w:rPr>
            </w:pPr>
            <w:r>
              <w:rPr>
                <w:color w:val="auto"/>
              </w:rPr>
              <w:t xml:space="preserve">常年静风频率37% </w:t>
            </w:r>
          </w:p>
          <w:p>
            <w:pPr>
              <w:adjustRightInd w:val="0"/>
              <w:snapToGrid w:val="0"/>
              <w:spacing w:line="360" w:lineRule="auto"/>
              <w:ind w:firstLine="480" w:firstLineChars="200"/>
              <w:jc w:val="left"/>
              <w:rPr>
                <w:rFonts w:eastAsia="黑体"/>
                <w:color w:val="auto"/>
              </w:rPr>
            </w:pPr>
            <w:r>
              <w:rPr>
                <w:rFonts w:eastAsia="黑体"/>
                <w:color w:val="auto"/>
              </w:rPr>
              <w:t>4.水文特征</w:t>
            </w:r>
          </w:p>
          <w:p>
            <w:pPr>
              <w:adjustRightInd w:val="0"/>
              <w:snapToGrid w:val="0"/>
              <w:spacing w:line="360" w:lineRule="auto"/>
              <w:ind w:firstLine="480" w:firstLineChars="200"/>
              <w:rPr>
                <w:color w:val="auto"/>
                <w:shd w:val="clear" w:color="auto" w:fill="FFFFFF"/>
              </w:rPr>
            </w:pPr>
            <w:r>
              <w:rPr>
                <w:color w:val="auto"/>
                <w:shd w:val="clear" w:color="auto" w:fill="FFFFFF"/>
              </w:rPr>
              <w:t>峨边彝族自治县河流均属大渡河水系，全县有大小河流42条，其中官料河、长滩河、西河、白沙河等河流流域面积大，流域内植被良好、水量丰沛，径流稳定，河床落差大。</w:t>
            </w:r>
          </w:p>
          <w:p>
            <w:pPr>
              <w:adjustRightInd w:val="0"/>
              <w:snapToGrid w:val="0"/>
              <w:spacing w:line="360" w:lineRule="auto"/>
              <w:ind w:firstLine="480" w:firstLineChars="200"/>
              <w:rPr>
                <w:color w:val="auto"/>
                <w:shd w:val="clear" w:color="auto" w:fill="FFFFFF"/>
              </w:rPr>
            </w:pPr>
            <w:r>
              <w:rPr>
                <w:color w:val="auto"/>
              </w:rPr>
              <w:t>官料河</w:t>
            </w:r>
            <w:r>
              <w:rPr>
                <w:color w:val="auto"/>
                <w:shd w:val="clear" w:color="auto" w:fill="FFFFFF"/>
              </w:rPr>
              <w:t>：</w:t>
            </w:r>
            <w:r>
              <w:rPr>
                <w:color w:val="auto"/>
              </w:rPr>
              <w:t>官料河是大渡河中游右岸一级支流，地理坐标东经102°50'~103°10'；北纬28°40'~29°15'之间。发源于马鞍山脉，由西南向东北流经勒乌、金岩、杨|树等乡镇，在峨边县城上游5km处汇入大渡河，流域面积1380km</w:t>
            </w:r>
            <w:r>
              <w:rPr>
                <w:color w:val="auto"/>
                <w:vertAlign w:val="superscript"/>
              </w:rPr>
              <w:t>2</w:t>
            </w:r>
            <w:r>
              <w:rPr>
                <w:color w:val="auto"/>
              </w:rPr>
              <w:t>，多年平均流量51.20m</w:t>
            </w:r>
            <w:r>
              <w:rPr>
                <w:color w:val="auto"/>
                <w:vertAlign w:val="superscript"/>
              </w:rPr>
              <w:t>3</w:t>
            </w:r>
            <w:r>
              <w:rPr>
                <w:color w:val="auto"/>
              </w:rPr>
              <w:t>/s，干流河长929km，河床平均坡降28.9‰。流域地处四川盆地西部小凉山地区，分水岭高程一般在1400~4000m之间，地势由南向北倾斜。分水岭南面是美姑河，东西两侧分别是马边河、白沙河与牛日河、共安河及其支流。流域呈纺锤形，东西宽约20km，南北长约70km，河流发育，分布呈树枝状</w:t>
            </w:r>
            <w:r>
              <w:rPr>
                <w:color w:val="auto"/>
                <w:shd w:val="clear" w:color="auto" w:fill="FFFFFF"/>
              </w:rPr>
              <w:t>。</w:t>
            </w:r>
          </w:p>
          <w:p>
            <w:pPr>
              <w:pStyle w:val="14"/>
              <w:adjustRightInd w:val="0"/>
              <w:snapToGrid w:val="0"/>
              <w:spacing w:line="360" w:lineRule="auto"/>
              <w:ind w:firstLine="480" w:firstLineChars="200"/>
              <w:rPr>
                <w:rFonts w:ascii="Times New Roman" w:hAnsi="Times New Roman" w:eastAsia="黑体"/>
                <w:color w:val="auto"/>
              </w:rPr>
            </w:pPr>
            <w:r>
              <w:rPr>
                <w:rFonts w:ascii="Times New Roman" w:hAnsi="Times New Roman" w:eastAsia="黑体"/>
                <w:color w:val="auto"/>
              </w:rPr>
              <w:t>5.矿产资源</w:t>
            </w:r>
          </w:p>
          <w:p>
            <w:pPr>
              <w:adjustRightInd w:val="0"/>
              <w:snapToGrid w:val="0"/>
              <w:spacing w:line="360" w:lineRule="auto"/>
              <w:ind w:firstLine="480" w:firstLineChars="200"/>
              <w:rPr>
                <w:color w:val="auto"/>
                <w:shd w:val="clear" w:color="auto" w:fill="FFFFFF"/>
              </w:rPr>
            </w:pPr>
            <w:r>
              <w:rPr>
                <w:color w:val="auto"/>
                <w:shd w:val="clear" w:color="auto" w:fill="FFFFFF"/>
              </w:rPr>
              <w:t>峨边彝族自治县境内已发现矿产种类有：可燃有机岩、黑色金属、有色金属、贵金属、非金属和食用微墨元素补充剂六大类，主要矿种有：煤、铁、铜、铅、锌、铝、砂、金、硬质耐火粘土、熔剂石灰岩、硫铁、重晶石、磷块岩、伊利石、水泥原料石灰岩、钾长石、脉石英、石膏、石棉、水晶、大理岩、花岗岩、方解石、石墨、玄武岩、砖瓦粘土及饮用矿泉水和医疗温泉等28个矿种。</w:t>
            </w:r>
          </w:p>
          <w:p>
            <w:pPr>
              <w:pStyle w:val="14"/>
              <w:adjustRightInd w:val="0"/>
              <w:snapToGrid w:val="0"/>
              <w:spacing w:line="360" w:lineRule="auto"/>
              <w:ind w:firstLine="480" w:firstLineChars="200"/>
              <w:rPr>
                <w:rFonts w:ascii="Times New Roman" w:hAnsi="Times New Roman" w:eastAsia="黑体"/>
                <w:color w:val="auto"/>
              </w:rPr>
            </w:pPr>
            <w:r>
              <w:rPr>
                <w:rFonts w:ascii="Times New Roman" w:hAnsi="Times New Roman" w:eastAsia="黑体"/>
                <w:color w:val="auto"/>
              </w:rPr>
              <w:t>6.旅游资源</w:t>
            </w:r>
          </w:p>
          <w:p>
            <w:pPr>
              <w:adjustRightInd w:val="0"/>
              <w:snapToGrid w:val="0"/>
              <w:spacing w:line="360" w:lineRule="auto"/>
              <w:ind w:firstLine="480" w:firstLineChars="200"/>
              <w:rPr>
                <w:color w:val="auto"/>
                <w:shd w:val="clear" w:color="auto" w:fill="FFFFFF"/>
              </w:rPr>
            </w:pPr>
            <w:r>
              <w:rPr>
                <w:color w:val="auto"/>
                <w:shd w:val="clear" w:color="auto" w:fill="FFFFFF"/>
              </w:rPr>
              <w:t>省级自然保护区黑竹沟森林公园坐落在黑竹沟和马鞍山主峰地带以及巴溪沟和母举沟地区。森林公园范围包括川南林业局的611、616林场全部、614林场部分。地理坐标为东经102º54ˊ～103º11ˊ，北纬28º50ˊ～29º05ˊ。公园南北长27km，东西宽26km，总面积281.542km</w:t>
            </w:r>
            <w:r>
              <w:rPr>
                <w:color w:val="auto"/>
                <w:shd w:val="clear" w:color="auto" w:fill="FFFFFF"/>
                <w:vertAlign w:val="superscript"/>
              </w:rPr>
              <w:t>2</w:t>
            </w:r>
            <w:r>
              <w:rPr>
                <w:color w:val="auto"/>
                <w:shd w:val="clear" w:color="auto" w:fill="FFFFFF"/>
              </w:rPr>
              <w:t>。</w:t>
            </w:r>
          </w:p>
          <w:p>
            <w:pPr>
              <w:adjustRightInd w:val="0"/>
              <w:snapToGrid w:val="0"/>
              <w:spacing w:line="360" w:lineRule="auto"/>
              <w:ind w:firstLine="480" w:firstLineChars="200"/>
              <w:rPr>
                <w:color w:val="auto"/>
                <w:shd w:val="clear" w:color="auto" w:fill="FFFFFF"/>
              </w:rPr>
            </w:pPr>
            <w:r>
              <w:rPr>
                <w:color w:val="auto"/>
                <w:shd w:val="clear" w:color="auto" w:fill="FFFFFF"/>
              </w:rPr>
              <w:t>黑竹沟森林公园以浩瀚古朴的原始森林、丰富多姿的植物群落、种类繁多的珍稀物种、奇险幽邃的潭瀑急流、峰峦叠嶂的高山峡谷以及峰林熔岩、湖泊海子、杜鹃花海、云海佛光等自然景观主题，可成为猎奇探险、登山揽胜、休闲度假、避暑疗养、科考探险、科普教育的“山、水、林、天象、珍惜物种”兼容的大型多功能国家级森林公园。划分为黑竹沟探谜揽胜区、金字塔旅游观光区和杜鹃池度假休闲区等3个游览区。</w:t>
            </w:r>
          </w:p>
          <w:p>
            <w:pPr>
              <w:adjustRightInd w:val="0"/>
              <w:snapToGrid w:val="0"/>
              <w:spacing w:line="360" w:lineRule="auto"/>
              <w:ind w:firstLine="480" w:firstLineChars="200"/>
              <w:rPr>
                <w:color w:val="auto"/>
                <w:shd w:val="clear" w:color="auto" w:fill="FFFFFF"/>
              </w:rPr>
            </w:pPr>
            <w:r>
              <w:rPr>
                <w:color w:val="auto"/>
                <w:shd w:val="clear" w:color="auto" w:fill="FFFFFF"/>
              </w:rPr>
              <w:t>峨边县乡村旅游资源丰富，类型多样，且极富地方特色。乡村区域的自然生态环境和乡间农、林、牧、副、渔、手工业等各类生产活动、村野风光、村寨文化、地方民族、乡村习俗等都可作为乡村旅游吸引物，大体上分为自然景观资源和人文景观资源两类。自然景观资源包括农田景观、多种类型经济果林景观、河流水面景观和温泉景观，以生态乡村为特色的黑竹沟地区和以滨河乡村为优势的大渡河、官料河沿岸地区最具代表性。峨边县因其特殊的地理位置自古以来就是彝汉等民族文化交流、商贸往来的前沿，其人文景观资源富集且独特，既有富于人文魅力的彝族村寨、建筑风格，也有丰富多彩的彝族年节、火把节、毕摩文化节、毕摩诵经、摔跤赛、情歌对唱、舞蹈演出等民族文化艺术活动，还有坨坨肉、香肠、射地、烤小猪、苏里玛酒等美味佳酿和做工细腻、样式考究的彝族手工制品等。峨边县人文景观资源以“黑、红、黄”最具代表性，黑色的土地，让彝族人民爱之倍深，倾力创造；红色的火焰，展示了彝族人民对于光明的向往；黄色的收获，更是让彝族人民感恩皇天后土，放声歌唱。</w:t>
            </w:r>
          </w:p>
          <w:p>
            <w:pPr>
              <w:adjustRightInd w:val="0"/>
              <w:snapToGrid w:val="0"/>
              <w:spacing w:line="360" w:lineRule="auto"/>
              <w:ind w:firstLine="480" w:firstLineChars="200"/>
              <w:rPr>
                <w:color w:val="auto"/>
                <w:shd w:val="clear" w:color="auto" w:fill="FFFFFF"/>
              </w:rPr>
            </w:pPr>
            <w:r>
              <w:rPr>
                <w:color w:val="auto"/>
                <w:shd w:val="clear" w:color="auto" w:fill="FFFFFF"/>
              </w:rPr>
              <w:t>类型多样的自然生态、彝族文化、魅力乡村和温泉等乡村旅游资源，为峨边乡村旅游的发展提供了很好的基础。</w:t>
            </w:r>
          </w:p>
          <w:p>
            <w:pPr>
              <w:spacing w:line="360" w:lineRule="auto"/>
              <w:ind w:firstLine="482" w:firstLineChars="200"/>
              <w:rPr>
                <w:b/>
                <w:bCs/>
                <w:color w:val="auto"/>
              </w:rPr>
            </w:pPr>
            <w:r>
              <w:rPr>
                <w:b/>
                <w:bCs/>
                <w:color w:val="auto"/>
              </w:rPr>
              <w:t>本项目建设区域内无国家珍稀动植物和需要特别保护的动植物。本项目不涉及文物保护单位，不涉及风景名胜区、自然保护区、饮用水源保护区等。</w:t>
            </w:r>
          </w:p>
          <w:p>
            <w:pPr>
              <w:tabs>
                <w:tab w:val="left" w:pos="4365"/>
              </w:tabs>
              <w:spacing w:line="360" w:lineRule="auto"/>
              <w:rPr>
                <w:color w:val="auto"/>
                <w:lang/>
              </w:rPr>
            </w:pPr>
          </w:p>
        </w:tc>
      </w:tr>
    </w:tbl>
    <w:p>
      <w:pPr>
        <w:outlineLvl w:val="0"/>
        <w:rPr>
          <w:rFonts w:eastAsia="黑体"/>
          <w:color w:val="auto"/>
          <w:sz w:val="32"/>
          <w:szCs w:val="32"/>
        </w:rPr>
      </w:pPr>
      <w:r>
        <w:rPr>
          <w:b/>
          <w:color w:val="auto"/>
          <w:sz w:val="32"/>
          <w:szCs w:val="32"/>
        </w:rPr>
        <w:br w:type="page"/>
      </w:r>
      <w:r>
        <w:rPr>
          <w:rFonts w:eastAsia="黑体"/>
          <w:color w:val="auto"/>
          <w:sz w:val="32"/>
          <w:szCs w:val="32"/>
        </w:rPr>
        <w:t>环境质量现状                                     （表三）</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2604" w:hRule="atLeast"/>
          <w:jc w:val="center"/>
        </w:trPr>
        <w:tc>
          <w:tcPr>
            <w:tcW w:w="9286" w:type="dxa"/>
            <w:noWrap w:val="0"/>
            <w:vAlign w:val="top"/>
          </w:tcPr>
          <w:p>
            <w:pPr>
              <w:adjustRightInd w:val="0"/>
              <w:snapToGrid w:val="0"/>
              <w:spacing w:before="163" w:beforeLines="50" w:line="360" w:lineRule="auto"/>
              <w:rPr>
                <w:b/>
                <w:color w:val="auto"/>
                <w:sz w:val="28"/>
                <w:szCs w:val="28"/>
              </w:rPr>
            </w:pPr>
            <w:r>
              <w:rPr>
                <w:rFonts w:eastAsia="黑体"/>
                <w:bCs/>
                <w:color w:val="auto"/>
                <w:sz w:val="28"/>
                <w:szCs w:val="28"/>
              </w:rPr>
              <w:t>建设项目所在地区域环境质量现状及主要环境问题(环境空气、地表水、地下水、声环境等)</w:t>
            </w:r>
          </w:p>
          <w:p>
            <w:pPr>
              <w:adjustRightInd w:val="0"/>
              <w:snapToGrid w:val="0"/>
              <w:spacing w:line="360" w:lineRule="auto"/>
              <w:ind w:firstLine="480" w:firstLineChars="200"/>
              <w:rPr>
                <w:color w:val="auto"/>
              </w:rPr>
            </w:pPr>
            <w:r>
              <w:rPr>
                <w:color w:val="auto"/>
              </w:rPr>
              <w:t>为掌握建设项目所在地的环境质量状况，委托四川福德昌环保科技有限公司于2020年10月24日至30日对项目所在地区域大气环境、地表水环境、声环境、地下水环境质量进行了现状监测（福环检字（2020）第0458号）评价分析结果如下所述：</w:t>
            </w:r>
          </w:p>
          <w:p>
            <w:pPr>
              <w:pStyle w:val="8"/>
              <w:adjustRightInd w:val="0"/>
              <w:snapToGrid w:val="0"/>
              <w:ind w:firstLine="560" w:firstLineChars="200"/>
              <w:rPr>
                <w:rFonts w:ascii="Times New Roman" w:hAnsi="Times New Roman" w:eastAsia="宋体"/>
                <w:bCs/>
                <w:color w:val="auto"/>
                <w:szCs w:val="28"/>
              </w:rPr>
            </w:pPr>
            <w:r>
              <w:rPr>
                <w:rFonts w:ascii="Times New Roman" w:hAnsi="Times New Roman" w:eastAsia="黑体"/>
                <w:bCs/>
                <w:color w:val="auto"/>
                <w:szCs w:val="28"/>
              </w:rPr>
              <w:t>一、空气环境质量现状监测及评价</w:t>
            </w:r>
          </w:p>
          <w:p>
            <w:pPr>
              <w:adjustRightInd w:val="0"/>
              <w:spacing w:line="360" w:lineRule="auto"/>
              <w:ind w:firstLine="480"/>
              <w:rPr>
                <w:color w:val="auto"/>
                <w:kern w:val="0"/>
              </w:rPr>
            </w:pPr>
            <w:r>
              <w:rPr>
                <w:b/>
                <w:bCs/>
                <w:color w:val="auto"/>
                <w:kern w:val="0"/>
              </w:rPr>
              <w:t>1、基本污染物的环境质量现状</w:t>
            </w:r>
          </w:p>
          <w:p>
            <w:pPr>
              <w:adjustRightInd w:val="0"/>
              <w:snapToGrid w:val="0"/>
              <w:spacing w:line="360" w:lineRule="auto"/>
              <w:ind w:firstLine="480" w:firstLineChars="200"/>
              <w:rPr>
                <w:color w:val="auto"/>
              </w:rPr>
            </w:pPr>
            <w:r>
              <w:rPr>
                <w:color w:val="auto"/>
              </w:rPr>
              <w:t>根据《环境影响评价技术导则大气环境》（HJ2.2-2018），环境空气质量现状调查与评价中规定，项目所在区域达标判定，优先采用国家或地方生态环境主管部门公开发布的评价基准年环境质量公告或环境质量报告中的数据或结论。采用评价范围内国家或地方环境空气监测网中评价基准年连续一年的监测数据，或采用生态环境主管部门公开发布的环境空气质量现状数据。</w:t>
            </w:r>
          </w:p>
          <w:p>
            <w:pPr>
              <w:adjustRightInd w:val="0"/>
              <w:snapToGrid w:val="0"/>
              <w:spacing w:line="360" w:lineRule="auto"/>
              <w:ind w:firstLine="480"/>
              <w:rPr>
                <w:color w:val="auto"/>
              </w:rPr>
            </w:pPr>
            <w:r>
              <w:rPr>
                <w:color w:val="auto"/>
              </w:rPr>
              <w:t>本项目位于乐山市峨边彝族自治县宜坪乡桐花村，项目所在区域属于二类环境空气功能区。因此，环境空气质量现状采用《环境空气质量标准》（GB3095-2012）中的二级标准，根据《2019年乐山市环境质量公报》，乐山市环境空气质量主要指标见下表。</w:t>
            </w:r>
          </w:p>
          <w:p>
            <w:pPr>
              <w:pStyle w:val="13"/>
              <w:spacing w:line="240" w:lineRule="auto"/>
              <w:ind w:firstLine="0" w:firstLineChars="0"/>
              <w:jc w:val="center"/>
              <w:rPr>
                <w:rFonts w:eastAsia="黑体"/>
                <w:color w:val="auto"/>
                <w:sz w:val="24"/>
              </w:rPr>
            </w:pPr>
            <w:r>
              <w:rPr>
                <w:rFonts w:eastAsia="黑体"/>
                <w:color w:val="auto"/>
                <w:sz w:val="24"/>
              </w:rPr>
              <w:t>表3-1  2019年乐山市环境空气质量主要指标</w:t>
            </w:r>
          </w:p>
          <w:p>
            <w:pPr>
              <w:pStyle w:val="13"/>
              <w:spacing w:line="240" w:lineRule="auto"/>
              <w:ind w:firstLine="0" w:firstLineChars="0"/>
              <w:jc w:val="right"/>
              <w:rPr>
                <w:rFonts w:eastAsia="黑体"/>
                <w:color w:val="auto"/>
                <w:sz w:val="24"/>
              </w:rPr>
            </w:pPr>
            <w:r>
              <w:rPr>
                <w:rFonts w:eastAsia="黑体"/>
                <w:color w:val="auto"/>
                <w:sz w:val="21"/>
                <w:szCs w:val="21"/>
              </w:rPr>
              <w:t>单位：µg/m</w:t>
            </w:r>
            <w:r>
              <w:rPr>
                <w:rFonts w:eastAsia="黑体"/>
                <w:color w:val="auto"/>
                <w:sz w:val="21"/>
                <w:szCs w:val="21"/>
                <w:vertAlign w:val="superscript"/>
              </w:rPr>
              <w:t>3</w:t>
            </w:r>
            <w:r>
              <w:rPr>
                <w:rFonts w:eastAsia="黑体"/>
                <w:color w:val="auto"/>
                <w:sz w:val="21"/>
                <w:szCs w:val="21"/>
              </w:rPr>
              <w:t>，CO：mg/m</w:t>
            </w:r>
            <w:r>
              <w:rPr>
                <w:rFonts w:eastAsia="黑体"/>
                <w:color w:val="auto"/>
                <w:sz w:val="21"/>
                <w:szCs w:val="21"/>
                <w:vertAlign w:val="superscript"/>
              </w:rPr>
              <w:t>3</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291"/>
              <w:gridCol w:w="1293"/>
              <w:gridCol w:w="1293"/>
              <w:gridCol w:w="1293"/>
              <w:gridCol w:w="1293"/>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noWrap w:val="0"/>
                  <w:vAlign w:val="top"/>
                </w:tcPr>
                <w:p>
                  <w:pPr>
                    <w:adjustRightInd w:val="0"/>
                    <w:snapToGrid w:val="0"/>
                    <w:jc w:val="center"/>
                    <w:rPr>
                      <w:b/>
                      <w:bCs/>
                      <w:color w:val="auto"/>
                      <w:sz w:val="21"/>
                      <w:szCs w:val="21"/>
                    </w:rPr>
                  </w:pPr>
                  <w:r>
                    <w:rPr>
                      <w:b/>
                      <w:bCs/>
                      <w:color w:val="auto"/>
                      <w:sz w:val="21"/>
                      <w:szCs w:val="21"/>
                    </w:rPr>
                    <w:t>指标</w:t>
                  </w:r>
                </w:p>
              </w:tc>
              <w:tc>
                <w:tcPr>
                  <w:tcW w:w="1291" w:type="dxa"/>
                  <w:noWrap w:val="0"/>
                  <w:vAlign w:val="top"/>
                </w:tcPr>
                <w:p>
                  <w:pPr>
                    <w:adjustRightInd w:val="0"/>
                    <w:snapToGrid w:val="0"/>
                    <w:jc w:val="center"/>
                    <w:rPr>
                      <w:b/>
                      <w:bCs/>
                      <w:color w:val="auto"/>
                      <w:sz w:val="21"/>
                      <w:szCs w:val="21"/>
                    </w:rPr>
                  </w:pPr>
                  <w:r>
                    <w:rPr>
                      <w:b/>
                      <w:bCs/>
                      <w:color w:val="auto"/>
                      <w:sz w:val="21"/>
                      <w:szCs w:val="21"/>
                    </w:rPr>
                    <w:t>SO</w:t>
                  </w:r>
                  <w:r>
                    <w:rPr>
                      <w:b/>
                      <w:bCs/>
                      <w:color w:val="auto"/>
                      <w:sz w:val="21"/>
                      <w:szCs w:val="21"/>
                      <w:vertAlign w:val="subscript"/>
                    </w:rPr>
                    <w:t>2</w:t>
                  </w:r>
                </w:p>
              </w:tc>
              <w:tc>
                <w:tcPr>
                  <w:tcW w:w="1293" w:type="dxa"/>
                  <w:noWrap w:val="0"/>
                  <w:vAlign w:val="top"/>
                </w:tcPr>
                <w:p>
                  <w:pPr>
                    <w:adjustRightInd w:val="0"/>
                    <w:snapToGrid w:val="0"/>
                    <w:jc w:val="center"/>
                    <w:rPr>
                      <w:b/>
                      <w:bCs/>
                      <w:color w:val="auto"/>
                      <w:sz w:val="21"/>
                      <w:szCs w:val="21"/>
                    </w:rPr>
                  </w:pPr>
                  <w:r>
                    <w:rPr>
                      <w:b/>
                      <w:bCs/>
                      <w:color w:val="auto"/>
                      <w:sz w:val="21"/>
                      <w:szCs w:val="21"/>
                    </w:rPr>
                    <w:t>NO</w:t>
                  </w:r>
                  <w:r>
                    <w:rPr>
                      <w:b/>
                      <w:bCs/>
                      <w:color w:val="auto"/>
                      <w:sz w:val="21"/>
                      <w:szCs w:val="21"/>
                      <w:vertAlign w:val="subscript"/>
                    </w:rPr>
                    <w:t>2</w:t>
                  </w:r>
                </w:p>
              </w:tc>
              <w:tc>
                <w:tcPr>
                  <w:tcW w:w="1293" w:type="dxa"/>
                  <w:noWrap w:val="0"/>
                  <w:vAlign w:val="top"/>
                </w:tcPr>
                <w:p>
                  <w:pPr>
                    <w:adjustRightInd w:val="0"/>
                    <w:snapToGrid w:val="0"/>
                    <w:jc w:val="center"/>
                    <w:rPr>
                      <w:b/>
                      <w:bCs/>
                      <w:color w:val="auto"/>
                      <w:sz w:val="21"/>
                      <w:szCs w:val="21"/>
                    </w:rPr>
                  </w:pPr>
                  <w:r>
                    <w:rPr>
                      <w:b/>
                      <w:bCs/>
                      <w:color w:val="auto"/>
                      <w:sz w:val="21"/>
                      <w:szCs w:val="21"/>
                    </w:rPr>
                    <w:t>CO</w:t>
                  </w:r>
                </w:p>
              </w:tc>
              <w:tc>
                <w:tcPr>
                  <w:tcW w:w="1293" w:type="dxa"/>
                  <w:noWrap w:val="0"/>
                  <w:vAlign w:val="top"/>
                </w:tcPr>
                <w:p>
                  <w:pPr>
                    <w:adjustRightInd w:val="0"/>
                    <w:snapToGrid w:val="0"/>
                    <w:jc w:val="center"/>
                    <w:rPr>
                      <w:b/>
                      <w:bCs/>
                      <w:color w:val="auto"/>
                      <w:sz w:val="21"/>
                      <w:szCs w:val="21"/>
                    </w:rPr>
                  </w:pPr>
                  <w:r>
                    <w:rPr>
                      <w:b/>
                      <w:bCs/>
                      <w:color w:val="auto"/>
                      <w:sz w:val="21"/>
                      <w:szCs w:val="21"/>
                    </w:rPr>
                    <w:t>O</w:t>
                  </w:r>
                  <w:r>
                    <w:rPr>
                      <w:b/>
                      <w:bCs/>
                      <w:color w:val="auto"/>
                      <w:sz w:val="21"/>
                      <w:szCs w:val="21"/>
                      <w:vertAlign w:val="subscript"/>
                    </w:rPr>
                    <w:t>3</w:t>
                  </w:r>
                </w:p>
              </w:tc>
              <w:tc>
                <w:tcPr>
                  <w:tcW w:w="1293" w:type="dxa"/>
                  <w:noWrap w:val="0"/>
                  <w:vAlign w:val="top"/>
                </w:tcPr>
                <w:p>
                  <w:pPr>
                    <w:adjustRightInd w:val="0"/>
                    <w:snapToGrid w:val="0"/>
                    <w:jc w:val="center"/>
                    <w:rPr>
                      <w:b/>
                      <w:bCs/>
                      <w:color w:val="auto"/>
                      <w:sz w:val="21"/>
                      <w:szCs w:val="21"/>
                    </w:rPr>
                  </w:pPr>
                  <w:r>
                    <w:rPr>
                      <w:b/>
                      <w:bCs/>
                      <w:color w:val="auto"/>
                      <w:sz w:val="21"/>
                      <w:szCs w:val="21"/>
                    </w:rPr>
                    <w:t>PM</w:t>
                  </w:r>
                  <w:r>
                    <w:rPr>
                      <w:b/>
                      <w:bCs/>
                      <w:color w:val="auto"/>
                      <w:sz w:val="21"/>
                      <w:szCs w:val="21"/>
                      <w:vertAlign w:val="subscript"/>
                    </w:rPr>
                    <w:t>2.5</w:t>
                  </w:r>
                </w:p>
              </w:tc>
              <w:tc>
                <w:tcPr>
                  <w:tcW w:w="1299" w:type="dxa"/>
                  <w:noWrap w:val="0"/>
                  <w:vAlign w:val="top"/>
                </w:tcPr>
                <w:p>
                  <w:pPr>
                    <w:adjustRightInd w:val="0"/>
                    <w:snapToGrid w:val="0"/>
                    <w:jc w:val="center"/>
                    <w:rPr>
                      <w:b/>
                      <w:bCs/>
                      <w:color w:val="auto"/>
                      <w:sz w:val="21"/>
                      <w:szCs w:val="21"/>
                    </w:rPr>
                  </w:pPr>
                  <w:r>
                    <w:rPr>
                      <w:b/>
                      <w:bCs/>
                      <w:color w:val="auto"/>
                      <w:sz w:val="21"/>
                      <w:szCs w:val="21"/>
                    </w:rPr>
                    <w:t>PM</w:t>
                  </w:r>
                  <w:r>
                    <w:rPr>
                      <w:b/>
                      <w:bCs/>
                      <w:color w:val="auto"/>
                      <w:sz w:val="21"/>
                      <w:szCs w:val="21"/>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noWrap w:val="0"/>
                  <w:vAlign w:val="top"/>
                </w:tcPr>
                <w:p>
                  <w:pPr>
                    <w:adjustRightInd w:val="0"/>
                    <w:snapToGrid w:val="0"/>
                    <w:jc w:val="center"/>
                    <w:rPr>
                      <w:color w:val="auto"/>
                      <w:sz w:val="21"/>
                      <w:szCs w:val="21"/>
                    </w:rPr>
                  </w:pPr>
                  <w:r>
                    <w:rPr>
                      <w:color w:val="auto"/>
                      <w:sz w:val="21"/>
                      <w:szCs w:val="21"/>
                    </w:rPr>
                    <w:t>乐山市</w:t>
                  </w:r>
                </w:p>
              </w:tc>
              <w:tc>
                <w:tcPr>
                  <w:tcW w:w="1291" w:type="dxa"/>
                  <w:noWrap w:val="0"/>
                  <w:vAlign w:val="top"/>
                </w:tcPr>
                <w:p>
                  <w:pPr>
                    <w:adjustRightInd w:val="0"/>
                    <w:snapToGrid w:val="0"/>
                    <w:jc w:val="center"/>
                    <w:rPr>
                      <w:color w:val="auto"/>
                      <w:sz w:val="21"/>
                      <w:szCs w:val="21"/>
                    </w:rPr>
                  </w:pPr>
                  <w:r>
                    <w:rPr>
                      <w:color w:val="auto"/>
                      <w:sz w:val="21"/>
                      <w:szCs w:val="21"/>
                    </w:rPr>
                    <w:t>12.9</w:t>
                  </w:r>
                </w:p>
              </w:tc>
              <w:tc>
                <w:tcPr>
                  <w:tcW w:w="1293" w:type="dxa"/>
                  <w:noWrap w:val="0"/>
                  <w:vAlign w:val="top"/>
                </w:tcPr>
                <w:p>
                  <w:pPr>
                    <w:adjustRightInd w:val="0"/>
                    <w:snapToGrid w:val="0"/>
                    <w:jc w:val="center"/>
                    <w:rPr>
                      <w:color w:val="auto"/>
                      <w:sz w:val="21"/>
                      <w:szCs w:val="21"/>
                    </w:rPr>
                  </w:pPr>
                  <w:r>
                    <w:rPr>
                      <w:color w:val="auto"/>
                      <w:sz w:val="21"/>
                      <w:szCs w:val="21"/>
                    </w:rPr>
                    <w:t>24</w:t>
                  </w:r>
                </w:p>
              </w:tc>
              <w:tc>
                <w:tcPr>
                  <w:tcW w:w="1293" w:type="dxa"/>
                  <w:noWrap w:val="0"/>
                  <w:vAlign w:val="top"/>
                </w:tcPr>
                <w:p>
                  <w:pPr>
                    <w:adjustRightInd w:val="0"/>
                    <w:snapToGrid w:val="0"/>
                    <w:jc w:val="center"/>
                    <w:rPr>
                      <w:color w:val="auto"/>
                      <w:sz w:val="21"/>
                      <w:szCs w:val="21"/>
                    </w:rPr>
                  </w:pPr>
                  <w:r>
                    <w:rPr>
                      <w:color w:val="auto"/>
                      <w:sz w:val="21"/>
                      <w:szCs w:val="21"/>
                    </w:rPr>
                    <w:t>1.4</w:t>
                  </w:r>
                </w:p>
              </w:tc>
              <w:tc>
                <w:tcPr>
                  <w:tcW w:w="1293" w:type="dxa"/>
                  <w:noWrap w:val="0"/>
                  <w:vAlign w:val="top"/>
                </w:tcPr>
                <w:p>
                  <w:pPr>
                    <w:adjustRightInd w:val="0"/>
                    <w:snapToGrid w:val="0"/>
                    <w:jc w:val="center"/>
                    <w:rPr>
                      <w:color w:val="auto"/>
                      <w:sz w:val="21"/>
                      <w:szCs w:val="21"/>
                    </w:rPr>
                  </w:pPr>
                  <w:r>
                    <w:rPr>
                      <w:color w:val="auto"/>
                      <w:sz w:val="21"/>
                      <w:szCs w:val="21"/>
                    </w:rPr>
                    <w:t>121.4</w:t>
                  </w:r>
                </w:p>
              </w:tc>
              <w:tc>
                <w:tcPr>
                  <w:tcW w:w="1293" w:type="dxa"/>
                  <w:noWrap w:val="0"/>
                  <w:vAlign w:val="top"/>
                </w:tcPr>
                <w:p>
                  <w:pPr>
                    <w:adjustRightInd w:val="0"/>
                    <w:snapToGrid w:val="0"/>
                    <w:jc w:val="center"/>
                    <w:rPr>
                      <w:color w:val="auto"/>
                      <w:sz w:val="21"/>
                      <w:szCs w:val="21"/>
                    </w:rPr>
                  </w:pPr>
                  <w:r>
                    <w:rPr>
                      <w:color w:val="auto"/>
                      <w:sz w:val="21"/>
                      <w:szCs w:val="21"/>
                    </w:rPr>
                    <w:t>39.1</w:t>
                  </w:r>
                </w:p>
              </w:tc>
              <w:tc>
                <w:tcPr>
                  <w:tcW w:w="1299" w:type="dxa"/>
                  <w:noWrap w:val="0"/>
                  <w:vAlign w:val="top"/>
                </w:tcPr>
                <w:p>
                  <w:pPr>
                    <w:adjustRightInd w:val="0"/>
                    <w:snapToGrid w:val="0"/>
                    <w:jc w:val="center"/>
                    <w:rPr>
                      <w:color w:val="auto"/>
                      <w:sz w:val="21"/>
                      <w:szCs w:val="21"/>
                    </w:rPr>
                  </w:pPr>
                  <w:r>
                    <w:rPr>
                      <w:color w:val="auto"/>
                      <w:sz w:val="21"/>
                      <w:szCs w:val="21"/>
                    </w:rPr>
                    <w:t>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noWrap w:val="0"/>
                  <w:vAlign w:val="top"/>
                </w:tcPr>
                <w:p>
                  <w:pPr>
                    <w:adjustRightInd w:val="0"/>
                    <w:snapToGrid w:val="0"/>
                    <w:jc w:val="center"/>
                    <w:rPr>
                      <w:color w:val="auto"/>
                      <w:sz w:val="21"/>
                      <w:szCs w:val="21"/>
                    </w:rPr>
                  </w:pPr>
                  <w:r>
                    <w:rPr>
                      <w:color w:val="auto"/>
                      <w:sz w:val="21"/>
                      <w:szCs w:val="21"/>
                    </w:rPr>
                    <w:t>标准</w:t>
                  </w:r>
                </w:p>
              </w:tc>
              <w:tc>
                <w:tcPr>
                  <w:tcW w:w="1291" w:type="dxa"/>
                  <w:noWrap w:val="0"/>
                  <w:vAlign w:val="top"/>
                </w:tcPr>
                <w:p>
                  <w:pPr>
                    <w:adjustRightInd w:val="0"/>
                    <w:snapToGrid w:val="0"/>
                    <w:jc w:val="center"/>
                    <w:rPr>
                      <w:color w:val="auto"/>
                      <w:sz w:val="21"/>
                      <w:szCs w:val="21"/>
                    </w:rPr>
                  </w:pPr>
                  <w:r>
                    <w:rPr>
                      <w:color w:val="auto"/>
                      <w:sz w:val="21"/>
                      <w:szCs w:val="21"/>
                    </w:rPr>
                    <w:t>60</w:t>
                  </w:r>
                </w:p>
              </w:tc>
              <w:tc>
                <w:tcPr>
                  <w:tcW w:w="1293" w:type="dxa"/>
                  <w:noWrap w:val="0"/>
                  <w:vAlign w:val="top"/>
                </w:tcPr>
                <w:p>
                  <w:pPr>
                    <w:adjustRightInd w:val="0"/>
                    <w:snapToGrid w:val="0"/>
                    <w:jc w:val="center"/>
                    <w:rPr>
                      <w:color w:val="auto"/>
                      <w:sz w:val="21"/>
                      <w:szCs w:val="21"/>
                    </w:rPr>
                  </w:pPr>
                  <w:r>
                    <w:rPr>
                      <w:color w:val="auto"/>
                      <w:sz w:val="21"/>
                      <w:szCs w:val="21"/>
                    </w:rPr>
                    <w:t>40</w:t>
                  </w:r>
                </w:p>
              </w:tc>
              <w:tc>
                <w:tcPr>
                  <w:tcW w:w="1293" w:type="dxa"/>
                  <w:noWrap w:val="0"/>
                  <w:vAlign w:val="top"/>
                </w:tcPr>
                <w:p>
                  <w:pPr>
                    <w:adjustRightInd w:val="0"/>
                    <w:snapToGrid w:val="0"/>
                    <w:jc w:val="center"/>
                    <w:rPr>
                      <w:color w:val="auto"/>
                      <w:sz w:val="21"/>
                      <w:szCs w:val="21"/>
                    </w:rPr>
                  </w:pPr>
                  <w:r>
                    <w:rPr>
                      <w:color w:val="auto"/>
                      <w:sz w:val="21"/>
                      <w:szCs w:val="21"/>
                    </w:rPr>
                    <w:t>4</w:t>
                  </w:r>
                </w:p>
              </w:tc>
              <w:tc>
                <w:tcPr>
                  <w:tcW w:w="1293" w:type="dxa"/>
                  <w:noWrap w:val="0"/>
                  <w:vAlign w:val="top"/>
                </w:tcPr>
                <w:p>
                  <w:pPr>
                    <w:adjustRightInd w:val="0"/>
                    <w:snapToGrid w:val="0"/>
                    <w:jc w:val="center"/>
                    <w:rPr>
                      <w:color w:val="auto"/>
                      <w:sz w:val="21"/>
                      <w:szCs w:val="21"/>
                    </w:rPr>
                  </w:pPr>
                  <w:r>
                    <w:rPr>
                      <w:color w:val="auto"/>
                      <w:sz w:val="21"/>
                      <w:szCs w:val="21"/>
                    </w:rPr>
                    <w:t>160</w:t>
                  </w:r>
                </w:p>
              </w:tc>
              <w:tc>
                <w:tcPr>
                  <w:tcW w:w="1293" w:type="dxa"/>
                  <w:noWrap w:val="0"/>
                  <w:vAlign w:val="top"/>
                </w:tcPr>
                <w:p>
                  <w:pPr>
                    <w:adjustRightInd w:val="0"/>
                    <w:snapToGrid w:val="0"/>
                    <w:jc w:val="center"/>
                    <w:rPr>
                      <w:color w:val="auto"/>
                      <w:sz w:val="21"/>
                      <w:szCs w:val="21"/>
                    </w:rPr>
                  </w:pPr>
                  <w:r>
                    <w:rPr>
                      <w:color w:val="auto"/>
                      <w:sz w:val="21"/>
                      <w:szCs w:val="21"/>
                    </w:rPr>
                    <w:t>35</w:t>
                  </w:r>
                </w:p>
              </w:tc>
              <w:tc>
                <w:tcPr>
                  <w:tcW w:w="1299" w:type="dxa"/>
                  <w:noWrap w:val="0"/>
                  <w:vAlign w:val="top"/>
                </w:tcPr>
                <w:p>
                  <w:pPr>
                    <w:adjustRightInd w:val="0"/>
                    <w:snapToGrid w:val="0"/>
                    <w:jc w:val="center"/>
                    <w:rPr>
                      <w:color w:val="auto"/>
                      <w:sz w:val="21"/>
                      <w:szCs w:val="21"/>
                    </w:rPr>
                  </w:pPr>
                  <w:r>
                    <w:rPr>
                      <w:color w:val="auto"/>
                      <w:sz w:val="21"/>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5" w:type="dxa"/>
                  <w:gridSpan w:val="7"/>
                  <w:noWrap w:val="0"/>
                  <w:vAlign w:val="top"/>
                </w:tcPr>
                <w:p>
                  <w:pPr>
                    <w:adjustRightInd w:val="0"/>
                    <w:snapToGrid w:val="0"/>
                    <w:jc w:val="left"/>
                    <w:rPr>
                      <w:color w:val="auto"/>
                      <w:sz w:val="21"/>
                      <w:szCs w:val="21"/>
                    </w:rPr>
                  </w:pPr>
                  <w:r>
                    <w:rPr>
                      <w:color w:val="auto"/>
                      <w:sz w:val="21"/>
                      <w:szCs w:val="21"/>
                    </w:rPr>
                    <w:t>备注：一氧化碳为第95百分位浓度，臭氧为第90百分位浓度</w:t>
                  </w:r>
                </w:p>
              </w:tc>
            </w:tr>
          </w:tbl>
          <w:p>
            <w:pPr>
              <w:adjustRightInd w:val="0"/>
              <w:snapToGrid w:val="0"/>
              <w:spacing w:line="360" w:lineRule="auto"/>
              <w:ind w:firstLine="480" w:firstLineChars="200"/>
              <w:rPr>
                <w:color w:val="auto"/>
              </w:rPr>
            </w:pPr>
            <w:r>
              <w:rPr>
                <w:color w:val="auto"/>
              </w:rPr>
              <w:t>由上表统计结果可知，乐山市PM</w:t>
            </w:r>
            <w:r>
              <w:rPr>
                <w:color w:val="auto"/>
                <w:vertAlign w:val="subscript"/>
              </w:rPr>
              <w:t>2.5</w:t>
            </w:r>
            <w:r>
              <w:rPr>
                <w:color w:val="auto"/>
              </w:rPr>
              <w:t>出现超标，超标倍数分别为1.11倍，</w:t>
            </w:r>
            <w:r>
              <w:rPr>
                <w:b/>
                <w:color w:val="auto"/>
              </w:rPr>
              <w:t>项目所在区域为环境空气质量不达标区</w:t>
            </w:r>
            <w:r>
              <w:rPr>
                <w:color w:val="auto"/>
              </w:rPr>
              <w:t>。乐山市制定了乐山市大气环境质量限期达标规划（2016年-2025年），明确大气污染防治措施，力争在2025年底前实现空气质量全面达标。</w:t>
            </w:r>
          </w:p>
          <w:p>
            <w:pPr>
              <w:pStyle w:val="72"/>
              <w:snapToGrid w:val="0"/>
              <w:spacing w:line="360" w:lineRule="auto"/>
              <w:ind w:firstLine="482" w:firstLineChars="200"/>
              <w:jc w:val="both"/>
              <w:rPr>
                <w:rFonts w:ascii="Times New Roman" w:cs="Times New Roman"/>
                <w:b/>
                <w:bCs/>
                <w:color w:val="auto"/>
                <w:kern w:val="2"/>
              </w:rPr>
            </w:pPr>
            <w:r>
              <w:rPr>
                <w:rFonts w:hint="eastAsia" w:ascii="Times New Roman" w:cs="Times New Roman"/>
                <w:b/>
                <w:bCs/>
                <w:color w:val="auto"/>
                <w:kern w:val="2"/>
              </w:rPr>
              <w:t>（1）</w:t>
            </w:r>
            <w:r>
              <w:rPr>
                <w:rFonts w:ascii="Times New Roman" w:cs="Times New Roman"/>
                <w:b/>
                <w:bCs/>
                <w:color w:val="auto"/>
                <w:kern w:val="2"/>
              </w:rPr>
              <w:t>近期（2017-2020）——以减排促改善</w:t>
            </w:r>
          </w:p>
          <w:p>
            <w:pPr>
              <w:pStyle w:val="72"/>
              <w:snapToGrid w:val="0"/>
              <w:spacing w:line="360" w:lineRule="auto"/>
              <w:ind w:firstLine="480" w:firstLineChars="200"/>
              <w:jc w:val="both"/>
              <w:rPr>
                <w:rFonts w:ascii="Times New Roman" w:cs="Times New Roman"/>
                <w:color w:val="auto"/>
                <w:kern w:val="2"/>
              </w:rPr>
            </w:pPr>
            <w:r>
              <w:rPr>
                <w:rFonts w:ascii="Times New Roman" w:cs="Times New Roman"/>
                <w:color w:val="auto"/>
                <w:kern w:val="2"/>
              </w:rPr>
              <w:t>“十三五”期间，通过控煤、控车、控尘以及调工业布局、调产业结构、调能源结构和成都平原经济区、各县（市、区）、市级部门联动“三控三调三联动”，集中攻坚削减大气污染物排放总量。严格执行大气污染物排放限值标准，强力实施产业和能源结构调整、工业污染整治、燃煤和餐饮油烟整治、城市和道路扬尘整治、机动车污染整治、露天焚烧污染整治等六大专项行动，努力解决灰霾问题。针对当前乐山市产业以二产为主，末端治理水平有待提升的特点，近期乐山市空气质量达标措施以落后产能淘汰、重点行业企业末端治理为重要抓手，实现多污染物减排。大力实施煤改电、煤改气；以重点企业末端治理为抓手，提升水泥、钢铁、陶瓷、化工等重点行业污染物治理效率；通过淘汰黄标车、油品升级、机动车排放标准升级等综合管理措施，提升机动车综合管理水平；</w:t>
            </w:r>
          </w:p>
          <w:p>
            <w:pPr>
              <w:pStyle w:val="72"/>
              <w:snapToGrid w:val="0"/>
              <w:spacing w:line="360" w:lineRule="auto"/>
              <w:ind w:firstLine="480" w:firstLineChars="200"/>
              <w:jc w:val="both"/>
              <w:rPr>
                <w:rFonts w:ascii="Times New Roman" w:cs="Times New Roman"/>
                <w:color w:val="auto"/>
                <w:kern w:val="2"/>
              </w:rPr>
            </w:pPr>
            <w:r>
              <w:rPr>
                <w:rFonts w:ascii="Times New Roman" w:cs="Times New Roman"/>
                <w:color w:val="auto"/>
                <w:kern w:val="2"/>
              </w:rPr>
              <w:t>通过控制扬尘污染、控制秸秆露天焚烧、控制餐饮污染等手段深化面源治理。综合上述措施切实有效减少多种污染物排放量，初步实现环境空气质量改善。</w:t>
            </w:r>
          </w:p>
          <w:p>
            <w:pPr>
              <w:pStyle w:val="72"/>
              <w:snapToGrid w:val="0"/>
              <w:spacing w:line="360" w:lineRule="auto"/>
              <w:ind w:firstLine="482" w:firstLineChars="200"/>
              <w:jc w:val="both"/>
              <w:rPr>
                <w:rFonts w:ascii="Times New Roman" w:cs="Times New Roman"/>
                <w:b/>
                <w:bCs/>
                <w:color w:val="auto"/>
                <w:kern w:val="2"/>
              </w:rPr>
            </w:pPr>
            <w:r>
              <w:rPr>
                <w:rFonts w:hint="eastAsia" w:ascii="Times New Roman" w:cs="Times New Roman"/>
                <w:b/>
                <w:bCs/>
                <w:color w:val="auto"/>
                <w:kern w:val="2"/>
              </w:rPr>
              <w:t>（2）</w:t>
            </w:r>
            <w:r>
              <w:rPr>
                <w:rFonts w:ascii="Times New Roman" w:cs="Times New Roman"/>
                <w:b/>
                <w:bCs/>
                <w:color w:val="auto"/>
                <w:kern w:val="2"/>
              </w:rPr>
              <w:t>中长期（2021-2025）——调结构促转变、强化源头控制，实现战略转型</w:t>
            </w:r>
          </w:p>
          <w:p>
            <w:pPr>
              <w:pStyle w:val="72"/>
              <w:snapToGrid w:val="0"/>
              <w:spacing w:line="360" w:lineRule="auto"/>
              <w:ind w:firstLine="480" w:firstLineChars="200"/>
              <w:jc w:val="both"/>
              <w:rPr>
                <w:rFonts w:ascii="Times New Roman" w:cs="Times New Roman"/>
                <w:color w:val="auto"/>
                <w:kern w:val="2"/>
              </w:rPr>
            </w:pPr>
            <w:r>
              <w:rPr>
                <w:rFonts w:ascii="Times New Roman" w:cs="Times New Roman"/>
                <w:color w:val="auto"/>
                <w:kern w:val="2"/>
              </w:rPr>
              <w:t>逐步调整产业结构，以大气环境达标倒逼产业转型，逐步实现大气污染控制从末端治理到源头控制过渡，加快工业发展绿色化进程。这一时期大气污染排放量控制的重点将是强化源头的全控制过程。以空间格局及产业布局优化为切入点，通过严格环境准入、企业搬迁、产能淘汰等差异化的空间管理要求，引导经济发展格局有序发展；通过提高环境准入门槛、淘汰落后产能等方式倒逼能源结构和产业结构的优化升级。综合通过资源能源消费总量控制、调整产业结构、空间布局优化等手段从源头控制污染物排放。</w:t>
            </w:r>
          </w:p>
          <w:p>
            <w:pPr>
              <w:spacing w:line="360" w:lineRule="auto"/>
              <w:ind w:firstLine="480" w:firstLineChars="200"/>
              <w:rPr>
                <w:color w:val="auto"/>
              </w:rPr>
            </w:pPr>
            <w:r>
              <w:rPr>
                <w:color w:val="auto"/>
              </w:rPr>
              <w:t>本项目所在区域不达标指标PM</w:t>
            </w:r>
            <w:r>
              <w:rPr>
                <w:color w:val="auto"/>
                <w:vertAlign w:val="subscript"/>
              </w:rPr>
              <w:t>10</w:t>
            </w:r>
            <w:r>
              <w:rPr>
                <w:color w:val="auto"/>
              </w:rPr>
              <w:t>年平均质量浓度预期可达到小于70µg/m³的要求，PM</w:t>
            </w:r>
            <w:r>
              <w:rPr>
                <w:color w:val="auto"/>
                <w:vertAlign w:val="subscript"/>
              </w:rPr>
              <w:t>2.5</w:t>
            </w:r>
            <w:r>
              <w:rPr>
                <w:color w:val="auto"/>
              </w:rPr>
              <w:t>年平均质量浓度预期可达到小于35µg/m³的要求，满足《环境空气质量标准》（GB3095-2012）及其修改单中二级标准的要求。</w:t>
            </w:r>
          </w:p>
          <w:p>
            <w:pPr>
              <w:adjustRightInd w:val="0"/>
              <w:snapToGrid w:val="0"/>
              <w:spacing w:line="360" w:lineRule="auto"/>
              <w:ind w:firstLine="482" w:firstLineChars="200"/>
              <w:rPr>
                <w:b/>
                <w:bCs/>
                <w:color w:val="auto"/>
                <w:kern w:val="0"/>
              </w:rPr>
            </w:pPr>
            <w:r>
              <w:rPr>
                <w:b/>
                <w:bCs/>
                <w:color w:val="auto"/>
                <w:kern w:val="0"/>
              </w:rPr>
              <w:t>2、其他污染物的环境质量现状</w:t>
            </w:r>
          </w:p>
          <w:p>
            <w:pPr>
              <w:widowControl/>
              <w:adjustRightInd w:val="0"/>
              <w:snapToGrid w:val="0"/>
              <w:spacing w:line="360" w:lineRule="auto"/>
              <w:ind w:firstLine="480" w:firstLineChars="200"/>
              <w:rPr>
                <w:color w:val="auto"/>
                <w:kern w:val="0"/>
              </w:rPr>
            </w:pPr>
            <w:r>
              <w:rPr>
                <w:bCs/>
                <w:color w:val="auto"/>
              </w:rPr>
              <w:t>为掌握项目区域大气环境其他污染物质量现状，本项目针对其他污染因子NH</w:t>
            </w:r>
            <w:r>
              <w:rPr>
                <w:bCs/>
                <w:color w:val="auto"/>
                <w:vertAlign w:val="subscript"/>
              </w:rPr>
              <w:t>3</w:t>
            </w:r>
            <w:r>
              <w:rPr>
                <w:bCs/>
                <w:color w:val="auto"/>
              </w:rPr>
              <w:t>、H</w:t>
            </w:r>
            <w:r>
              <w:rPr>
                <w:bCs/>
                <w:color w:val="auto"/>
                <w:vertAlign w:val="subscript"/>
              </w:rPr>
              <w:t>2</w:t>
            </w:r>
            <w:r>
              <w:rPr>
                <w:bCs/>
                <w:color w:val="auto"/>
              </w:rPr>
              <w:t>S</w:t>
            </w:r>
            <w:r>
              <w:rPr>
                <w:color w:val="auto"/>
                <w:kern w:val="0"/>
              </w:rPr>
              <w:t>委托</w:t>
            </w:r>
            <w:r>
              <w:rPr>
                <w:color w:val="auto"/>
              </w:rPr>
              <w:t>四川福德昌环保科技有限公司</w:t>
            </w:r>
            <w:r>
              <w:rPr>
                <w:color w:val="auto"/>
                <w:kern w:val="0"/>
              </w:rPr>
              <w:t>对该项目的环境空气进行了现场采样。</w:t>
            </w:r>
          </w:p>
          <w:p>
            <w:pPr>
              <w:adjustRightInd w:val="0"/>
              <w:snapToGrid w:val="0"/>
              <w:spacing w:line="360" w:lineRule="auto"/>
              <w:ind w:firstLine="482"/>
              <w:rPr>
                <w:color w:val="auto"/>
              </w:rPr>
            </w:pPr>
            <w:r>
              <w:rPr>
                <w:color w:val="auto"/>
              </w:rPr>
              <w:t>1、监测因子</w:t>
            </w:r>
          </w:p>
          <w:p>
            <w:pPr>
              <w:adjustRightInd w:val="0"/>
              <w:snapToGrid w:val="0"/>
              <w:spacing w:line="360" w:lineRule="auto"/>
              <w:ind w:firstLine="480"/>
              <w:rPr>
                <w:b/>
                <w:bCs/>
                <w:color w:val="auto"/>
              </w:rPr>
            </w:pPr>
            <w:r>
              <w:rPr>
                <w:bCs/>
                <w:color w:val="auto"/>
              </w:rPr>
              <w:t>NH</w:t>
            </w:r>
            <w:r>
              <w:rPr>
                <w:bCs/>
                <w:color w:val="auto"/>
                <w:vertAlign w:val="subscript"/>
              </w:rPr>
              <w:t>3</w:t>
            </w:r>
            <w:r>
              <w:rPr>
                <w:bCs/>
                <w:color w:val="auto"/>
              </w:rPr>
              <w:t>、H</w:t>
            </w:r>
            <w:r>
              <w:rPr>
                <w:bCs/>
                <w:color w:val="auto"/>
                <w:vertAlign w:val="subscript"/>
              </w:rPr>
              <w:t>2</w:t>
            </w:r>
            <w:r>
              <w:rPr>
                <w:bCs/>
                <w:color w:val="auto"/>
              </w:rPr>
              <w:t>S</w:t>
            </w:r>
          </w:p>
          <w:p>
            <w:pPr>
              <w:adjustRightInd w:val="0"/>
              <w:snapToGrid w:val="0"/>
              <w:spacing w:line="360" w:lineRule="auto"/>
              <w:ind w:firstLine="482"/>
              <w:rPr>
                <w:color w:val="auto"/>
              </w:rPr>
            </w:pPr>
            <w:r>
              <w:rPr>
                <w:color w:val="auto"/>
              </w:rPr>
              <w:t>2、监测时间及点位</w:t>
            </w:r>
          </w:p>
          <w:p>
            <w:pPr>
              <w:adjustRightInd w:val="0"/>
              <w:snapToGrid w:val="0"/>
              <w:spacing w:line="360" w:lineRule="auto"/>
              <w:ind w:firstLine="480"/>
              <w:rPr>
                <w:color w:val="auto"/>
              </w:rPr>
            </w:pPr>
            <w:r>
              <w:rPr>
                <w:color w:val="auto"/>
              </w:rPr>
              <w:t>监测时间：2020年10月24日~10月30日</w:t>
            </w:r>
            <w:r>
              <w:rPr>
                <w:bCs/>
                <w:color w:val="auto"/>
              </w:rPr>
              <w:t>连续监测7天</w:t>
            </w:r>
            <w:r>
              <w:rPr>
                <w:color w:val="auto"/>
              </w:rPr>
              <w:t>，每天监测4次。</w:t>
            </w:r>
          </w:p>
          <w:p>
            <w:pPr>
              <w:pStyle w:val="2"/>
              <w:spacing w:line="360" w:lineRule="auto"/>
              <w:ind w:left="0" w:leftChars="0" w:firstLine="480"/>
              <w:rPr>
                <w:rFonts w:hint="default" w:ascii="Times New Roman" w:hAnsi="Times New Roman"/>
                <w:color w:val="auto"/>
                <w:kern w:val="2"/>
                <w:sz w:val="24"/>
              </w:rPr>
            </w:pPr>
            <w:r>
              <w:rPr>
                <w:rFonts w:hint="default" w:ascii="Times New Roman" w:hAnsi="Times New Roman"/>
                <w:color w:val="auto"/>
                <w:kern w:val="2"/>
                <w:sz w:val="24"/>
              </w:rPr>
              <w:t>监测点位：项目所在地中心处</w:t>
            </w:r>
            <w:r>
              <w:rPr>
                <w:rFonts w:ascii="Times New Roman" w:hAnsi="Times New Roman"/>
                <w:color w:val="auto"/>
                <w:kern w:val="2"/>
                <w:sz w:val="24"/>
              </w:rPr>
              <w:t>、项目所在地下风向</w:t>
            </w:r>
          </w:p>
          <w:p>
            <w:pPr>
              <w:spacing w:line="360" w:lineRule="auto"/>
              <w:ind w:firstLine="480"/>
              <w:rPr>
                <w:bCs/>
                <w:color w:val="auto"/>
              </w:rPr>
            </w:pPr>
            <w:r>
              <w:rPr>
                <w:bCs/>
                <w:color w:val="auto"/>
              </w:rPr>
              <w:t>3、评价标准</w:t>
            </w:r>
          </w:p>
          <w:p>
            <w:pPr>
              <w:spacing w:line="360" w:lineRule="auto"/>
              <w:ind w:firstLine="480"/>
              <w:rPr>
                <w:color w:val="auto"/>
              </w:rPr>
            </w:pPr>
            <w:r>
              <w:rPr>
                <w:color w:val="auto"/>
              </w:rPr>
              <w:t>本项目</w:t>
            </w:r>
            <w:r>
              <w:rPr>
                <w:bCs/>
                <w:color w:val="auto"/>
              </w:rPr>
              <w:t>NH</w:t>
            </w:r>
            <w:r>
              <w:rPr>
                <w:bCs/>
                <w:color w:val="auto"/>
                <w:vertAlign w:val="subscript"/>
              </w:rPr>
              <w:t>3</w:t>
            </w:r>
            <w:r>
              <w:rPr>
                <w:bCs/>
                <w:color w:val="auto"/>
              </w:rPr>
              <w:t>、H</w:t>
            </w:r>
            <w:r>
              <w:rPr>
                <w:bCs/>
                <w:color w:val="auto"/>
                <w:vertAlign w:val="subscript"/>
              </w:rPr>
              <w:t>2</w:t>
            </w:r>
            <w:r>
              <w:rPr>
                <w:bCs/>
                <w:color w:val="auto"/>
              </w:rPr>
              <w:t>S标准采用</w:t>
            </w:r>
            <w:r>
              <w:rPr>
                <w:bCs/>
                <w:color w:val="auto"/>
                <w:szCs w:val="22"/>
              </w:rPr>
              <w:t>《环境影响评价技术导则-大气环境》（HJ2.2-2018）附录D.1其他污染物空气质量浓度参考限值。</w:t>
            </w:r>
          </w:p>
          <w:p>
            <w:pPr>
              <w:adjustRightInd w:val="0"/>
              <w:snapToGrid w:val="0"/>
              <w:jc w:val="center"/>
              <w:rPr>
                <w:rFonts w:eastAsia="黑体"/>
                <w:bCs/>
                <w:color w:val="auto"/>
              </w:rPr>
            </w:pPr>
            <w:r>
              <w:rPr>
                <w:rFonts w:eastAsia="黑体"/>
                <w:bCs/>
                <w:color w:val="auto"/>
              </w:rPr>
              <w:t>表3-2  NH</w:t>
            </w:r>
            <w:r>
              <w:rPr>
                <w:rFonts w:eastAsia="黑体"/>
                <w:bCs/>
                <w:color w:val="auto"/>
                <w:vertAlign w:val="subscript"/>
              </w:rPr>
              <w:t>3</w:t>
            </w:r>
            <w:r>
              <w:rPr>
                <w:rFonts w:eastAsia="黑体"/>
                <w:bCs/>
                <w:color w:val="auto"/>
              </w:rPr>
              <w:t>、H</w:t>
            </w:r>
            <w:r>
              <w:rPr>
                <w:rFonts w:eastAsia="黑体"/>
                <w:bCs/>
                <w:color w:val="auto"/>
                <w:vertAlign w:val="subscript"/>
              </w:rPr>
              <w:t>2</w:t>
            </w:r>
            <w:r>
              <w:rPr>
                <w:rFonts w:eastAsia="黑体"/>
                <w:bCs/>
                <w:color w:val="auto"/>
              </w:rPr>
              <w:t>S空气质量标准</w:t>
            </w:r>
          </w:p>
          <w:p>
            <w:pPr>
              <w:widowControl/>
              <w:adjustRightInd w:val="0"/>
              <w:snapToGrid w:val="0"/>
              <w:jc w:val="right"/>
              <w:rPr>
                <w:rFonts w:eastAsia="黑体"/>
                <w:color w:val="auto"/>
                <w:kern w:val="24"/>
                <w:sz w:val="21"/>
                <w:szCs w:val="20"/>
              </w:rPr>
            </w:pPr>
            <w:r>
              <w:rPr>
                <w:rFonts w:eastAsia="黑体"/>
                <w:color w:val="auto"/>
                <w:kern w:val="24"/>
                <w:sz w:val="21"/>
                <w:szCs w:val="20"/>
              </w:rPr>
              <w:t>单位：mg/m</w:t>
            </w:r>
            <w:r>
              <w:rPr>
                <w:rFonts w:eastAsia="黑体"/>
                <w:color w:val="auto"/>
                <w:kern w:val="24"/>
                <w:sz w:val="21"/>
                <w:szCs w:val="20"/>
                <w:vertAlign w:val="superscript"/>
              </w:rPr>
              <w:t>3</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3882"/>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widowControl/>
                    <w:adjustRightInd w:val="0"/>
                    <w:snapToGrid w:val="0"/>
                    <w:jc w:val="center"/>
                    <w:rPr>
                      <w:color w:val="auto"/>
                      <w:sz w:val="21"/>
                      <w:szCs w:val="21"/>
                    </w:rPr>
                  </w:pPr>
                  <w:r>
                    <w:rPr>
                      <w:color w:val="auto"/>
                      <w:sz w:val="21"/>
                      <w:szCs w:val="21"/>
                    </w:rPr>
                    <w:t>项目</w:t>
                  </w:r>
                </w:p>
              </w:tc>
              <w:tc>
                <w:tcPr>
                  <w:tcW w:w="3882" w:type="dxa"/>
                  <w:noWrap w:val="0"/>
                  <w:vAlign w:val="center"/>
                </w:tcPr>
                <w:p>
                  <w:pPr>
                    <w:widowControl/>
                    <w:adjustRightInd w:val="0"/>
                    <w:snapToGrid w:val="0"/>
                    <w:jc w:val="center"/>
                    <w:rPr>
                      <w:color w:val="auto"/>
                      <w:sz w:val="21"/>
                      <w:szCs w:val="21"/>
                    </w:rPr>
                  </w:pPr>
                  <w:r>
                    <w:rPr>
                      <w:color w:val="auto"/>
                      <w:sz w:val="21"/>
                      <w:szCs w:val="21"/>
                    </w:rPr>
                    <w:t>标准限值</w:t>
                  </w:r>
                </w:p>
              </w:tc>
              <w:tc>
                <w:tcPr>
                  <w:tcW w:w="3450" w:type="dxa"/>
                  <w:noWrap w:val="0"/>
                  <w:vAlign w:val="center"/>
                </w:tcPr>
                <w:p>
                  <w:pPr>
                    <w:widowControl/>
                    <w:adjustRightInd w:val="0"/>
                    <w:snapToGrid w:val="0"/>
                    <w:jc w:val="center"/>
                    <w:rPr>
                      <w:color w:val="auto"/>
                      <w:sz w:val="21"/>
                      <w:szCs w:val="21"/>
                    </w:rPr>
                  </w:pPr>
                  <w:r>
                    <w:rPr>
                      <w:color w:val="auto"/>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728" w:type="dxa"/>
                  <w:noWrap w:val="0"/>
                  <w:vAlign w:val="center"/>
                </w:tcPr>
                <w:p>
                  <w:pPr>
                    <w:widowControl/>
                    <w:adjustRightInd w:val="0"/>
                    <w:snapToGrid w:val="0"/>
                    <w:jc w:val="center"/>
                    <w:rPr>
                      <w:color w:val="auto"/>
                      <w:sz w:val="21"/>
                      <w:szCs w:val="21"/>
                    </w:rPr>
                  </w:pPr>
                  <w:r>
                    <w:rPr>
                      <w:bCs/>
                      <w:color w:val="auto"/>
                      <w:sz w:val="21"/>
                      <w:szCs w:val="21"/>
                    </w:rPr>
                    <w:t>NH</w:t>
                  </w:r>
                  <w:r>
                    <w:rPr>
                      <w:bCs/>
                      <w:color w:val="auto"/>
                      <w:sz w:val="21"/>
                      <w:szCs w:val="21"/>
                      <w:vertAlign w:val="subscript"/>
                    </w:rPr>
                    <w:t>3</w:t>
                  </w:r>
                </w:p>
              </w:tc>
              <w:tc>
                <w:tcPr>
                  <w:tcW w:w="3882" w:type="dxa"/>
                  <w:noWrap w:val="0"/>
                  <w:vAlign w:val="center"/>
                </w:tcPr>
                <w:p>
                  <w:pPr>
                    <w:widowControl/>
                    <w:adjustRightInd w:val="0"/>
                    <w:snapToGrid w:val="0"/>
                    <w:jc w:val="center"/>
                    <w:rPr>
                      <w:color w:val="auto"/>
                      <w:sz w:val="21"/>
                      <w:szCs w:val="21"/>
                    </w:rPr>
                  </w:pPr>
                  <w:r>
                    <w:rPr>
                      <w:color w:val="auto"/>
                      <w:sz w:val="21"/>
                      <w:szCs w:val="21"/>
                    </w:rPr>
                    <w:t>0.2</w:t>
                  </w:r>
                </w:p>
              </w:tc>
              <w:tc>
                <w:tcPr>
                  <w:tcW w:w="3450" w:type="dxa"/>
                  <w:vMerge w:val="restart"/>
                  <w:noWrap w:val="0"/>
                  <w:vAlign w:val="center"/>
                </w:tcPr>
                <w:p>
                  <w:pPr>
                    <w:widowControl/>
                    <w:adjustRightInd w:val="0"/>
                    <w:snapToGrid w:val="0"/>
                    <w:jc w:val="center"/>
                    <w:rPr>
                      <w:color w:val="auto"/>
                      <w:sz w:val="21"/>
                      <w:szCs w:val="21"/>
                    </w:rPr>
                  </w:pPr>
                  <w:r>
                    <w:rPr>
                      <w:color w:val="auto"/>
                      <w:sz w:val="21"/>
                      <w:szCs w:val="21"/>
                    </w:rPr>
                    <w:t>《环境影响评价技术导则-大气环境》（HJ2.2-2018）附录D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pPr>
                    <w:widowControl/>
                    <w:adjustRightInd w:val="0"/>
                    <w:snapToGrid w:val="0"/>
                    <w:jc w:val="center"/>
                    <w:rPr>
                      <w:color w:val="auto"/>
                      <w:sz w:val="21"/>
                      <w:szCs w:val="21"/>
                    </w:rPr>
                  </w:pPr>
                  <w:r>
                    <w:rPr>
                      <w:bCs/>
                      <w:color w:val="auto"/>
                      <w:sz w:val="21"/>
                      <w:szCs w:val="21"/>
                    </w:rPr>
                    <w:t>H</w:t>
                  </w:r>
                  <w:r>
                    <w:rPr>
                      <w:bCs/>
                      <w:color w:val="auto"/>
                      <w:sz w:val="21"/>
                      <w:szCs w:val="21"/>
                      <w:vertAlign w:val="subscript"/>
                    </w:rPr>
                    <w:t>2</w:t>
                  </w:r>
                  <w:r>
                    <w:rPr>
                      <w:bCs/>
                      <w:color w:val="auto"/>
                      <w:sz w:val="21"/>
                      <w:szCs w:val="21"/>
                    </w:rPr>
                    <w:t>S</w:t>
                  </w:r>
                </w:p>
              </w:tc>
              <w:tc>
                <w:tcPr>
                  <w:tcW w:w="3882" w:type="dxa"/>
                  <w:noWrap w:val="0"/>
                  <w:vAlign w:val="center"/>
                </w:tcPr>
                <w:p>
                  <w:pPr>
                    <w:widowControl/>
                    <w:adjustRightInd w:val="0"/>
                    <w:snapToGrid w:val="0"/>
                    <w:jc w:val="center"/>
                    <w:rPr>
                      <w:color w:val="auto"/>
                      <w:sz w:val="21"/>
                      <w:szCs w:val="21"/>
                    </w:rPr>
                  </w:pPr>
                  <w:r>
                    <w:rPr>
                      <w:color w:val="auto"/>
                      <w:sz w:val="21"/>
                      <w:szCs w:val="21"/>
                    </w:rPr>
                    <w:t>0.01</w:t>
                  </w:r>
                </w:p>
              </w:tc>
              <w:tc>
                <w:tcPr>
                  <w:tcW w:w="3450" w:type="dxa"/>
                  <w:vMerge w:val="continue"/>
                  <w:noWrap w:val="0"/>
                  <w:vAlign w:val="center"/>
                </w:tcPr>
                <w:p>
                  <w:pPr>
                    <w:widowControl/>
                    <w:adjustRightInd w:val="0"/>
                    <w:snapToGrid w:val="0"/>
                    <w:jc w:val="center"/>
                    <w:rPr>
                      <w:color w:val="auto"/>
                      <w:sz w:val="21"/>
                      <w:szCs w:val="21"/>
                    </w:rPr>
                  </w:pPr>
                </w:p>
              </w:tc>
            </w:tr>
          </w:tbl>
          <w:p>
            <w:pPr>
              <w:adjustRightInd w:val="0"/>
              <w:snapToGrid w:val="0"/>
              <w:ind w:firstLine="482"/>
              <w:rPr>
                <w:color w:val="auto"/>
              </w:rPr>
            </w:pPr>
            <w:r>
              <w:rPr>
                <w:color w:val="auto"/>
              </w:rPr>
              <w:t>4、监测结果</w:t>
            </w:r>
          </w:p>
          <w:p>
            <w:pPr>
              <w:adjustRightInd w:val="0"/>
              <w:snapToGrid w:val="0"/>
              <w:ind w:firstLine="480"/>
              <w:rPr>
                <w:bCs/>
                <w:color w:val="auto"/>
              </w:rPr>
            </w:pPr>
            <w:r>
              <w:rPr>
                <w:bCs/>
                <w:color w:val="auto"/>
              </w:rPr>
              <w:t>具体监测结果见表3-3。</w:t>
            </w:r>
          </w:p>
          <w:p>
            <w:pPr>
              <w:adjustRightInd w:val="0"/>
              <w:snapToGrid w:val="0"/>
              <w:jc w:val="center"/>
              <w:rPr>
                <w:rFonts w:eastAsia="黑体"/>
                <w:bCs/>
                <w:color w:val="auto"/>
              </w:rPr>
            </w:pPr>
            <w:r>
              <w:rPr>
                <w:rFonts w:eastAsia="黑体"/>
                <w:bCs/>
                <w:color w:val="auto"/>
              </w:rPr>
              <w:t>表3-3  环境空气检测结果</w:t>
            </w:r>
          </w:p>
          <w:p>
            <w:pPr>
              <w:pStyle w:val="37"/>
              <w:ind w:firstLine="0" w:firstLineChars="0"/>
              <w:jc w:val="right"/>
              <w:textAlignment w:val="auto"/>
              <w:rPr>
                <w:rFonts w:ascii="Times New Roman" w:hAnsi="Times New Roman" w:eastAsia="黑体"/>
                <w:color w:val="auto"/>
                <w:kern w:val="24"/>
                <w:sz w:val="21"/>
                <w:vertAlign w:val="superscript"/>
              </w:rPr>
            </w:pPr>
            <w:r>
              <w:rPr>
                <w:rFonts w:ascii="Times New Roman" w:hAnsi="Times New Roman" w:eastAsia="黑体"/>
                <w:color w:val="auto"/>
                <w:kern w:val="24"/>
                <w:sz w:val="21"/>
              </w:rPr>
              <w:t>单位：mg/m</w:t>
            </w:r>
            <w:r>
              <w:rPr>
                <w:rFonts w:ascii="Times New Roman" w:hAnsi="Times New Roman" w:eastAsia="黑体"/>
                <w:color w:val="auto"/>
                <w:kern w:val="24"/>
                <w:sz w:val="21"/>
                <w:vertAlign w:val="superscript"/>
              </w:rPr>
              <w:t>3</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1292"/>
              <w:gridCol w:w="1292"/>
              <w:gridCol w:w="1292"/>
              <w:gridCol w:w="1291"/>
              <w:gridCol w:w="1293"/>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atLeast"/>
                <w:jc w:val="center"/>
              </w:trPr>
              <w:tc>
                <w:tcPr>
                  <w:tcW w:w="1292" w:type="dxa"/>
                  <w:vMerge w:val="restart"/>
                  <w:noWrap w:val="0"/>
                  <w:vAlign w:val="center"/>
                </w:tcPr>
                <w:p>
                  <w:pPr>
                    <w:pStyle w:val="55"/>
                    <w:adjustRightInd w:val="0"/>
                    <w:snapToGrid w:val="0"/>
                    <w:textAlignment w:val="auto"/>
                    <w:rPr>
                      <w:color w:val="auto"/>
                      <w:szCs w:val="21"/>
                    </w:rPr>
                  </w:pPr>
                  <w:r>
                    <w:rPr>
                      <w:color w:val="auto"/>
                      <w:szCs w:val="21"/>
                    </w:rPr>
                    <w:t>点位名称</w:t>
                  </w:r>
                </w:p>
              </w:tc>
              <w:tc>
                <w:tcPr>
                  <w:tcW w:w="1292" w:type="dxa"/>
                  <w:vMerge w:val="restart"/>
                  <w:noWrap w:val="0"/>
                  <w:vAlign w:val="center"/>
                </w:tcPr>
                <w:p>
                  <w:pPr>
                    <w:pStyle w:val="55"/>
                    <w:adjustRightInd w:val="0"/>
                    <w:snapToGrid w:val="0"/>
                    <w:textAlignment w:val="auto"/>
                    <w:rPr>
                      <w:color w:val="auto"/>
                      <w:szCs w:val="21"/>
                    </w:rPr>
                  </w:pPr>
                  <w:r>
                    <w:rPr>
                      <w:color w:val="auto"/>
                      <w:szCs w:val="21"/>
                    </w:rPr>
                    <w:t>检测项目</w:t>
                  </w:r>
                </w:p>
              </w:tc>
              <w:tc>
                <w:tcPr>
                  <w:tcW w:w="1292" w:type="dxa"/>
                  <w:vMerge w:val="restart"/>
                  <w:noWrap w:val="0"/>
                  <w:vAlign w:val="center"/>
                </w:tcPr>
                <w:p>
                  <w:pPr>
                    <w:pStyle w:val="55"/>
                    <w:adjustRightInd w:val="0"/>
                    <w:snapToGrid w:val="0"/>
                    <w:textAlignment w:val="auto"/>
                    <w:rPr>
                      <w:color w:val="auto"/>
                      <w:szCs w:val="21"/>
                    </w:rPr>
                  </w:pPr>
                  <w:r>
                    <w:rPr>
                      <w:color w:val="auto"/>
                      <w:szCs w:val="21"/>
                    </w:rPr>
                    <w:t>检测日期</w:t>
                  </w:r>
                </w:p>
                <w:p>
                  <w:pPr>
                    <w:jc w:val="center"/>
                    <w:rPr>
                      <w:color w:val="auto"/>
                      <w:sz w:val="21"/>
                      <w:szCs w:val="21"/>
                    </w:rPr>
                  </w:pPr>
                  <w:r>
                    <w:rPr>
                      <w:color w:val="auto"/>
                      <w:sz w:val="21"/>
                      <w:szCs w:val="21"/>
                    </w:rPr>
                    <w:t>2020年</w:t>
                  </w:r>
                </w:p>
              </w:tc>
              <w:tc>
                <w:tcPr>
                  <w:tcW w:w="5180" w:type="dxa"/>
                  <w:gridSpan w:val="4"/>
                  <w:noWrap w:val="0"/>
                  <w:vAlign w:val="center"/>
                </w:tcPr>
                <w:p>
                  <w:pPr>
                    <w:pStyle w:val="55"/>
                    <w:adjustRightInd w:val="0"/>
                    <w:snapToGrid w:val="0"/>
                    <w:textAlignment w:val="auto"/>
                    <w:rPr>
                      <w:color w:val="auto"/>
                      <w:szCs w:val="21"/>
                    </w:rPr>
                  </w:pPr>
                  <w:r>
                    <w:rPr>
                      <w:color w:val="auto"/>
                      <w:szCs w:val="21"/>
                    </w:rPr>
                    <w:t>检测结果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第一次</w:t>
                  </w:r>
                </w:p>
              </w:tc>
              <w:tc>
                <w:tcPr>
                  <w:tcW w:w="1291" w:type="dxa"/>
                  <w:noWrap w:val="0"/>
                  <w:vAlign w:val="center"/>
                </w:tcPr>
                <w:p>
                  <w:pPr>
                    <w:pStyle w:val="55"/>
                    <w:adjustRightInd w:val="0"/>
                    <w:snapToGrid w:val="0"/>
                    <w:textAlignment w:val="auto"/>
                    <w:rPr>
                      <w:color w:val="auto"/>
                      <w:szCs w:val="21"/>
                    </w:rPr>
                  </w:pPr>
                  <w:r>
                    <w:rPr>
                      <w:color w:val="auto"/>
                      <w:szCs w:val="21"/>
                    </w:rPr>
                    <w:t>第二次</w:t>
                  </w:r>
                </w:p>
              </w:tc>
              <w:tc>
                <w:tcPr>
                  <w:tcW w:w="1293" w:type="dxa"/>
                  <w:noWrap w:val="0"/>
                  <w:vAlign w:val="center"/>
                </w:tcPr>
                <w:p>
                  <w:pPr>
                    <w:pStyle w:val="55"/>
                    <w:adjustRightInd w:val="0"/>
                    <w:snapToGrid w:val="0"/>
                    <w:textAlignment w:val="auto"/>
                    <w:rPr>
                      <w:color w:val="auto"/>
                      <w:szCs w:val="21"/>
                    </w:rPr>
                  </w:pPr>
                  <w:r>
                    <w:rPr>
                      <w:color w:val="auto"/>
                      <w:szCs w:val="21"/>
                    </w:rPr>
                    <w:t>第三次</w:t>
                  </w:r>
                </w:p>
              </w:tc>
              <w:tc>
                <w:tcPr>
                  <w:tcW w:w="1304" w:type="dxa"/>
                  <w:noWrap w:val="0"/>
                  <w:vAlign w:val="center"/>
                </w:tcPr>
                <w:p>
                  <w:pPr>
                    <w:pStyle w:val="55"/>
                    <w:adjustRightInd w:val="0"/>
                    <w:snapToGrid w:val="0"/>
                    <w:textAlignment w:val="auto"/>
                    <w:rPr>
                      <w:color w:val="auto"/>
                      <w:szCs w:val="21"/>
                    </w:rPr>
                  </w:pPr>
                  <w:r>
                    <w:rPr>
                      <w:color w:val="auto"/>
                      <w:szCs w:val="21"/>
                    </w:rPr>
                    <w:t>第四次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restart"/>
                  <w:noWrap w:val="0"/>
                  <w:vAlign w:val="center"/>
                </w:tcPr>
                <w:p>
                  <w:pPr>
                    <w:pStyle w:val="55"/>
                    <w:adjustRightInd w:val="0"/>
                    <w:snapToGrid w:val="0"/>
                    <w:textAlignment w:val="auto"/>
                    <w:rPr>
                      <w:color w:val="auto"/>
                      <w:szCs w:val="21"/>
                    </w:rPr>
                  </w:pPr>
                  <w:r>
                    <w:rPr>
                      <w:color w:val="auto"/>
                      <w:szCs w:val="21"/>
                    </w:rPr>
                    <w:t>H</w:t>
                  </w:r>
                  <w:r>
                    <w:rPr>
                      <w:color w:val="auto"/>
                      <w:szCs w:val="21"/>
                      <w:vertAlign w:val="subscript"/>
                    </w:rPr>
                    <w:t>2</w:t>
                  </w:r>
                  <w:r>
                    <w:rPr>
                      <w:color w:val="auto"/>
                      <w:szCs w:val="21"/>
                    </w:rPr>
                    <w:t>S</w:t>
                  </w: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10月24日</w:t>
                  </w:r>
                </w:p>
              </w:tc>
              <w:tc>
                <w:tcPr>
                  <w:tcW w:w="1292" w:type="dxa"/>
                  <w:noWrap w:val="0"/>
                  <w:vAlign w:val="center"/>
                </w:tcPr>
                <w:p>
                  <w:pPr>
                    <w:pStyle w:val="55"/>
                    <w:adjustRightInd w:val="0"/>
                    <w:snapToGrid w:val="0"/>
                    <w:textAlignment w:val="auto"/>
                    <w:rPr>
                      <w:color w:val="auto"/>
                      <w:szCs w:val="21"/>
                    </w:rPr>
                  </w:pPr>
                  <w:r>
                    <w:rPr>
                      <w:color w:val="auto"/>
                      <w:szCs w:val="21"/>
                    </w:rPr>
                    <w:t>0.004</w:t>
                  </w:r>
                </w:p>
              </w:tc>
              <w:tc>
                <w:tcPr>
                  <w:tcW w:w="1291" w:type="dxa"/>
                  <w:noWrap w:val="0"/>
                  <w:vAlign w:val="center"/>
                </w:tcPr>
                <w:p>
                  <w:pPr>
                    <w:pStyle w:val="55"/>
                    <w:adjustRightInd w:val="0"/>
                    <w:snapToGrid w:val="0"/>
                    <w:textAlignment w:val="auto"/>
                    <w:rPr>
                      <w:color w:val="auto"/>
                      <w:szCs w:val="21"/>
                    </w:rPr>
                  </w:pPr>
                  <w:r>
                    <w:rPr>
                      <w:color w:val="auto"/>
                      <w:szCs w:val="21"/>
                    </w:rPr>
                    <w:t>0.006</w:t>
                  </w:r>
                </w:p>
              </w:tc>
              <w:tc>
                <w:tcPr>
                  <w:tcW w:w="1293" w:type="dxa"/>
                  <w:noWrap w:val="0"/>
                  <w:vAlign w:val="center"/>
                </w:tcPr>
                <w:p>
                  <w:pPr>
                    <w:pStyle w:val="55"/>
                    <w:adjustRightInd w:val="0"/>
                    <w:snapToGrid w:val="0"/>
                    <w:textAlignment w:val="auto"/>
                    <w:rPr>
                      <w:color w:val="auto"/>
                      <w:szCs w:val="21"/>
                    </w:rPr>
                  </w:pPr>
                  <w:r>
                    <w:rPr>
                      <w:color w:val="auto"/>
                      <w:szCs w:val="21"/>
                    </w:rPr>
                    <w:t>0.004</w:t>
                  </w:r>
                </w:p>
              </w:tc>
              <w:tc>
                <w:tcPr>
                  <w:tcW w:w="1304" w:type="dxa"/>
                  <w:noWrap w:val="0"/>
                  <w:vAlign w:val="center"/>
                </w:tcPr>
                <w:p>
                  <w:pPr>
                    <w:pStyle w:val="55"/>
                    <w:adjustRightInd w:val="0"/>
                    <w:snapToGrid w:val="0"/>
                    <w:textAlignment w:val="auto"/>
                    <w:rPr>
                      <w:color w:val="auto"/>
                      <w:szCs w:val="21"/>
                    </w:rPr>
                  </w:pPr>
                  <w:r>
                    <w:rPr>
                      <w:color w:val="auto"/>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0.004</w:t>
                  </w:r>
                </w:p>
              </w:tc>
              <w:tc>
                <w:tcPr>
                  <w:tcW w:w="1291" w:type="dxa"/>
                  <w:noWrap w:val="0"/>
                  <w:vAlign w:val="center"/>
                </w:tcPr>
                <w:p>
                  <w:pPr>
                    <w:pStyle w:val="55"/>
                    <w:adjustRightInd w:val="0"/>
                    <w:snapToGrid w:val="0"/>
                    <w:textAlignment w:val="auto"/>
                    <w:rPr>
                      <w:color w:val="auto"/>
                      <w:szCs w:val="21"/>
                    </w:rPr>
                  </w:pPr>
                  <w:r>
                    <w:rPr>
                      <w:color w:val="auto"/>
                      <w:szCs w:val="21"/>
                    </w:rPr>
                    <w:t>0.007</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10月25日</w:t>
                  </w:r>
                </w:p>
              </w:tc>
              <w:tc>
                <w:tcPr>
                  <w:tcW w:w="1292" w:type="dxa"/>
                  <w:noWrap w:val="0"/>
                  <w:vAlign w:val="center"/>
                </w:tcPr>
                <w:p>
                  <w:pPr>
                    <w:pStyle w:val="55"/>
                    <w:adjustRightInd w:val="0"/>
                    <w:snapToGrid w:val="0"/>
                    <w:textAlignment w:val="auto"/>
                    <w:rPr>
                      <w:color w:val="auto"/>
                      <w:szCs w:val="21"/>
                    </w:rPr>
                  </w:pPr>
                  <w:r>
                    <w:rPr>
                      <w:color w:val="auto"/>
                      <w:szCs w:val="21"/>
                    </w:rPr>
                    <w:t>0.005</w:t>
                  </w:r>
                </w:p>
              </w:tc>
              <w:tc>
                <w:tcPr>
                  <w:tcW w:w="1291" w:type="dxa"/>
                  <w:noWrap w:val="0"/>
                  <w:vAlign w:val="center"/>
                </w:tcPr>
                <w:p>
                  <w:pPr>
                    <w:pStyle w:val="55"/>
                    <w:adjustRightInd w:val="0"/>
                    <w:snapToGrid w:val="0"/>
                    <w:textAlignment w:val="auto"/>
                    <w:rPr>
                      <w:color w:val="auto"/>
                      <w:szCs w:val="21"/>
                    </w:rPr>
                  </w:pPr>
                  <w:r>
                    <w:rPr>
                      <w:color w:val="auto"/>
                      <w:szCs w:val="21"/>
                    </w:rPr>
                    <w:t>0.007</w:t>
                  </w:r>
                </w:p>
              </w:tc>
              <w:tc>
                <w:tcPr>
                  <w:tcW w:w="1293" w:type="dxa"/>
                  <w:noWrap w:val="0"/>
                  <w:vAlign w:val="center"/>
                </w:tcPr>
                <w:p>
                  <w:pPr>
                    <w:pStyle w:val="55"/>
                    <w:adjustRightInd w:val="0"/>
                    <w:snapToGrid w:val="0"/>
                    <w:textAlignment w:val="auto"/>
                    <w:rPr>
                      <w:color w:val="auto"/>
                      <w:szCs w:val="21"/>
                    </w:rPr>
                  </w:pPr>
                  <w:r>
                    <w:rPr>
                      <w:color w:val="auto"/>
                      <w:szCs w:val="21"/>
                    </w:rPr>
                    <w:t>0.003</w:t>
                  </w:r>
                </w:p>
              </w:tc>
              <w:tc>
                <w:tcPr>
                  <w:tcW w:w="1304" w:type="dxa"/>
                  <w:noWrap w:val="0"/>
                  <w:vAlign w:val="center"/>
                </w:tcPr>
                <w:p>
                  <w:pPr>
                    <w:pStyle w:val="55"/>
                    <w:adjustRightInd w:val="0"/>
                    <w:snapToGrid w:val="0"/>
                    <w:textAlignment w:val="auto"/>
                    <w:rPr>
                      <w:color w:val="auto"/>
                      <w:szCs w:val="21"/>
                    </w:rPr>
                  </w:pPr>
                  <w:r>
                    <w:rPr>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0.006</w:t>
                  </w:r>
                </w:p>
              </w:tc>
              <w:tc>
                <w:tcPr>
                  <w:tcW w:w="1291" w:type="dxa"/>
                  <w:noWrap w:val="0"/>
                  <w:vAlign w:val="center"/>
                </w:tcPr>
                <w:p>
                  <w:pPr>
                    <w:pStyle w:val="55"/>
                    <w:adjustRightInd w:val="0"/>
                    <w:snapToGrid w:val="0"/>
                    <w:textAlignment w:val="auto"/>
                    <w:rPr>
                      <w:color w:val="auto"/>
                      <w:szCs w:val="21"/>
                    </w:rPr>
                  </w:pPr>
                  <w:r>
                    <w:rPr>
                      <w:color w:val="auto"/>
                      <w:szCs w:val="21"/>
                    </w:rPr>
                    <w:t>0.003</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10月26日</w:t>
                  </w:r>
                </w:p>
              </w:tc>
              <w:tc>
                <w:tcPr>
                  <w:tcW w:w="1292" w:type="dxa"/>
                  <w:noWrap w:val="0"/>
                  <w:vAlign w:val="center"/>
                </w:tcPr>
                <w:p>
                  <w:pPr>
                    <w:pStyle w:val="55"/>
                    <w:adjustRightInd w:val="0"/>
                    <w:snapToGrid w:val="0"/>
                    <w:textAlignment w:val="auto"/>
                    <w:rPr>
                      <w:color w:val="auto"/>
                      <w:szCs w:val="21"/>
                    </w:rPr>
                  </w:pPr>
                  <w:r>
                    <w:rPr>
                      <w:color w:val="auto"/>
                      <w:szCs w:val="21"/>
                    </w:rPr>
                    <w:t>0.007</w:t>
                  </w:r>
                </w:p>
              </w:tc>
              <w:tc>
                <w:tcPr>
                  <w:tcW w:w="1291" w:type="dxa"/>
                  <w:noWrap w:val="0"/>
                  <w:vAlign w:val="center"/>
                </w:tcPr>
                <w:p>
                  <w:pPr>
                    <w:pStyle w:val="55"/>
                    <w:adjustRightInd w:val="0"/>
                    <w:snapToGrid w:val="0"/>
                    <w:textAlignment w:val="auto"/>
                    <w:rPr>
                      <w:color w:val="auto"/>
                      <w:szCs w:val="21"/>
                    </w:rPr>
                  </w:pPr>
                  <w:r>
                    <w:rPr>
                      <w:color w:val="auto"/>
                      <w:szCs w:val="21"/>
                    </w:rPr>
                    <w:t>0.006</w:t>
                  </w:r>
                </w:p>
              </w:tc>
              <w:tc>
                <w:tcPr>
                  <w:tcW w:w="1293" w:type="dxa"/>
                  <w:noWrap w:val="0"/>
                  <w:vAlign w:val="center"/>
                </w:tcPr>
                <w:p>
                  <w:pPr>
                    <w:pStyle w:val="55"/>
                    <w:adjustRightInd w:val="0"/>
                    <w:snapToGrid w:val="0"/>
                    <w:textAlignment w:val="auto"/>
                    <w:rPr>
                      <w:color w:val="auto"/>
                      <w:szCs w:val="21"/>
                    </w:rPr>
                  </w:pPr>
                  <w:r>
                    <w:rPr>
                      <w:color w:val="auto"/>
                      <w:szCs w:val="21"/>
                    </w:rPr>
                    <w:t>0.004</w:t>
                  </w:r>
                </w:p>
              </w:tc>
              <w:tc>
                <w:tcPr>
                  <w:tcW w:w="1304" w:type="dxa"/>
                  <w:noWrap w:val="0"/>
                  <w:vAlign w:val="center"/>
                </w:tcPr>
                <w:p>
                  <w:pPr>
                    <w:pStyle w:val="55"/>
                    <w:adjustRightInd w:val="0"/>
                    <w:snapToGrid w:val="0"/>
                    <w:textAlignment w:val="auto"/>
                    <w:rPr>
                      <w:color w:val="auto"/>
                      <w:szCs w:val="21"/>
                    </w:rPr>
                  </w:pPr>
                  <w:r>
                    <w:rPr>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0.004</w:t>
                  </w:r>
                </w:p>
              </w:tc>
              <w:tc>
                <w:tcPr>
                  <w:tcW w:w="1291" w:type="dxa"/>
                  <w:noWrap w:val="0"/>
                  <w:vAlign w:val="center"/>
                </w:tcPr>
                <w:p>
                  <w:pPr>
                    <w:pStyle w:val="55"/>
                    <w:adjustRightInd w:val="0"/>
                    <w:snapToGrid w:val="0"/>
                    <w:textAlignment w:val="auto"/>
                    <w:rPr>
                      <w:color w:val="auto"/>
                      <w:szCs w:val="21"/>
                    </w:rPr>
                  </w:pPr>
                  <w:r>
                    <w:rPr>
                      <w:color w:val="auto"/>
                      <w:szCs w:val="21"/>
                    </w:rPr>
                    <w:t>0.006</w:t>
                  </w:r>
                </w:p>
              </w:tc>
              <w:tc>
                <w:tcPr>
                  <w:tcW w:w="1293" w:type="dxa"/>
                  <w:noWrap w:val="0"/>
                  <w:vAlign w:val="center"/>
                </w:tcPr>
                <w:p>
                  <w:pPr>
                    <w:pStyle w:val="55"/>
                    <w:adjustRightInd w:val="0"/>
                    <w:snapToGrid w:val="0"/>
                    <w:textAlignment w:val="auto"/>
                    <w:rPr>
                      <w:color w:val="auto"/>
                      <w:szCs w:val="21"/>
                    </w:rPr>
                  </w:pPr>
                  <w:r>
                    <w:rPr>
                      <w:color w:val="auto"/>
                      <w:szCs w:val="21"/>
                    </w:rPr>
                    <w:t>0.007</w:t>
                  </w:r>
                </w:p>
              </w:tc>
              <w:tc>
                <w:tcPr>
                  <w:tcW w:w="1304" w:type="dxa"/>
                  <w:noWrap w:val="0"/>
                  <w:vAlign w:val="center"/>
                </w:tcPr>
                <w:p>
                  <w:pPr>
                    <w:pStyle w:val="55"/>
                    <w:adjustRightInd w:val="0"/>
                    <w:snapToGrid w:val="0"/>
                    <w:textAlignment w:val="auto"/>
                    <w:rPr>
                      <w:color w:val="auto"/>
                      <w:szCs w:val="21"/>
                    </w:rPr>
                  </w:pPr>
                  <w:r>
                    <w:rPr>
                      <w:color w:val="auto"/>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10月27日</w:t>
                  </w:r>
                </w:p>
              </w:tc>
              <w:tc>
                <w:tcPr>
                  <w:tcW w:w="1292" w:type="dxa"/>
                  <w:noWrap w:val="0"/>
                  <w:vAlign w:val="center"/>
                </w:tcPr>
                <w:p>
                  <w:pPr>
                    <w:pStyle w:val="55"/>
                    <w:adjustRightInd w:val="0"/>
                    <w:snapToGrid w:val="0"/>
                    <w:textAlignment w:val="auto"/>
                    <w:rPr>
                      <w:color w:val="auto"/>
                      <w:szCs w:val="21"/>
                    </w:rPr>
                  </w:pPr>
                  <w:r>
                    <w:rPr>
                      <w:color w:val="auto"/>
                      <w:szCs w:val="21"/>
                    </w:rPr>
                    <w:t>0.006</w:t>
                  </w:r>
                </w:p>
              </w:tc>
              <w:tc>
                <w:tcPr>
                  <w:tcW w:w="1291" w:type="dxa"/>
                  <w:noWrap w:val="0"/>
                  <w:vAlign w:val="center"/>
                </w:tcPr>
                <w:p>
                  <w:pPr>
                    <w:pStyle w:val="55"/>
                    <w:adjustRightInd w:val="0"/>
                    <w:snapToGrid w:val="0"/>
                    <w:textAlignment w:val="auto"/>
                    <w:rPr>
                      <w:color w:val="auto"/>
                      <w:szCs w:val="21"/>
                    </w:rPr>
                  </w:pPr>
                  <w:r>
                    <w:rPr>
                      <w:color w:val="auto"/>
                      <w:szCs w:val="21"/>
                    </w:rPr>
                    <w:t>0.005</w:t>
                  </w:r>
                </w:p>
              </w:tc>
              <w:tc>
                <w:tcPr>
                  <w:tcW w:w="1293" w:type="dxa"/>
                  <w:noWrap w:val="0"/>
                  <w:vAlign w:val="center"/>
                </w:tcPr>
                <w:p>
                  <w:pPr>
                    <w:pStyle w:val="55"/>
                    <w:adjustRightInd w:val="0"/>
                    <w:snapToGrid w:val="0"/>
                    <w:textAlignment w:val="auto"/>
                    <w:rPr>
                      <w:color w:val="auto"/>
                      <w:szCs w:val="21"/>
                    </w:rPr>
                  </w:pPr>
                  <w:r>
                    <w:rPr>
                      <w:color w:val="auto"/>
                      <w:szCs w:val="21"/>
                    </w:rPr>
                    <w:t>0.007</w:t>
                  </w:r>
                </w:p>
              </w:tc>
              <w:tc>
                <w:tcPr>
                  <w:tcW w:w="1304" w:type="dxa"/>
                  <w:noWrap w:val="0"/>
                  <w:vAlign w:val="center"/>
                </w:tcPr>
                <w:p>
                  <w:pPr>
                    <w:pStyle w:val="55"/>
                    <w:adjustRightInd w:val="0"/>
                    <w:snapToGrid w:val="0"/>
                    <w:textAlignment w:val="auto"/>
                    <w:rPr>
                      <w:color w:val="auto"/>
                      <w:szCs w:val="21"/>
                    </w:rPr>
                  </w:pPr>
                  <w:r>
                    <w:rPr>
                      <w:color w:val="auto"/>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0.005</w:t>
                  </w:r>
                </w:p>
              </w:tc>
              <w:tc>
                <w:tcPr>
                  <w:tcW w:w="1291" w:type="dxa"/>
                  <w:noWrap w:val="0"/>
                  <w:vAlign w:val="center"/>
                </w:tcPr>
                <w:p>
                  <w:pPr>
                    <w:pStyle w:val="55"/>
                    <w:adjustRightInd w:val="0"/>
                    <w:snapToGrid w:val="0"/>
                    <w:textAlignment w:val="auto"/>
                    <w:rPr>
                      <w:color w:val="auto"/>
                      <w:szCs w:val="21"/>
                    </w:rPr>
                  </w:pPr>
                  <w:r>
                    <w:rPr>
                      <w:color w:val="auto"/>
                      <w:szCs w:val="21"/>
                    </w:rPr>
                    <w:t>0.004</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10月28日</w:t>
                  </w:r>
                </w:p>
              </w:tc>
              <w:tc>
                <w:tcPr>
                  <w:tcW w:w="1292" w:type="dxa"/>
                  <w:noWrap w:val="0"/>
                  <w:vAlign w:val="center"/>
                </w:tcPr>
                <w:p>
                  <w:pPr>
                    <w:pStyle w:val="55"/>
                    <w:adjustRightInd w:val="0"/>
                    <w:snapToGrid w:val="0"/>
                    <w:textAlignment w:val="auto"/>
                    <w:rPr>
                      <w:color w:val="auto"/>
                      <w:szCs w:val="21"/>
                    </w:rPr>
                  </w:pPr>
                  <w:r>
                    <w:rPr>
                      <w:color w:val="auto"/>
                      <w:szCs w:val="21"/>
                    </w:rPr>
                    <w:t>0.003</w:t>
                  </w:r>
                </w:p>
              </w:tc>
              <w:tc>
                <w:tcPr>
                  <w:tcW w:w="1291" w:type="dxa"/>
                  <w:noWrap w:val="0"/>
                  <w:vAlign w:val="center"/>
                </w:tcPr>
                <w:p>
                  <w:pPr>
                    <w:pStyle w:val="55"/>
                    <w:adjustRightInd w:val="0"/>
                    <w:snapToGrid w:val="0"/>
                    <w:textAlignment w:val="auto"/>
                    <w:rPr>
                      <w:color w:val="auto"/>
                      <w:szCs w:val="21"/>
                    </w:rPr>
                  </w:pPr>
                  <w:r>
                    <w:rPr>
                      <w:color w:val="auto"/>
                      <w:szCs w:val="21"/>
                    </w:rPr>
                    <w:t>0.005</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0.005</w:t>
                  </w:r>
                </w:p>
              </w:tc>
              <w:tc>
                <w:tcPr>
                  <w:tcW w:w="1291" w:type="dxa"/>
                  <w:noWrap w:val="0"/>
                  <w:vAlign w:val="center"/>
                </w:tcPr>
                <w:p>
                  <w:pPr>
                    <w:pStyle w:val="55"/>
                    <w:adjustRightInd w:val="0"/>
                    <w:snapToGrid w:val="0"/>
                    <w:textAlignment w:val="auto"/>
                    <w:rPr>
                      <w:color w:val="auto"/>
                      <w:szCs w:val="21"/>
                    </w:rPr>
                  </w:pPr>
                  <w:r>
                    <w:rPr>
                      <w:color w:val="auto"/>
                      <w:szCs w:val="21"/>
                    </w:rPr>
                    <w:t>0.007</w:t>
                  </w:r>
                </w:p>
              </w:tc>
              <w:tc>
                <w:tcPr>
                  <w:tcW w:w="1293" w:type="dxa"/>
                  <w:noWrap w:val="0"/>
                  <w:vAlign w:val="center"/>
                </w:tcPr>
                <w:p>
                  <w:pPr>
                    <w:pStyle w:val="55"/>
                    <w:adjustRightInd w:val="0"/>
                    <w:snapToGrid w:val="0"/>
                    <w:textAlignment w:val="auto"/>
                    <w:rPr>
                      <w:color w:val="auto"/>
                      <w:szCs w:val="21"/>
                    </w:rPr>
                  </w:pPr>
                  <w:r>
                    <w:rPr>
                      <w:color w:val="auto"/>
                      <w:szCs w:val="21"/>
                    </w:rPr>
                    <w:t>0.008</w:t>
                  </w:r>
                </w:p>
              </w:tc>
              <w:tc>
                <w:tcPr>
                  <w:tcW w:w="1304" w:type="dxa"/>
                  <w:noWrap w:val="0"/>
                  <w:vAlign w:val="center"/>
                </w:tcPr>
                <w:p>
                  <w:pPr>
                    <w:pStyle w:val="55"/>
                    <w:adjustRightInd w:val="0"/>
                    <w:snapToGrid w:val="0"/>
                    <w:textAlignment w:val="auto"/>
                    <w:rPr>
                      <w:color w:val="auto"/>
                      <w:szCs w:val="21"/>
                    </w:rPr>
                  </w:pPr>
                  <w:r>
                    <w:rPr>
                      <w:color w:val="auto"/>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10月29日</w:t>
                  </w:r>
                </w:p>
              </w:tc>
              <w:tc>
                <w:tcPr>
                  <w:tcW w:w="1292" w:type="dxa"/>
                  <w:noWrap w:val="0"/>
                  <w:vAlign w:val="center"/>
                </w:tcPr>
                <w:p>
                  <w:pPr>
                    <w:pStyle w:val="55"/>
                    <w:adjustRightInd w:val="0"/>
                    <w:snapToGrid w:val="0"/>
                    <w:textAlignment w:val="auto"/>
                    <w:rPr>
                      <w:color w:val="auto"/>
                      <w:szCs w:val="21"/>
                    </w:rPr>
                  </w:pPr>
                  <w:r>
                    <w:rPr>
                      <w:color w:val="auto"/>
                      <w:szCs w:val="21"/>
                    </w:rPr>
                    <w:t>0.004</w:t>
                  </w:r>
                </w:p>
              </w:tc>
              <w:tc>
                <w:tcPr>
                  <w:tcW w:w="1291" w:type="dxa"/>
                  <w:noWrap w:val="0"/>
                  <w:vAlign w:val="center"/>
                </w:tcPr>
                <w:p>
                  <w:pPr>
                    <w:pStyle w:val="55"/>
                    <w:adjustRightInd w:val="0"/>
                    <w:snapToGrid w:val="0"/>
                    <w:textAlignment w:val="auto"/>
                    <w:rPr>
                      <w:color w:val="auto"/>
                      <w:szCs w:val="21"/>
                    </w:rPr>
                  </w:pPr>
                  <w:r>
                    <w:rPr>
                      <w:color w:val="auto"/>
                      <w:szCs w:val="21"/>
                    </w:rPr>
                    <w:t>0.007</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0.007</w:t>
                  </w:r>
                </w:p>
              </w:tc>
              <w:tc>
                <w:tcPr>
                  <w:tcW w:w="1291" w:type="dxa"/>
                  <w:noWrap w:val="0"/>
                  <w:vAlign w:val="center"/>
                </w:tcPr>
                <w:p>
                  <w:pPr>
                    <w:pStyle w:val="55"/>
                    <w:adjustRightInd w:val="0"/>
                    <w:snapToGrid w:val="0"/>
                    <w:textAlignment w:val="auto"/>
                    <w:rPr>
                      <w:color w:val="auto"/>
                      <w:szCs w:val="21"/>
                    </w:rPr>
                  </w:pPr>
                  <w:r>
                    <w:rPr>
                      <w:color w:val="auto"/>
                      <w:szCs w:val="21"/>
                    </w:rPr>
                    <w:t>0.002</w:t>
                  </w:r>
                </w:p>
              </w:tc>
              <w:tc>
                <w:tcPr>
                  <w:tcW w:w="1293" w:type="dxa"/>
                  <w:noWrap w:val="0"/>
                  <w:vAlign w:val="center"/>
                </w:tcPr>
                <w:p>
                  <w:pPr>
                    <w:pStyle w:val="55"/>
                    <w:adjustRightInd w:val="0"/>
                    <w:snapToGrid w:val="0"/>
                    <w:textAlignment w:val="auto"/>
                    <w:rPr>
                      <w:color w:val="auto"/>
                      <w:szCs w:val="21"/>
                    </w:rPr>
                  </w:pPr>
                  <w:r>
                    <w:rPr>
                      <w:color w:val="auto"/>
                      <w:szCs w:val="21"/>
                    </w:rPr>
                    <w:t>0.006</w:t>
                  </w:r>
                </w:p>
              </w:tc>
              <w:tc>
                <w:tcPr>
                  <w:tcW w:w="1304" w:type="dxa"/>
                  <w:noWrap w:val="0"/>
                  <w:vAlign w:val="center"/>
                </w:tcPr>
                <w:p>
                  <w:pPr>
                    <w:pStyle w:val="55"/>
                    <w:adjustRightInd w:val="0"/>
                    <w:snapToGrid w:val="0"/>
                    <w:textAlignment w:val="auto"/>
                    <w:rPr>
                      <w:color w:val="auto"/>
                      <w:szCs w:val="21"/>
                    </w:rPr>
                  </w:pPr>
                  <w:r>
                    <w:rPr>
                      <w:color w:val="auto"/>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10月30日</w:t>
                  </w:r>
                </w:p>
              </w:tc>
              <w:tc>
                <w:tcPr>
                  <w:tcW w:w="1292" w:type="dxa"/>
                  <w:noWrap w:val="0"/>
                  <w:vAlign w:val="center"/>
                </w:tcPr>
                <w:p>
                  <w:pPr>
                    <w:pStyle w:val="55"/>
                    <w:adjustRightInd w:val="0"/>
                    <w:snapToGrid w:val="0"/>
                    <w:textAlignment w:val="auto"/>
                    <w:rPr>
                      <w:color w:val="auto"/>
                      <w:szCs w:val="21"/>
                    </w:rPr>
                  </w:pPr>
                  <w:r>
                    <w:rPr>
                      <w:color w:val="auto"/>
                      <w:szCs w:val="21"/>
                    </w:rPr>
                    <w:t>0.006</w:t>
                  </w:r>
                </w:p>
              </w:tc>
              <w:tc>
                <w:tcPr>
                  <w:tcW w:w="1291" w:type="dxa"/>
                  <w:noWrap w:val="0"/>
                  <w:vAlign w:val="center"/>
                </w:tcPr>
                <w:p>
                  <w:pPr>
                    <w:pStyle w:val="55"/>
                    <w:adjustRightInd w:val="0"/>
                    <w:snapToGrid w:val="0"/>
                    <w:textAlignment w:val="auto"/>
                    <w:rPr>
                      <w:color w:val="auto"/>
                      <w:szCs w:val="21"/>
                    </w:rPr>
                  </w:pPr>
                  <w:r>
                    <w:rPr>
                      <w:color w:val="auto"/>
                      <w:szCs w:val="21"/>
                    </w:rPr>
                    <w:t>0.003</w:t>
                  </w:r>
                </w:p>
              </w:tc>
              <w:tc>
                <w:tcPr>
                  <w:tcW w:w="1293" w:type="dxa"/>
                  <w:noWrap w:val="0"/>
                  <w:vAlign w:val="center"/>
                </w:tcPr>
                <w:p>
                  <w:pPr>
                    <w:pStyle w:val="55"/>
                    <w:adjustRightInd w:val="0"/>
                    <w:snapToGrid w:val="0"/>
                    <w:textAlignment w:val="auto"/>
                    <w:rPr>
                      <w:color w:val="auto"/>
                      <w:szCs w:val="21"/>
                    </w:rPr>
                  </w:pPr>
                  <w:r>
                    <w:rPr>
                      <w:color w:val="auto"/>
                      <w:szCs w:val="21"/>
                    </w:rPr>
                    <w:t>0.006</w:t>
                  </w:r>
                </w:p>
              </w:tc>
              <w:tc>
                <w:tcPr>
                  <w:tcW w:w="1304" w:type="dxa"/>
                  <w:noWrap w:val="0"/>
                  <w:vAlign w:val="center"/>
                </w:tcPr>
                <w:p>
                  <w:pPr>
                    <w:pStyle w:val="55"/>
                    <w:adjustRightInd w:val="0"/>
                    <w:snapToGrid w:val="0"/>
                    <w:textAlignment w:val="auto"/>
                    <w:rPr>
                      <w:color w:val="auto"/>
                      <w:szCs w:val="21"/>
                    </w:rPr>
                  </w:pPr>
                  <w:r>
                    <w:rPr>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0.002</w:t>
                  </w:r>
                </w:p>
              </w:tc>
              <w:tc>
                <w:tcPr>
                  <w:tcW w:w="1291" w:type="dxa"/>
                  <w:noWrap w:val="0"/>
                  <w:vAlign w:val="center"/>
                </w:tcPr>
                <w:p>
                  <w:pPr>
                    <w:pStyle w:val="55"/>
                    <w:adjustRightInd w:val="0"/>
                    <w:snapToGrid w:val="0"/>
                    <w:textAlignment w:val="auto"/>
                    <w:rPr>
                      <w:color w:val="auto"/>
                      <w:szCs w:val="21"/>
                    </w:rPr>
                  </w:pPr>
                  <w:r>
                    <w:rPr>
                      <w:color w:val="auto"/>
                      <w:szCs w:val="21"/>
                    </w:rPr>
                    <w:t>0.004</w:t>
                  </w:r>
                </w:p>
              </w:tc>
              <w:tc>
                <w:tcPr>
                  <w:tcW w:w="1293" w:type="dxa"/>
                  <w:noWrap w:val="0"/>
                  <w:vAlign w:val="center"/>
                </w:tcPr>
                <w:p>
                  <w:pPr>
                    <w:pStyle w:val="55"/>
                    <w:adjustRightInd w:val="0"/>
                    <w:snapToGrid w:val="0"/>
                    <w:textAlignment w:val="auto"/>
                    <w:rPr>
                      <w:color w:val="auto"/>
                      <w:szCs w:val="21"/>
                    </w:rPr>
                  </w:pPr>
                  <w:r>
                    <w:rPr>
                      <w:color w:val="auto"/>
                      <w:szCs w:val="21"/>
                    </w:rPr>
                    <w:t>0.005</w:t>
                  </w:r>
                </w:p>
              </w:tc>
              <w:tc>
                <w:tcPr>
                  <w:tcW w:w="1304" w:type="dxa"/>
                  <w:noWrap w:val="0"/>
                  <w:vAlign w:val="center"/>
                </w:tcPr>
                <w:p>
                  <w:pPr>
                    <w:pStyle w:val="55"/>
                    <w:adjustRightInd w:val="0"/>
                    <w:snapToGrid w:val="0"/>
                    <w:textAlignment w:val="auto"/>
                    <w:rPr>
                      <w:color w:val="auto"/>
                      <w:szCs w:val="21"/>
                    </w:rPr>
                  </w:pPr>
                  <w:r>
                    <w:rPr>
                      <w:color w:val="auto"/>
                      <w:szCs w:val="21"/>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restart"/>
                  <w:noWrap w:val="0"/>
                  <w:vAlign w:val="center"/>
                </w:tcPr>
                <w:p>
                  <w:pPr>
                    <w:pStyle w:val="55"/>
                    <w:adjustRightInd w:val="0"/>
                    <w:snapToGrid w:val="0"/>
                    <w:textAlignment w:val="auto"/>
                    <w:rPr>
                      <w:color w:val="auto"/>
                      <w:szCs w:val="21"/>
                    </w:rPr>
                  </w:pPr>
                  <w:r>
                    <w:rPr>
                      <w:color w:val="auto"/>
                      <w:szCs w:val="21"/>
                    </w:rPr>
                    <w:t>NH</w:t>
                  </w:r>
                  <w:r>
                    <w:rPr>
                      <w:color w:val="auto"/>
                      <w:szCs w:val="21"/>
                      <w:vertAlign w:val="subscript"/>
                    </w:rPr>
                    <w:t>3</w:t>
                  </w: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10月24日</w:t>
                  </w:r>
                </w:p>
              </w:tc>
              <w:tc>
                <w:tcPr>
                  <w:tcW w:w="1292" w:type="dxa"/>
                  <w:noWrap w:val="0"/>
                  <w:vAlign w:val="center"/>
                </w:tcPr>
                <w:p>
                  <w:pPr>
                    <w:pStyle w:val="55"/>
                    <w:adjustRightInd w:val="0"/>
                    <w:snapToGrid w:val="0"/>
                    <w:textAlignment w:val="auto"/>
                    <w:rPr>
                      <w:color w:val="auto"/>
                      <w:szCs w:val="21"/>
                    </w:rPr>
                  </w:pPr>
                  <w:r>
                    <w:rPr>
                      <w:color w:val="auto"/>
                      <w:szCs w:val="21"/>
                    </w:rPr>
                    <w:t>0.03</w:t>
                  </w:r>
                </w:p>
              </w:tc>
              <w:tc>
                <w:tcPr>
                  <w:tcW w:w="1291" w:type="dxa"/>
                  <w:noWrap w:val="0"/>
                  <w:vAlign w:val="center"/>
                </w:tcPr>
                <w:p>
                  <w:pPr>
                    <w:pStyle w:val="55"/>
                    <w:adjustRightInd w:val="0"/>
                    <w:snapToGrid w:val="0"/>
                    <w:textAlignment w:val="auto"/>
                    <w:rPr>
                      <w:color w:val="auto"/>
                      <w:szCs w:val="21"/>
                    </w:rPr>
                  </w:pPr>
                  <w:r>
                    <w:rPr>
                      <w:color w:val="auto"/>
                      <w:szCs w:val="21"/>
                    </w:rPr>
                    <w:t>0.06</w:t>
                  </w:r>
                </w:p>
              </w:tc>
              <w:tc>
                <w:tcPr>
                  <w:tcW w:w="1293" w:type="dxa"/>
                  <w:noWrap w:val="0"/>
                  <w:vAlign w:val="center"/>
                </w:tcPr>
                <w:p>
                  <w:pPr>
                    <w:pStyle w:val="55"/>
                    <w:adjustRightInd w:val="0"/>
                    <w:snapToGrid w:val="0"/>
                    <w:textAlignment w:val="auto"/>
                    <w:rPr>
                      <w:color w:val="auto"/>
                      <w:szCs w:val="21"/>
                    </w:rPr>
                  </w:pPr>
                  <w:r>
                    <w:rPr>
                      <w:color w:val="auto"/>
                      <w:szCs w:val="21"/>
                    </w:rPr>
                    <w:t>0.10</w:t>
                  </w:r>
                </w:p>
              </w:tc>
              <w:tc>
                <w:tcPr>
                  <w:tcW w:w="1304" w:type="dxa"/>
                  <w:noWrap w:val="0"/>
                  <w:vAlign w:val="center"/>
                </w:tcPr>
                <w:p>
                  <w:pPr>
                    <w:pStyle w:val="55"/>
                    <w:adjustRightInd w:val="0"/>
                    <w:snapToGrid w:val="0"/>
                    <w:textAlignment w:val="auto"/>
                    <w:rPr>
                      <w:color w:val="auto"/>
                      <w:szCs w:val="21"/>
                    </w:rPr>
                  </w:pPr>
                  <w:r>
                    <w:rPr>
                      <w:color w:val="auto"/>
                      <w:szCs w:val="21"/>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0.06</w:t>
                  </w:r>
                </w:p>
              </w:tc>
              <w:tc>
                <w:tcPr>
                  <w:tcW w:w="1291" w:type="dxa"/>
                  <w:noWrap w:val="0"/>
                  <w:vAlign w:val="center"/>
                </w:tcPr>
                <w:p>
                  <w:pPr>
                    <w:pStyle w:val="55"/>
                    <w:adjustRightInd w:val="0"/>
                    <w:snapToGrid w:val="0"/>
                    <w:textAlignment w:val="auto"/>
                    <w:rPr>
                      <w:color w:val="auto"/>
                      <w:szCs w:val="21"/>
                    </w:rPr>
                  </w:pPr>
                  <w:r>
                    <w:rPr>
                      <w:color w:val="auto"/>
                      <w:szCs w:val="21"/>
                    </w:rPr>
                    <w:t>0.05</w:t>
                  </w:r>
                </w:p>
              </w:tc>
              <w:tc>
                <w:tcPr>
                  <w:tcW w:w="1293" w:type="dxa"/>
                  <w:noWrap w:val="0"/>
                  <w:vAlign w:val="center"/>
                </w:tcPr>
                <w:p>
                  <w:pPr>
                    <w:pStyle w:val="55"/>
                    <w:adjustRightInd w:val="0"/>
                    <w:snapToGrid w:val="0"/>
                    <w:textAlignment w:val="auto"/>
                    <w:rPr>
                      <w:color w:val="auto"/>
                      <w:szCs w:val="21"/>
                    </w:rPr>
                  </w:pPr>
                  <w:r>
                    <w:rPr>
                      <w:color w:val="auto"/>
                      <w:szCs w:val="21"/>
                    </w:rPr>
                    <w:t>0.08</w:t>
                  </w:r>
                </w:p>
              </w:tc>
              <w:tc>
                <w:tcPr>
                  <w:tcW w:w="1304" w:type="dxa"/>
                  <w:noWrap w:val="0"/>
                  <w:vAlign w:val="center"/>
                </w:tcPr>
                <w:p>
                  <w:pPr>
                    <w:pStyle w:val="55"/>
                    <w:adjustRightInd w:val="0"/>
                    <w:snapToGrid w:val="0"/>
                    <w:textAlignment w:val="auto"/>
                    <w:rPr>
                      <w:color w:val="auto"/>
                      <w:szCs w:val="21"/>
                    </w:rPr>
                  </w:pPr>
                  <w:r>
                    <w:rPr>
                      <w:color w:val="auto"/>
                      <w:szCs w:val="21"/>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10月25日</w:t>
                  </w:r>
                </w:p>
              </w:tc>
              <w:tc>
                <w:tcPr>
                  <w:tcW w:w="1292" w:type="dxa"/>
                  <w:noWrap w:val="0"/>
                  <w:vAlign w:val="center"/>
                </w:tcPr>
                <w:p>
                  <w:pPr>
                    <w:pStyle w:val="55"/>
                    <w:adjustRightInd w:val="0"/>
                    <w:snapToGrid w:val="0"/>
                    <w:textAlignment w:val="auto"/>
                    <w:rPr>
                      <w:color w:val="auto"/>
                      <w:szCs w:val="21"/>
                    </w:rPr>
                  </w:pPr>
                  <w:r>
                    <w:rPr>
                      <w:color w:val="auto"/>
                      <w:szCs w:val="21"/>
                    </w:rPr>
                    <w:t>0.05</w:t>
                  </w:r>
                </w:p>
              </w:tc>
              <w:tc>
                <w:tcPr>
                  <w:tcW w:w="1291" w:type="dxa"/>
                  <w:noWrap w:val="0"/>
                  <w:vAlign w:val="center"/>
                </w:tcPr>
                <w:p>
                  <w:pPr>
                    <w:pStyle w:val="55"/>
                    <w:adjustRightInd w:val="0"/>
                    <w:snapToGrid w:val="0"/>
                    <w:textAlignment w:val="auto"/>
                    <w:rPr>
                      <w:color w:val="auto"/>
                      <w:szCs w:val="21"/>
                    </w:rPr>
                  </w:pPr>
                  <w:r>
                    <w:rPr>
                      <w:color w:val="auto"/>
                      <w:szCs w:val="21"/>
                    </w:rPr>
                    <w:t>0.07</w:t>
                  </w:r>
                </w:p>
              </w:tc>
              <w:tc>
                <w:tcPr>
                  <w:tcW w:w="1293" w:type="dxa"/>
                  <w:noWrap w:val="0"/>
                  <w:vAlign w:val="center"/>
                </w:tcPr>
                <w:p>
                  <w:pPr>
                    <w:pStyle w:val="55"/>
                    <w:adjustRightInd w:val="0"/>
                    <w:snapToGrid w:val="0"/>
                    <w:textAlignment w:val="auto"/>
                    <w:rPr>
                      <w:color w:val="auto"/>
                      <w:szCs w:val="21"/>
                    </w:rPr>
                  </w:pPr>
                  <w:r>
                    <w:rPr>
                      <w:color w:val="auto"/>
                      <w:szCs w:val="21"/>
                    </w:rPr>
                    <w:t>0.08</w:t>
                  </w:r>
                </w:p>
              </w:tc>
              <w:tc>
                <w:tcPr>
                  <w:tcW w:w="1304" w:type="dxa"/>
                  <w:noWrap w:val="0"/>
                  <w:vAlign w:val="center"/>
                </w:tcPr>
                <w:p>
                  <w:pPr>
                    <w:pStyle w:val="55"/>
                    <w:adjustRightInd w:val="0"/>
                    <w:snapToGrid w:val="0"/>
                    <w:textAlignment w:val="auto"/>
                    <w:rPr>
                      <w:color w:val="auto"/>
                      <w:szCs w:val="21"/>
                    </w:rPr>
                  </w:pPr>
                  <w:r>
                    <w:rPr>
                      <w:color w:val="auto"/>
                      <w:szCs w:val="21"/>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0.08</w:t>
                  </w:r>
                </w:p>
              </w:tc>
              <w:tc>
                <w:tcPr>
                  <w:tcW w:w="1291" w:type="dxa"/>
                  <w:noWrap w:val="0"/>
                  <w:vAlign w:val="center"/>
                </w:tcPr>
                <w:p>
                  <w:pPr>
                    <w:pStyle w:val="55"/>
                    <w:adjustRightInd w:val="0"/>
                    <w:snapToGrid w:val="0"/>
                    <w:textAlignment w:val="auto"/>
                    <w:rPr>
                      <w:color w:val="auto"/>
                      <w:szCs w:val="21"/>
                    </w:rPr>
                  </w:pPr>
                  <w:r>
                    <w:rPr>
                      <w:color w:val="auto"/>
                      <w:szCs w:val="21"/>
                    </w:rPr>
                    <w:t>0.08</w:t>
                  </w:r>
                </w:p>
              </w:tc>
              <w:tc>
                <w:tcPr>
                  <w:tcW w:w="1293" w:type="dxa"/>
                  <w:noWrap w:val="0"/>
                  <w:vAlign w:val="center"/>
                </w:tcPr>
                <w:p>
                  <w:pPr>
                    <w:pStyle w:val="55"/>
                    <w:adjustRightInd w:val="0"/>
                    <w:snapToGrid w:val="0"/>
                    <w:textAlignment w:val="auto"/>
                    <w:rPr>
                      <w:color w:val="auto"/>
                      <w:szCs w:val="21"/>
                    </w:rPr>
                  </w:pPr>
                  <w:r>
                    <w:rPr>
                      <w:color w:val="auto"/>
                      <w:szCs w:val="21"/>
                    </w:rPr>
                    <w:t>0.06</w:t>
                  </w:r>
                </w:p>
              </w:tc>
              <w:tc>
                <w:tcPr>
                  <w:tcW w:w="1304" w:type="dxa"/>
                  <w:noWrap w:val="0"/>
                  <w:vAlign w:val="center"/>
                </w:tcPr>
                <w:p>
                  <w:pPr>
                    <w:pStyle w:val="55"/>
                    <w:adjustRightInd w:val="0"/>
                    <w:snapToGrid w:val="0"/>
                    <w:textAlignment w:val="auto"/>
                    <w:rPr>
                      <w:color w:val="auto"/>
                      <w:szCs w:val="21"/>
                    </w:rPr>
                  </w:pPr>
                  <w:r>
                    <w:rPr>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10月26日</w:t>
                  </w:r>
                </w:p>
              </w:tc>
              <w:tc>
                <w:tcPr>
                  <w:tcW w:w="1292" w:type="dxa"/>
                  <w:noWrap w:val="0"/>
                  <w:vAlign w:val="center"/>
                </w:tcPr>
                <w:p>
                  <w:pPr>
                    <w:pStyle w:val="55"/>
                    <w:adjustRightInd w:val="0"/>
                    <w:snapToGrid w:val="0"/>
                    <w:textAlignment w:val="auto"/>
                    <w:rPr>
                      <w:color w:val="auto"/>
                      <w:szCs w:val="21"/>
                    </w:rPr>
                  </w:pPr>
                  <w:r>
                    <w:rPr>
                      <w:color w:val="auto"/>
                      <w:szCs w:val="21"/>
                    </w:rPr>
                    <w:t>0.06</w:t>
                  </w:r>
                </w:p>
              </w:tc>
              <w:tc>
                <w:tcPr>
                  <w:tcW w:w="1291" w:type="dxa"/>
                  <w:noWrap w:val="0"/>
                  <w:vAlign w:val="center"/>
                </w:tcPr>
                <w:p>
                  <w:pPr>
                    <w:pStyle w:val="55"/>
                    <w:adjustRightInd w:val="0"/>
                    <w:snapToGrid w:val="0"/>
                    <w:textAlignment w:val="auto"/>
                    <w:rPr>
                      <w:color w:val="auto"/>
                      <w:szCs w:val="21"/>
                    </w:rPr>
                  </w:pPr>
                  <w:r>
                    <w:rPr>
                      <w:color w:val="auto"/>
                      <w:szCs w:val="21"/>
                    </w:rPr>
                    <w:t>0.09</w:t>
                  </w:r>
                </w:p>
              </w:tc>
              <w:tc>
                <w:tcPr>
                  <w:tcW w:w="1293" w:type="dxa"/>
                  <w:noWrap w:val="0"/>
                  <w:vAlign w:val="center"/>
                </w:tcPr>
                <w:p>
                  <w:pPr>
                    <w:pStyle w:val="55"/>
                    <w:adjustRightInd w:val="0"/>
                    <w:snapToGrid w:val="0"/>
                    <w:textAlignment w:val="auto"/>
                    <w:rPr>
                      <w:color w:val="auto"/>
                      <w:szCs w:val="21"/>
                    </w:rPr>
                  </w:pPr>
                  <w:r>
                    <w:rPr>
                      <w:color w:val="auto"/>
                      <w:szCs w:val="21"/>
                    </w:rPr>
                    <w:t>0.07</w:t>
                  </w:r>
                </w:p>
              </w:tc>
              <w:tc>
                <w:tcPr>
                  <w:tcW w:w="1304" w:type="dxa"/>
                  <w:noWrap w:val="0"/>
                  <w:vAlign w:val="center"/>
                </w:tcPr>
                <w:p>
                  <w:pPr>
                    <w:pStyle w:val="55"/>
                    <w:adjustRightInd w:val="0"/>
                    <w:snapToGrid w:val="0"/>
                    <w:textAlignment w:val="auto"/>
                    <w:rPr>
                      <w:color w:val="auto"/>
                      <w:szCs w:val="21"/>
                    </w:rPr>
                  </w:pPr>
                  <w:r>
                    <w:rPr>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0.09</w:t>
                  </w:r>
                </w:p>
              </w:tc>
              <w:tc>
                <w:tcPr>
                  <w:tcW w:w="1291" w:type="dxa"/>
                  <w:noWrap w:val="0"/>
                  <w:vAlign w:val="center"/>
                </w:tcPr>
                <w:p>
                  <w:pPr>
                    <w:pStyle w:val="55"/>
                    <w:adjustRightInd w:val="0"/>
                    <w:snapToGrid w:val="0"/>
                    <w:textAlignment w:val="auto"/>
                    <w:rPr>
                      <w:color w:val="auto"/>
                      <w:szCs w:val="21"/>
                    </w:rPr>
                  </w:pPr>
                  <w:r>
                    <w:rPr>
                      <w:color w:val="auto"/>
                      <w:szCs w:val="21"/>
                    </w:rPr>
                    <w:t>0.08</w:t>
                  </w:r>
                </w:p>
              </w:tc>
              <w:tc>
                <w:tcPr>
                  <w:tcW w:w="1293" w:type="dxa"/>
                  <w:noWrap w:val="0"/>
                  <w:vAlign w:val="center"/>
                </w:tcPr>
                <w:p>
                  <w:pPr>
                    <w:pStyle w:val="55"/>
                    <w:adjustRightInd w:val="0"/>
                    <w:snapToGrid w:val="0"/>
                    <w:textAlignment w:val="auto"/>
                    <w:rPr>
                      <w:color w:val="auto"/>
                      <w:szCs w:val="21"/>
                    </w:rPr>
                  </w:pPr>
                  <w:r>
                    <w:rPr>
                      <w:color w:val="auto"/>
                      <w:szCs w:val="21"/>
                    </w:rPr>
                    <w:t>0.10</w:t>
                  </w:r>
                </w:p>
              </w:tc>
              <w:tc>
                <w:tcPr>
                  <w:tcW w:w="1304" w:type="dxa"/>
                  <w:noWrap w:val="0"/>
                  <w:vAlign w:val="center"/>
                </w:tcPr>
                <w:p>
                  <w:pPr>
                    <w:pStyle w:val="55"/>
                    <w:adjustRightInd w:val="0"/>
                    <w:snapToGrid w:val="0"/>
                    <w:textAlignment w:val="auto"/>
                    <w:rPr>
                      <w:color w:val="auto"/>
                      <w:szCs w:val="21"/>
                    </w:rPr>
                  </w:pPr>
                  <w:r>
                    <w:rPr>
                      <w:color w:val="auto"/>
                      <w:szCs w:val="21"/>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10月27日</w:t>
                  </w:r>
                </w:p>
              </w:tc>
              <w:tc>
                <w:tcPr>
                  <w:tcW w:w="1292" w:type="dxa"/>
                  <w:noWrap w:val="0"/>
                  <w:vAlign w:val="center"/>
                </w:tcPr>
                <w:p>
                  <w:pPr>
                    <w:pStyle w:val="55"/>
                    <w:adjustRightInd w:val="0"/>
                    <w:snapToGrid w:val="0"/>
                    <w:textAlignment w:val="auto"/>
                    <w:rPr>
                      <w:color w:val="auto"/>
                      <w:szCs w:val="21"/>
                    </w:rPr>
                  </w:pPr>
                  <w:r>
                    <w:rPr>
                      <w:color w:val="auto"/>
                      <w:szCs w:val="21"/>
                    </w:rPr>
                    <w:t>0.05</w:t>
                  </w:r>
                </w:p>
              </w:tc>
              <w:tc>
                <w:tcPr>
                  <w:tcW w:w="1291" w:type="dxa"/>
                  <w:noWrap w:val="0"/>
                  <w:vAlign w:val="center"/>
                </w:tcPr>
                <w:p>
                  <w:pPr>
                    <w:pStyle w:val="55"/>
                    <w:adjustRightInd w:val="0"/>
                    <w:snapToGrid w:val="0"/>
                    <w:textAlignment w:val="auto"/>
                    <w:rPr>
                      <w:color w:val="auto"/>
                      <w:szCs w:val="21"/>
                    </w:rPr>
                  </w:pPr>
                  <w:r>
                    <w:rPr>
                      <w:color w:val="auto"/>
                      <w:szCs w:val="21"/>
                    </w:rPr>
                    <w:t>0.003</w:t>
                  </w:r>
                </w:p>
              </w:tc>
              <w:tc>
                <w:tcPr>
                  <w:tcW w:w="1293" w:type="dxa"/>
                  <w:noWrap w:val="0"/>
                  <w:vAlign w:val="center"/>
                </w:tcPr>
                <w:p>
                  <w:pPr>
                    <w:pStyle w:val="55"/>
                    <w:adjustRightInd w:val="0"/>
                    <w:snapToGrid w:val="0"/>
                    <w:textAlignment w:val="auto"/>
                    <w:rPr>
                      <w:color w:val="auto"/>
                      <w:szCs w:val="21"/>
                    </w:rPr>
                  </w:pPr>
                  <w:r>
                    <w:rPr>
                      <w:color w:val="auto"/>
                      <w:szCs w:val="21"/>
                    </w:rPr>
                    <w:t>0.04</w:t>
                  </w:r>
                </w:p>
              </w:tc>
              <w:tc>
                <w:tcPr>
                  <w:tcW w:w="1304" w:type="dxa"/>
                  <w:noWrap w:val="0"/>
                  <w:vAlign w:val="center"/>
                </w:tcPr>
                <w:p>
                  <w:pPr>
                    <w:pStyle w:val="55"/>
                    <w:adjustRightInd w:val="0"/>
                    <w:snapToGrid w:val="0"/>
                    <w:textAlignment w:val="auto"/>
                    <w:rPr>
                      <w:color w:val="auto"/>
                      <w:szCs w:val="21"/>
                    </w:rPr>
                  </w:pPr>
                  <w:r>
                    <w:rPr>
                      <w:color w:val="auto"/>
                      <w:szCs w:val="21"/>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0.06</w:t>
                  </w:r>
                </w:p>
              </w:tc>
              <w:tc>
                <w:tcPr>
                  <w:tcW w:w="1291" w:type="dxa"/>
                  <w:noWrap w:val="0"/>
                  <w:vAlign w:val="center"/>
                </w:tcPr>
                <w:p>
                  <w:pPr>
                    <w:pStyle w:val="55"/>
                    <w:adjustRightInd w:val="0"/>
                    <w:snapToGrid w:val="0"/>
                    <w:textAlignment w:val="auto"/>
                    <w:rPr>
                      <w:color w:val="auto"/>
                      <w:szCs w:val="21"/>
                    </w:rPr>
                  </w:pPr>
                  <w:r>
                    <w:rPr>
                      <w:color w:val="auto"/>
                      <w:szCs w:val="21"/>
                    </w:rPr>
                    <w:t>0.05</w:t>
                  </w:r>
                </w:p>
              </w:tc>
              <w:tc>
                <w:tcPr>
                  <w:tcW w:w="1293" w:type="dxa"/>
                  <w:noWrap w:val="0"/>
                  <w:vAlign w:val="center"/>
                </w:tcPr>
                <w:p>
                  <w:pPr>
                    <w:pStyle w:val="55"/>
                    <w:adjustRightInd w:val="0"/>
                    <w:snapToGrid w:val="0"/>
                    <w:textAlignment w:val="auto"/>
                    <w:rPr>
                      <w:color w:val="auto"/>
                      <w:szCs w:val="21"/>
                    </w:rPr>
                  </w:pPr>
                  <w:r>
                    <w:rPr>
                      <w:color w:val="auto"/>
                      <w:szCs w:val="21"/>
                    </w:rPr>
                    <w:t>0.04</w:t>
                  </w:r>
                </w:p>
              </w:tc>
              <w:tc>
                <w:tcPr>
                  <w:tcW w:w="1304" w:type="dxa"/>
                  <w:noWrap w:val="0"/>
                  <w:vAlign w:val="center"/>
                </w:tcPr>
                <w:p>
                  <w:pPr>
                    <w:pStyle w:val="55"/>
                    <w:adjustRightInd w:val="0"/>
                    <w:snapToGrid w:val="0"/>
                    <w:textAlignment w:val="auto"/>
                    <w:rPr>
                      <w:color w:val="auto"/>
                      <w:szCs w:val="21"/>
                    </w:rPr>
                  </w:pPr>
                  <w:r>
                    <w:rPr>
                      <w:color w:val="auto"/>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10月28日</w:t>
                  </w:r>
                </w:p>
              </w:tc>
              <w:tc>
                <w:tcPr>
                  <w:tcW w:w="1292" w:type="dxa"/>
                  <w:noWrap w:val="0"/>
                  <w:vAlign w:val="center"/>
                </w:tcPr>
                <w:p>
                  <w:pPr>
                    <w:pStyle w:val="55"/>
                    <w:adjustRightInd w:val="0"/>
                    <w:snapToGrid w:val="0"/>
                    <w:textAlignment w:val="auto"/>
                    <w:rPr>
                      <w:color w:val="auto"/>
                      <w:szCs w:val="21"/>
                    </w:rPr>
                  </w:pPr>
                  <w:r>
                    <w:rPr>
                      <w:color w:val="auto"/>
                      <w:szCs w:val="21"/>
                    </w:rPr>
                    <w:t>0.09</w:t>
                  </w:r>
                </w:p>
              </w:tc>
              <w:tc>
                <w:tcPr>
                  <w:tcW w:w="1291" w:type="dxa"/>
                  <w:noWrap w:val="0"/>
                  <w:vAlign w:val="center"/>
                </w:tcPr>
                <w:p>
                  <w:pPr>
                    <w:pStyle w:val="55"/>
                    <w:adjustRightInd w:val="0"/>
                    <w:snapToGrid w:val="0"/>
                    <w:textAlignment w:val="auto"/>
                    <w:rPr>
                      <w:color w:val="auto"/>
                      <w:szCs w:val="21"/>
                    </w:rPr>
                  </w:pPr>
                  <w:r>
                    <w:rPr>
                      <w:color w:val="auto"/>
                      <w:szCs w:val="21"/>
                    </w:rPr>
                    <w:t>0.10</w:t>
                  </w:r>
                </w:p>
              </w:tc>
              <w:tc>
                <w:tcPr>
                  <w:tcW w:w="1293" w:type="dxa"/>
                  <w:noWrap w:val="0"/>
                  <w:vAlign w:val="center"/>
                </w:tcPr>
                <w:p>
                  <w:pPr>
                    <w:pStyle w:val="55"/>
                    <w:adjustRightInd w:val="0"/>
                    <w:snapToGrid w:val="0"/>
                    <w:textAlignment w:val="auto"/>
                    <w:rPr>
                      <w:color w:val="auto"/>
                      <w:szCs w:val="21"/>
                    </w:rPr>
                  </w:pPr>
                  <w:r>
                    <w:rPr>
                      <w:color w:val="auto"/>
                      <w:szCs w:val="21"/>
                    </w:rPr>
                    <w:t>0.06</w:t>
                  </w:r>
                </w:p>
              </w:tc>
              <w:tc>
                <w:tcPr>
                  <w:tcW w:w="1304" w:type="dxa"/>
                  <w:noWrap w:val="0"/>
                  <w:vAlign w:val="center"/>
                </w:tcPr>
                <w:p>
                  <w:pPr>
                    <w:pStyle w:val="55"/>
                    <w:adjustRightInd w:val="0"/>
                    <w:snapToGrid w:val="0"/>
                    <w:textAlignment w:val="auto"/>
                    <w:rPr>
                      <w:color w:val="auto"/>
                      <w:szCs w:val="21"/>
                    </w:rPr>
                  </w:pPr>
                  <w:r>
                    <w:rPr>
                      <w:color w:val="auto"/>
                      <w:szCs w:val="21"/>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0.07</w:t>
                  </w:r>
                </w:p>
              </w:tc>
              <w:tc>
                <w:tcPr>
                  <w:tcW w:w="1291" w:type="dxa"/>
                  <w:noWrap w:val="0"/>
                  <w:vAlign w:val="center"/>
                </w:tcPr>
                <w:p>
                  <w:pPr>
                    <w:pStyle w:val="55"/>
                    <w:adjustRightInd w:val="0"/>
                    <w:snapToGrid w:val="0"/>
                    <w:textAlignment w:val="auto"/>
                    <w:rPr>
                      <w:color w:val="auto"/>
                      <w:szCs w:val="21"/>
                    </w:rPr>
                  </w:pPr>
                  <w:r>
                    <w:rPr>
                      <w:color w:val="auto"/>
                      <w:szCs w:val="21"/>
                    </w:rPr>
                    <w:t>0.08</w:t>
                  </w:r>
                </w:p>
              </w:tc>
              <w:tc>
                <w:tcPr>
                  <w:tcW w:w="1293" w:type="dxa"/>
                  <w:noWrap w:val="0"/>
                  <w:vAlign w:val="center"/>
                </w:tcPr>
                <w:p>
                  <w:pPr>
                    <w:pStyle w:val="55"/>
                    <w:adjustRightInd w:val="0"/>
                    <w:snapToGrid w:val="0"/>
                    <w:textAlignment w:val="auto"/>
                    <w:rPr>
                      <w:color w:val="auto"/>
                      <w:szCs w:val="21"/>
                    </w:rPr>
                  </w:pPr>
                  <w:r>
                    <w:rPr>
                      <w:color w:val="auto"/>
                      <w:szCs w:val="21"/>
                    </w:rPr>
                    <w:t>0.09</w:t>
                  </w:r>
                </w:p>
              </w:tc>
              <w:tc>
                <w:tcPr>
                  <w:tcW w:w="1304" w:type="dxa"/>
                  <w:noWrap w:val="0"/>
                  <w:vAlign w:val="center"/>
                </w:tcPr>
                <w:p>
                  <w:pPr>
                    <w:pStyle w:val="55"/>
                    <w:adjustRightInd w:val="0"/>
                    <w:snapToGrid w:val="0"/>
                    <w:textAlignment w:val="auto"/>
                    <w:rPr>
                      <w:color w:val="auto"/>
                      <w:szCs w:val="21"/>
                    </w:rPr>
                  </w:pPr>
                  <w:r>
                    <w:rPr>
                      <w:color w:val="auto"/>
                      <w:szCs w:val="21"/>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10月29日</w:t>
                  </w:r>
                </w:p>
              </w:tc>
              <w:tc>
                <w:tcPr>
                  <w:tcW w:w="1292" w:type="dxa"/>
                  <w:noWrap w:val="0"/>
                  <w:vAlign w:val="center"/>
                </w:tcPr>
                <w:p>
                  <w:pPr>
                    <w:pStyle w:val="55"/>
                    <w:adjustRightInd w:val="0"/>
                    <w:snapToGrid w:val="0"/>
                    <w:textAlignment w:val="auto"/>
                    <w:rPr>
                      <w:color w:val="auto"/>
                      <w:szCs w:val="21"/>
                    </w:rPr>
                  </w:pPr>
                  <w:r>
                    <w:rPr>
                      <w:color w:val="auto"/>
                      <w:szCs w:val="21"/>
                    </w:rPr>
                    <w:t>0.07</w:t>
                  </w:r>
                </w:p>
              </w:tc>
              <w:tc>
                <w:tcPr>
                  <w:tcW w:w="1291" w:type="dxa"/>
                  <w:noWrap w:val="0"/>
                  <w:vAlign w:val="center"/>
                </w:tcPr>
                <w:p>
                  <w:pPr>
                    <w:pStyle w:val="55"/>
                    <w:adjustRightInd w:val="0"/>
                    <w:snapToGrid w:val="0"/>
                    <w:textAlignment w:val="auto"/>
                    <w:rPr>
                      <w:color w:val="auto"/>
                      <w:szCs w:val="21"/>
                    </w:rPr>
                  </w:pPr>
                  <w:r>
                    <w:rPr>
                      <w:color w:val="auto"/>
                      <w:szCs w:val="21"/>
                    </w:rPr>
                    <w:t>0.08</w:t>
                  </w:r>
                </w:p>
              </w:tc>
              <w:tc>
                <w:tcPr>
                  <w:tcW w:w="1293" w:type="dxa"/>
                  <w:noWrap w:val="0"/>
                  <w:vAlign w:val="center"/>
                </w:tcPr>
                <w:p>
                  <w:pPr>
                    <w:pStyle w:val="55"/>
                    <w:adjustRightInd w:val="0"/>
                    <w:snapToGrid w:val="0"/>
                    <w:textAlignment w:val="auto"/>
                    <w:rPr>
                      <w:color w:val="auto"/>
                      <w:szCs w:val="21"/>
                    </w:rPr>
                  </w:pPr>
                  <w:r>
                    <w:rPr>
                      <w:color w:val="auto"/>
                      <w:szCs w:val="21"/>
                    </w:rPr>
                    <w:t>0.09</w:t>
                  </w:r>
                </w:p>
              </w:tc>
              <w:tc>
                <w:tcPr>
                  <w:tcW w:w="1304" w:type="dxa"/>
                  <w:noWrap w:val="0"/>
                  <w:vAlign w:val="center"/>
                </w:tcPr>
                <w:p>
                  <w:pPr>
                    <w:pStyle w:val="55"/>
                    <w:adjustRightInd w:val="0"/>
                    <w:snapToGrid w:val="0"/>
                    <w:textAlignment w:val="auto"/>
                    <w:rPr>
                      <w:color w:val="auto"/>
                      <w:szCs w:val="21"/>
                    </w:rPr>
                  </w:pPr>
                  <w:r>
                    <w:rPr>
                      <w:color w:val="auto"/>
                      <w:szCs w:val="21"/>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0.08</w:t>
                  </w:r>
                </w:p>
              </w:tc>
              <w:tc>
                <w:tcPr>
                  <w:tcW w:w="1291" w:type="dxa"/>
                  <w:noWrap w:val="0"/>
                  <w:vAlign w:val="center"/>
                </w:tcPr>
                <w:p>
                  <w:pPr>
                    <w:pStyle w:val="55"/>
                    <w:adjustRightInd w:val="0"/>
                    <w:snapToGrid w:val="0"/>
                    <w:textAlignment w:val="auto"/>
                    <w:rPr>
                      <w:color w:val="auto"/>
                      <w:szCs w:val="21"/>
                    </w:rPr>
                  </w:pPr>
                  <w:r>
                    <w:rPr>
                      <w:color w:val="auto"/>
                      <w:szCs w:val="21"/>
                    </w:rPr>
                    <w:t>0.09</w:t>
                  </w:r>
                </w:p>
              </w:tc>
              <w:tc>
                <w:tcPr>
                  <w:tcW w:w="1293" w:type="dxa"/>
                  <w:noWrap w:val="0"/>
                  <w:vAlign w:val="center"/>
                </w:tcPr>
                <w:p>
                  <w:pPr>
                    <w:pStyle w:val="55"/>
                    <w:adjustRightInd w:val="0"/>
                    <w:snapToGrid w:val="0"/>
                    <w:textAlignment w:val="auto"/>
                    <w:rPr>
                      <w:color w:val="auto"/>
                      <w:szCs w:val="21"/>
                    </w:rPr>
                  </w:pPr>
                  <w:r>
                    <w:rPr>
                      <w:color w:val="auto"/>
                      <w:szCs w:val="21"/>
                    </w:rPr>
                    <w:t>0.10</w:t>
                  </w:r>
                </w:p>
              </w:tc>
              <w:tc>
                <w:tcPr>
                  <w:tcW w:w="1304" w:type="dxa"/>
                  <w:noWrap w:val="0"/>
                  <w:vAlign w:val="center"/>
                </w:tcPr>
                <w:p>
                  <w:pPr>
                    <w:pStyle w:val="55"/>
                    <w:adjustRightInd w:val="0"/>
                    <w:snapToGrid w:val="0"/>
                    <w:textAlignment w:val="auto"/>
                    <w:rPr>
                      <w:color w:val="auto"/>
                      <w:szCs w:val="21"/>
                    </w:rPr>
                  </w:pPr>
                  <w:r>
                    <w:rPr>
                      <w:color w:val="auto"/>
                      <w:szCs w:val="21"/>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1#</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restart"/>
                  <w:noWrap w:val="0"/>
                  <w:vAlign w:val="center"/>
                </w:tcPr>
                <w:p>
                  <w:pPr>
                    <w:pStyle w:val="55"/>
                    <w:adjustRightInd w:val="0"/>
                    <w:snapToGrid w:val="0"/>
                    <w:textAlignment w:val="auto"/>
                    <w:rPr>
                      <w:color w:val="auto"/>
                      <w:szCs w:val="21"/>
                    </w:rPr>
                  </w:pPr>
                  <w:r>
                    <w:rPr>
                      <w:color w:val="auto"/>
                      <w:szCs w:val="21"/>
                    </w:rPr>
                    <w:t>10月30日</w:t>
                  </w:r>
                </w:p>
              </w:tc>
              <w:tc>
                <w:tcPr>
                  <w:tcW w:w="1292" w:type="dxa"/>
                  <w:noWrap w:val="0"/>
                  <w:vAlign w:val="center"/>
                </w:tcPr>
                <w:p>
                  <w:pPr>
                    <w:pStyle w:val="55"/>
                    <w:adjustRightInd w:val="0"/>
                    <w:snapToGrid w:val="0"/>
                    <w:textAlignment w:val="auto"/>
                    <w:rPr>
                      <w:color w:val="auto"/>
                      <w:szCs w:val="21"/>
                    </w:rPr>
                  </w:pPr>
                  <w:r>
                    <w:rPr>
                      <w:color w:val="auto"/>
                      <w:szCs w:val="21"/>
                    </w:rPr>
                    <w:t>0.10</w:t>
                  </w:r>
                </w:p>
              </w:tc>
              <w:tc>
                <w:tcPr>
                  <w:tcW w:w="1291" w:type="dxa"/>
                  <w:noWrap w:val="0"/>
                  <w:vAlign w:val="center"/>
                </w:tcPr>
                <w:p>
                  <w:pPr>
                    <w:pStyle w:val="55"/>
                    <w:adjustRightInd w:val="0"/>
                    <w:snapToGrid w:val="0"/>
                    <w:textAlignment w:val="auto"/>
                    <w:rPr>
                      <w:color w:val="auto"/>
                      <w:szCs w:val="21"/>
                    </w:rPr>
                  </w:pPr>
                  <w:r>
                    <w:rPr>
                      <w:color w:val="auto"/>
                      <w:szCs w:val="21"/>
                    </w:rPr>
                    <w:t>0.10</w:t>
                  </w:r>
                </w:p>
              </w:tc>
              <w:tc>
                <w:tcPr>
                  <w:tcW w:w="1293" w:type="dxa"/>
                  <w:noWrap w:val="0"/>
                  <w:vAlign w:val="center"/>
                </w:tcPr>
                <w:p>
                  <w:pPr>
                    <w:pStyle w:val="55"/>
                    <w:adjustRightInd w:val="0"/>
                    <w:snapToGrid w:val="0"/>
                    <w:textAlignment w:val="auto"/>
                    <w:rPr>
                      <w:color w:val="auto"/>
                      <w:szCs w:val="21"/>
                    </w:rPr>
                  </w:pPr>
                  <w:r>
                    <w:rPr>
                      <w:color w:val="auto"/>
                      <w:szCs w:val="21"/>
                    </w:rPr>
                    <w:t>0.11</w:t>
                  </w:r>
                </w:p>
              </w:tc>
              <w:tc>
                <w:tcPr>
                  <w:tcW w:w="1304" w:type="dxa"/>
                  <w:noWrap w:val="0"/>
                  <w:vAlign w:val="center"/>
                </w:tcPr>
                <w:p>
                  <w:pPr>
                    <w:pStyle w:val="55"/>
                    <w:adjustRightInd w:val="0"/>
                    <w:snapToGrid w:val="0"/>
                    <w:textAlignment w:val="auto"/>
                    <w:rPr>
                      <w:color w:val="auto"/>
                      <w:szCs w:val="21"/>
                    </w:rPr>
                  </w:pPr>
                  <w:r>
                    <w:rPr>
                      <w:color w:val="auto"/>
                      <w:szCs w:val="21"/>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2" w:type="dxa"/>
                  <w:noWrap w:val="0"/>
                  <w:vAlign w:val="center"/>
                </w:tcPr>
                <w:p>
                  <w:pPr>
                    <w:pStyle w:val="55"/>
                    <w:adjustRightInd w:val="0"/>
                    <w:snapToGrid w:val="0"/>
                    <w:textAlignment w:val="auto"/>
                    <w:rPr>
                      <w:color w:val="auto"/>
                      <w:szCs w:val="21"/>
                    </w:rPr>
                  </w:pPr>
                  <w:r>
                    <w:rPr>
                      <w:color w:val="auto"/>
                      <w:szCs w:val="21"/>
                    </w:rPr>
                    <w:t>2#</w:t>
                  </w:r>
                </w:p>
              </w:tc>
              <w:tc>
                <w:tcPr>
                  <w:tcW w:w="1292" w:type="dxa"/>
                  <w:vMerge w:val="continue"/>
                  <w:noWrap w:val="0"/>
                  <w:vAlign w:val="center"/>
                </w:tcPr>
                <w:p>
                  <w:pPr>
                    <w:pStyle w:val="55"/>
                    <w:adjustRightInd w:val="0"/>
                    <w:snapToGrid w:val="0"/>
                    <w:textAlignment w:val="auto"/>
                    <w:rPr>
                      <w:color w:val="auto"/>
                      <w:szCs w:val="21"/>
                    </w:rPr>
                  </w:pPr>
                </w:p>
              </w:tc>
              <w:tc>
                <w:tcPr>
                  <w:tcW w:w="1292" w:type="dxa"/>
                  <w:vMerge w:val="continue"/>
                  <w:noWrap w:val="0"/>
                  <w:vAlign w:val="center"/>
                </w:tcPr>
                <w:p>
                  <w:pPr>
                    <w:pStyle w:val="55"/>
                    <w:adjustRightInd w:val="0"/>
                    <w:snapToGrid w:val="0"/>
                    <w:textAlignment w:val="auto"/>
                    <w:rPr>
                      <w:color w:val="auto"/>
                      <w:szCs w:val="21"/>
                    </w:rPr>
                  </w:pPr>
                </w:p>
              </w:tc>
              <w:tc>
                <w:tcPr>
                  <w:tcW w:w="1292" w:type="dxa"/>
                  <w:noWrap w:val="0"/>
                  <w:vAlign w:val="center"/>
                </w:tcPr>
                <w:p>
                  <w:pPr>
                    <w:pStyle w:val="55"/>
                    <w:adjustRightInd w:val="0"/>
                    <w:snapToGrid w:val="0"/>
                    <w:textAlignment w:val="auto"/>
                    <w:rPr>
                      <w:color w:val="auto"/>
                      <w:szCs w:val="21"/>
                    </w:rPr>
                  </w:pPr>
                  <w:r>
                    <w:rPr>
                      <w:color w:val="auto"/>
                      <w:szCs w:val="21"/>
                    </w:rPr>
                    <w:t>0.09</w:t>
                  </w:r>
                </w:p>
              </w:tc>
              <w:tc>
                <w:tcPr>
                  <w:tcW w:w="1291" w:type="dxa"/>
                  <w:noWrap w:val="0"/>
                  <w:vAlign w:val="center"/>
                </w:tcPr>
                <w:p>
                  <w:pPr>
                    <w:pStyle w:val="55"/>
                    <w:adjustRightInd w:val="0"/>
                    <w:snapToGrid w:val="0"/>
                    <w:textAlignment w:val="auto"/>
                    <w:rPr>
                      <w:color w:val="auto"/>
                      <w:szCs w:val="21"/>
                    </w:rPr>
                  </w:pPr>
                  <w:r>
                    <w:rPr>
                      <w:color w:val="auto"/>
                      <w:szCs w:val="21"/>
                    </w:rPr>
                    <w:t>0.08</w:t>
                  </w:r>
                </w:p>
              </w:tc>
              <w:tc>
                <w:tcPr>
                  <w:tcW w:w="1293" w:type="dxa"/>
                  <w:noWrap w:val="0"/>
                  <w:vAlign w:val="center"/>
                </w:tcPr>
                <w:p>
                  <w:pPr>
                    <w:pStyle w:val="55"/>
                    <w:adjustRightInd w:val="0"/>
                    <w:snapToGrid w:val="0"/>
                    <w:textAlignment w:val="auto"/>
                    <w:rPr>
                      <w:color w:val="auto"/>
                      <w:szCs w:val="21"/>
                    </w:rPr>
                  </w:pPr>
                  <w:r>
                    <w:rPr>
                      <w:color w:val="auto"/>
                      <w:szCs w:val="21"/>
                    </w:rPr>
                    <w:t>0.06</w:t>
                  </w:r>
                </w:p>
              </w:tc>
              <w:tc>
                <w:tcPr>
                  <w:tcW w:w="1304" w:type="dxa"/>
                  <w:noWrap w:val="0"/>
                  <w:vAlign w:val="center"/>
                </w:tcPr>
                <w:p>
                  <w:pPr>
                    <w:pStyle w:val="55"/>
                    <w:adjustRightInd w:val="0"/>
                    <w:snapToGrid w:val="0"/>
                    <w:textAlignment w:val="auto"/>
                    <w:rPr>
                      <w:color w:val="auto"/>
                      <w:szCs w:val="21"/>
                    </w:rPr>
                  </w:pPr>
                  <w:r>
                    <w:rPr>
                      <w:color w:val="auto"/>
                      <w:szCs w:val="21"/>
                    </w:rPr>
                    <w:t>0.08</w:t>
                  </w:r>
                </w:p>
              </w:tc>
            </w:tr>
          </w:tbl>
          <w:p>
            <w:pPr>
              <w:snapToGrid w:val="0"/>
              <w:spacing w:line="360" w:lineRule="auto"/>
              <w:ind w:firstLine="482"/>
              <w:rPr>
                <w:bCs/>
                <w:color w:val="auto"/>
              </w:rPr>
            </w:pPr>
            <w:r>
              <w:rPr>
                <w:bCs/>
                <w:color w:val="auto"/>
              </w:rPr>
              <w:t>5、评价方法</w:t>
            </w:r>
          </w:p>
          <w:p>
            <w:pPr>
              <w:snapToGrid w:val="0"/>
              <w:spacing w:line="360" w:lineRule="auto"/>
              <w:ind w:firstLine="480"/>
              <w:rPr>
                <w:color w:val="auto"/>
              </w:rPr>
            </w:pPr>
            <w:r>
              <w:rPr>
                <w:color w:val="auto"/>
              </w:rPr>
              <w:t>评价方法采用单项污染指数法进行，公式为：</w:t>
            </w:r>
          </w:p>
          <w:p>
            <w:pPr>
              <w:snapToGrid w:val="0"/>
              <w:spacing w:line="360" w:lineRule="auto"/>
              <w:ind w:firstLine="2280" w:firstLineChars="950"/>
              <w:rPr>
                <w:color w:val="auto"/>
              </w:rPr>
            </w:pPr>
            <w:r>
              <w:rPr>
                <w:color w:val="auto"/>
              </w:rPr>
              <w:t>P</w:t>
            </w:r>
            <w:r>
              <w:rPr>
                <w:color w:val="auto"/>
                <w:vertAlign w:val="subscript"/>
              </w:rPr>
              <w:t>i</w:t>
            </w:r>
            <w:r>
              <w:rPr>
                <w:color w:val="auto"/>
              </w:rPr>
              <w:t>=C</w:t>
            </w:r>
            <w:r>
              <w:rPr>
                <w:color w:val="auto"/>
                <w:vertAlign w:val="subscript"/>
              </w:rPr>
              <w:t>i</w:t>
            </w:r>
            <w:r>
              <w:rPr>
                <w:color w:val="auto"/>
              </w:rPr>
              <w:t>/Co</w:t>
            </w:r>
            <w:r>
              <w:rPr>
                <w:color w:val="auto"/>
                <w:vertAlign w:val="subscript"/>
              </w:rPr>
              <w:t>i</w:t>
            </w:r>
          </w:p>
          <w:p>
            <w:pPr>
              <w:snapToGrid w:val="0"/>
              <w:spacing w:line="360" w:lineRule="auto"/>
              <w:ind w:firstLine="480"/>
              <w:rPr>
                <w:color w:val="auto"/>
              </w:rPr>
            </w:pPr>
            <w:r>
              <w:rPr>
                <w:color w:val="auto"/>
              </w:rPr>
              <w:t>式中：P</w:t>
            </w:r>
            <w:r>
              <w:rPr>
                <w:color w:val="auto"/>
                <w:vertAlign w:val="subscript"/>
              </w:rPr>
              <w:t>i</w:t>
            </w:r>
            <w:r>
              <w:rPr>
                <w:color w:val="auto"/>
              </w:rPr>
              <w:t>——i污染物的污染指数；</w:t>
            </w:r>
          </w:p>
          <w:p>
            <w:pPr>
              <w:widowControl/>
              <w:adjustRightInd w:val="0"/>
              <w:snapToGrid w:val="0"/>
              <w:spacing w:line="360" w:lineRule="auto"/>
              <w:ind w:firstLine="1200" w:firstLineChars="500"/>
              <w:rPr>
                <w:color w:val="auto"/>
              </w:rPr>
            </w:pPr>
            <w:r>
              <w:rPr>
                <w:color w:val="auto"/>
              </w:rPr>
              <w:t>C</w:t>
            </w:r>
            <w:r>
              <w:rPr>
                <w:color w:val="auto"/>
                <w:vertAlign w:val="subscript"/>
              </w:rPr>
              <w:t>i</w:t>
            </w:r>
            <w:r>
              <w:rPr>
                <w:color w:val="auto"/>
              </w:rPr>
              <w:t>——i污染物的浓度，mg/m</w:t>
            </w:r>
            <w:r>
              <w:rPr>
                <w:color w:val="auto"/>
                <w:vertAlign w:val="superscript"/>
              </w:rPr>
              <w:t>3</w:t>
            </w:r>
            <w:r>
              <w:rPr>
                <w:color w:val="auto"/>
              </w:rPr>
              <w:t>；</w:t>
            </w:r>
          </w:p>
          <w:p>
            <w:pPr>
              <w:widowControl/>
              <w:adjustRightInd w:val="0"/>
              <w:snapToGrid w:val="0"/>
              <w:spacing w:line="360" w:lineRule="auto"/>
              <w:ind w:firstLine="1200" w:firstLineChars="500"/>
              <w:rPr>
                <w:color w:val="auto"/>
              </w:rPr>
            </w:pPr>
            <w:r>
              <w:rPr>
                <w:color w:val="auto"/>
              </w:rPr>
              <w:t>Co</w:t>
            </w:r>
            <w:r>
              <w:rPr>
                <w:color w:val="auto"/>
                <w:vertAlign w:val="subscript"/>
              </w:rPr>
              <w:t>i</w:t>
            </w:r>
            <w:r>
              <w:rPr>
                <w:color w:val="auto"/>
              </w:rPr>
              <w:t>——i污染物的评价标准，mg/m</w:t>
            </w:r>
            <w:r>
              <w:rPr>
                <w:color w:val="auto"/>
                <w:vertAlign w:val="superscript"/>
              </w:rPr>
              <w:t>3</w:t>
            </w:r>
            <w:r>
              <w:rPr>
                <w:color w:val="auto"/>
              </w:rPr>
              <w:t>。</w:t>
            </w:r>
          </w:p>
          <w:p>
            <w:pPr>
              <w:numPr>
                <w:ilvl w:val="0"/>
                <w:numId w:val="2"/>
              </w:numPr>
              <w:snapToGrid w:val="0"/>
              <w:spacing w:line="360" w:lineRule="auto"/>
              <w:ind w:firstLine="480" w:firstLineChars="200"/>
              <w:rPr>
                <w:color w:val="auto"/>
              </w:rPr>
            </w:pPr>
            <w:r>
              <w:rPr>
                <w:color w:val="auto"/>
              </w:rPr>
              <w:t>评价结果</w:t>
            </w:r>
          </w:p>
          <w:p>
            <w:pPr>
              <w:spacing w:line="360" w:lineRule="auto"/>
              <w:ind w:firstLine="480"/>
              <w:rPr>
                <w:bCs/>
                <w:color w:val="auto"/>
              </w:rPr>
            </w:pPr>
            <w:r>
              <w:rPr>
                <w:color w:val="auto"/>
              </w:rPr>
              <w:t>项目区环境空气质量现状评价结果见下表</w:t>
            </w:r>
            <w:r>
              <w:rPr>
                <w:b/>
                <w:color w:val="auto"/>
                <w:sz w:val="21"/>
                <w:szCs w:val="21"/>
              </w:rPr>
              <w:t>：</w:t>
            </w:r>
          </w:p>
          <w:p>
            <w:pPr>
              <w:adjustRightInd w:val="0"/>
              <w:snapToGrid w:val="0"/>
              <w:spacing w:line="360" w:lineRule="auto"/>
              <w:jc w:val="center"/>
              <w:rPr>
                <w:rFonts w:eastAsia="黑体"/>
                <w:bCs/>
                <w:color w:val="auto"/>
              </w:rPr>
            </w:pPr>
            <w:r>
              <w:rPr>
                <w:rFonts w:eastAsia="黑体"/>
                <w:bCs/>
                <w:color w:val="auto"/>
              </w:rPr>
              <w:t>表3-4  项目所在区域其他污染物现状监测统计及评价结果</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475"/>
              <w:gridCol w:w="2688"/>
              <w:gridCol w:w="1653"/>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106" w:type="dxa"/>
                  <w:noWrap w:val="0"/>
                  <w:vAlign w:val="center"/>
                </w:tcPr>
                <w:p>
                  <w:pPr>
                    <w:pStyle w:val="55"/>
                    <w:widowControl/>
                    <w:adjustRightInd w:val="0"/>
                    <w:snapToGrid w:val="0"/>
                    <w:textAlignment w:val="auto"/>
                    <w:rPr>
                      <w:color w:val="auto"/>
                      <w:szCs w:val="21"/>
                    </w:rPr>
                  </w:pPr>
                  <w:r>
                    <w:rPr>
                      <w:color w:val="auto"/>
                      <w:szCs w:val="21"/>
                    </w:rPr>
                    <w:t>评价因子</w:t>
                  </w:r>
                </w:p>
              </w:tc>
              <w:tc>
                <w:tcPr>
                  <w:tcW w:w="2475" w:type="dxa"/>
                  <w:noWrap w:val="0"/>
                  <w:vAlign w:val="center"/>
                </w:tcPr>
                <w:p>
                  <w:pPr>
                    <w:pStyle w:val="55"/>
                    <w:widowControl/>
                    <w:adjustRightInd w:val="0"/>
                    <w:snapToGrid w:val="0"/>
                    <w:textAlignment w:val="auto"/>
                    <w:rPr>
                      <w:color w:val="auto"/>
                      <w:szCs w:val="21"/>
                    </w:rPr>
                  </w:pPr>
                  <w:r>
                    <w:rPr>
                      <w:color w:val="auto"/>
                      <w:szCs w:val="21"/>
                    </w:rPr>
                    <w:t>标准值</w:t>
                  </w:r>
                  <w:r>
                    <w:rPr>
                      <w:color w:val="auto"/>
                    </w:rPr>
                    <w:t>mg/m</w:t>
                  </w:r>
                  <w:r>
                    <w:rPr>
                      <w:color w:val="auto"/>
                      <w:vertAlign w:val="superscript"/>
                    </w:rPr>
                    <w:t>3</w:t>
                  </w:r>
                </w:p>
              </w:tc>
              <w:tc>
                <w:tcPr>
                  <w:tcW w:w="2688" w:type="dxa"/>
                  <w:noWrap w:val="0"/>
                  <w:vAlign w:val="center"/>
                </w:tcPr>
                <w:p>
                  <w:pPr>
                    <w:pStyle w:val="55"/>
                    <w:widowControl/>
                    <w:adjustRightInd w:val="0"/>
                    <w:snapToGrid w:val="0"/>
                    <w:textAlignment w:val="auto"/>
                    <w:rPr>
                      <w:color w:val="auto"/>
                      <w:szCs w:val="21"/>
                    </w:rPr>
                  </w:pPr>
                  <w:r>
                    <w:rPr>
                      <w:color w:val="auto"/>
                      <w:szCs w:val="21"/>
                    </w:rPr>
                    <w:t>Pi值范围</w:t>
                  </w:r>
                </w:p>
              </w:tc>
              <w:tc>
                <w:tcPr>
                  <w:tcW w:w="1653" w:type="dxa"/>
                  <w:noWrap w:val="0"/>
                  <w:vAlign w:val="center"/>
                </w:tcPr>
                <w:p>
                  <w:pPr>
                    <w:pStyle w:val="55"/>
                    <w:widowControl/>
                    <w:adjustRightInd w:val="0"/>
                    <w:snapToGrid w:val="0"/>
                    <w:textAlignment w:val="auto"/>
                    <w:rPr>
                      <w:color w:val="auto"/>
                      <w:szCs w:val="21"/>
                    </w:rPr>
                  </w:pPr>
                  <w:r>
                    <w:rPr>
                      <w:color w:val="auto"/>
                      <w:szCs w:val="21"/>
                    </w:rPr>
                    <w:t>最大标准指数Pi</w:t>
                  </w:r>
                </w:p>
              </w:tc>
              <w:tc>
                <w:tcPr>
                  <w:tcW w:w="1091" w:type="dxa"/>
                  <w:noWrap w:val="0"/>
                  <w:vAlign w:val="center"/>
                </w:tcPr>
                <w:p>
                  <w:pPr>
                    <w:pStyle w:val="55"/>
                    <w:widowControl/>
                    <w:adjustRightInd w:val="0"/>
                    <w:snapToGrid w:val="0"/>
                    <w:textAlignment w:val="auto"/>
                    <w:rPr>
                      <w:color w:val="auto"/>
                      <w:szCs w:val="21"/>
                    </w:rPr>
                  </w:pPr>
                  <w:r>
                    <w:rPr>
                      <w:color w:val="auto"/>
                      <w:szCs w:val="21"/>
                    </w:rPr>
                    <w:t>是否超标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106" w:type="dxa"/>
                  <w:noWrap w:val="0"/>
                  <w:vAlign w:val="center"/>
                </w:tcPr>
                <w:p>
                  <w:pPr>
                    <w:pStyle w:val="55"/>
                    <w:widowControl/>
                    <w:adjustRightInd w:val="0"/>
                    <w:snapToGrid w:val="0"/>
                    <w:textAlignment w:val="auto"/>
                    <w:rPr>
                      <w:color w:val="auto"/>
                      <w:szCs w:val="21"/>
                    </w:rPr>
                  </w:pPr>
                  <w:r>
                    <w:rPr>
                      <w:color w:val="auto"/>
                      <w:szCs w:val="21"/>
                    </w:rPr>
                    <w:t>NH</w:t>
                  </w:r>
                  <w:r>
                    <w:rPr>
                      <w:color w:val="auto"/>
                      <w:szCs w:val="21"/>
                      <w:vertAlign w:val="subscript"/>
                    </w:rPr>
                    <w:t>3</w:t>
                  </w:r>
                </w:p>
              </w:tc>
              <w:tc>
                <w:tcPr>
                  <w:tcW w:w="2475" w:type="dxa"/>
                  <w:noWrap w:val="0"/>
                  <w:vAlign w:val="center"/>
                </w:tcPr>
                <w:p>
                  <w:pPr>
                    <w:pStyle w:val="55"/>
                    <w:widowControl/>
                    <w:adjustRightInd w:val="0"/>
                    <w:snapToGrid w:val="0"/>
                    <w:textAlignment w:val="auto"/>
                    <w:rPr>
                      <w:color w:val="auto"/>
                      <w:szCs w:val="21"/>
                    </w:rPr>
                  </w:pPr>
                  <w:r>
                    <w:rPr>
                      <w:color w:val="auto"/>
                      <w:szCs w:val="21"/>
                    </w:rPr>
                    <w:t>0.2</w:t>
                  </w:r>
                </w:p>
              </w:tc>
              <w:tc>
                <w:tcPr>
                  <w:tcW w:w="2688" w:type="dxa"/>
                  <w:noWrap w:val="0"/>
                  <w:vAlign w:val="center"/>
                </w:tcPr>
                <w:p>
                  <w:pPr>
                    <w:pStyle w:val="55"/>
                    <w:widowControl/>
                    <w:adjustRightInd w:val="0"/>
                    <w:snapToGrid w:val="0"/>
                    <w:textAlignment w:val="auto"/>
                    <w:rPr>
                      <w:color w:val="auto"/>
                      <w:szCs w:val="21"/>
                    </w:rPr>
                  </w:pPr>
                  <w:r>
                    <w:rPr>
                      <w:color w:val="auto"/>
                      <w:szCs w:val="21"/>
                    </w:rPr>
                    <w:t>0.1~0.6</w:t>
                  </w:r>
                </w:p>
              </w:tc>
              <w:tc>
                <w:tcPr>
                  <w:tcW w:w="1653" w:type="dxa"/>
                  <w:noWrap w:val="0"/>
                  <w:vAlign w:val="center"/>
                </w:tcPr>
                <w:p>
                  <w:pPr>
                    <w:pStyle w:val="55"/>
                    <w:widowControl/>
                    <w:adjustRightInd w:val="0"/>
                    <w:snapToGrid w:val="0"/>
                    <w:textAlignment w:val="auto"/>
                    <w:rPr>
                      <w:color w:val="auto"/>
                      <w:szCs w:val="21"/>
                    </w:rPr>
                  </w:pPr>
                  <w:r>
                    <w:rPr>
                      <w:color w:val="auto"/>
                      <w:szCs w:val="21"/>
                    </w:rPr>
                    <w:t>0.6</w:t>
                  </w:r>
                </w:p>
              </w:tc>
              <w:tc>
                <w:tcPr>
                  <w:tcW w:w="1091" w:type="dxa"/>
                  <w:noWrap w:val="0"/>
                  <w:vAlign w:val="center"/>
                </w:tcPr>
                <w:p>
                  <w:pPr>
                    <w:pStyle w:val="55"/>
                    <w:widowControl/>
                    <w:adjustRightInd w:val="0"/>
                    <w:snapToGrid w:val="0"/>
                    <w:textAlignment w:val="auto"/>
                    <w:rPr>
                      <w:color w:val="auto"/>
                      <w:szCs w:val="21"/>
                    </w:rPr>
                  </w:pPr>
                  <w:r>
                    <w:rPr>
                      <w:color w:val="auto"/>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106" w:type="dxa"/>
                  <w:noWrap w:val="0"/>
                  <w:vAlign w:val="center"/>
                </w:tcPr>
                <w:p>
                  <w:pPr>
                    <w:pStyle w:val="55"/>
                    <w:widowControl/>
                    <w:adjustRightInd w:val="0"/>
                    <w:snapToGrid w:val="0"/>
                    <w:textAlignment w:val="auto"/>
                    <w:rPr>
                      <w:color w:val="auto"/>
                      <w:szCs w:val="21"/>
                    </w:rPr>
                  </w:pPr>
                  <w:r>
                    <w:rPr>
                      <w:color w:val="auto"/>
                      <w:szCs w:val="21"/>
                    </w:rPr>
                    <w:t>H</w:t>
                  </w:r>
                  <w:r>
                    <w:rPr>
                      <w:color w:val="auto"/>
                      <w:szCs w:val="21"/>
                      <w:vertAlign w:val="subscript"/>
                    </w:rPr>
                    <w:t>2</w:t>
                  </w:r>
                  <w:r>
                    <w:rPr>
                      <w:color w:val="auto"/>
                      <w:szCs w:val="21"/>
                    </w:rPr>
                    <w:t>S</w:t>
                  </w:r>
                </w:p>
              </w:tc>
              <w:tc>
                <w:tcPr>
                  <w:tcW w:w="2475" w:type="dxa"/>
                  <w:noWrap w:val="0"/>
                  <w:vAlign w:val="center"/>
                </w:tcPr>
                <w:p>
                  <w:pPr>
                    <w:pStyle w:val="55"/>
                    <w:widowControl/>
                    <w:adjustRightInd w:val="0"/>
                    <w:snapToGrid w:val="0"/>
                    <w:textAlignment w:val="auto"/>
                    <w:rPr>
                      <w:color w:val="auto"/>
                      <w:szCs w:val="21"/>
                    </w:rPr>
                  </w:pPr>
                  <w:r>
                    <w:rPr>
                      <w:color w:val="auto"/>
                      <w:szCs w:val="21"/>
                    </w:rPr>
                    <w:t>0.01</w:t>
                  </w:r>
                </w:p>
              </w:tc>
              <w:tc>
                <w:tcPr>
                  <w:tcW w:w="2688" w:type="dxa"/>
                  <w:noWrap w:val="0"/>
                  <w:vAlign w:val="center"/>
                </w:tcPr>
                <w:p>
                  <w:pPr>
                    <w:pStyle w:val="55"/>
                    <w:widowControl/>
                    <w:adjustRightInd w:val="0"/>
                    <w:snapToGrid w:val="0"/>
                    <w:textAlignment w:val="auto"/>
                    <w:rPr>
                      <w:color w:val="auto"/>
                      <w:szCs w:val="21"/>
                    </w:rPr>
                  </w:pPr>
                  <w:r>
                    <w:rPr>
                      <w:color w:val="auto"/>
                      <w:szCs w:val="21"/>
                    </w:rPr>
                    <w:t>0.2~0.8</w:t>
                  </w:r>
                </w:p>
              </w:tc>
              <w:tc>
                <w:tcPr>
                  <w:tcW w:w="1653" w:type="dxa"/>
                  <w:noWrap w:val="0"/>
                  <w:vAlign w:val="center"/>
                </w:tcPr>
                <w:p>
                  <w:pPr>
                    <w:pStyle w:val="55"/>
                    <w:widowControl/>
                    <w:adjustRightInd w:val="0"/>
                    <w:snapToGrid w:val="0"/>
                    <w:textAlignment w:val="auto"/>
                    <w:rPr>
                      <w:color w:val="auto"/>
                      <w:szCs w:val="21"/>
                    </w:rPr>
                  </w:pPr>
                  <w:r>
                    <w:rPr>
                      <w:color w:val="auto"/>
                      <w:szCs w:val="21"/>
                    </w:rPr>
                    <w:t>0.8</w:t>
                  </w:r>
                </w:p>
              </w:tc>
              <w:tc>
                <w:tcPr>
                  <w:tcW w:w="1091" w:type="dxa"/>
                  <w:noWrap w:val="0"/>
                  <w:vAlign w:val="center"/>
                </w:tcPr>
                <w:p>
                  <w:pPr>
                    <w:pStyle w:val="55"/>
                    <w:widowControl/>
                    <w:adjustRightInd w:val="0"/>
                    <w:snapToGrid w:val="0"/>
                    <w:textAlignment w:val="auto"/>
                    <w:rPr>
                      <w:color w:val="auto"/>
                      <w:szCs w:val="21"/>
                    </w:rPr>
                  </w:pPr>
                  <w:r>
                    <w:rPr>
                      <w:color w:val="auto"/>
                      <w:szCs w:val="21"/>
                    </w:rPr>
                    <w:t>否</w:t>
                  </w:r>
                </w:p>
              </w:tc>
            </w:tr>
          </w:tbl>
          <w:p>
            <w:pPr>
              <w:adjustRightInd w:val="0"/>
              <w:snapToGrid w:val="0"/>
              <w:spacing w:line="360" w:lineRule="auto"/>
              <w:ind w:firstLine="480" w:firstLineChars="200"/>
              <w:rPr>
                <w:color w:val="auto"/>
                <w:szCs w:val="20"/>
              </w:rPr>
            </w:pPr>
            <w:r>
              <w:rPr>
                <w:color w:val="auto"/>
                <w:szCs w:val="20"/>
              </w:rPr>
              <w:t>从上表可以看出：项目区域内环境空气中NH</w:t>
            </w:r>
            <w:r>
              <w:rPr>
                <w:color w:val="auto"/>
                <w:szCs w:val="20"/>
                <w:vertAlign w:val="subscript"/>
              </w:rPr>
              <w:t>3</w:t>
            </w:r>
            <w:r>
              <w:rPr>
                <w:color w:val="auto"/>
                <w:szCs w:val="20"/>
              </w:rPr>
              <w:t>、H</w:t>
            </w:r>
            <w:r>
              <w:rPr>
                <w:color w:val="auto"/>
                <w:szCs w:val="20"/>
                <w:vertAlign w:val="subscript"/>
              </w:rPr>
              <w:t>2</w:t>
            </w:r>
            <w:r>
              <w:rPr>
                <w:color w:val="auto"/>
                <w:szCs w:val="20"/>
              </w:rPr>
              <w:t>S最大浓度占标率均小于1，符合《环境影响评价技术导则-大气环境》（HJ2.2-2018）附录D中的要求。</w:t>
            </w:r>
          </w:p>
          <w:p>
            <w:pPr>
              <w:pStyle w:val="8"/>
              <w:adjustRightInd w:val="0"/>
              <w:snapToGrid w:val="0"/>
              <w:ind w:firstLine="560" w:firstLineChars="200"/>
              <w:rPr>
                <w:rFonts w:ascii="Times New Roman" w:hAnsi="Times New Roman" w:eastAsia="宋体"/>
                <w:bCs/>
                <w:color w:val="auto"/>
                <w:szCs w:val="28"/>
              </w:rPr>
            </w:pPr>
            <w:r>
              <w:rPr>
                <w:rFonts w:ascii="Times New Roman" w:hAnsi="Times New Roman" w:eastAsia="黑体"/>
                <w:bCs/>
                <w:color w:val="auto"/>
                <w:szCs w:val="28"/>
              </w:rPr>
              <w:t>二、地表水环境质量现状监测及评价</w:t>
            </w:r>
          </w:p>
          <w:p>
            <w:pPr>
              <w:adjustRightInd w:val="0"/>
              <w:snapToGrid w:val="0"/>
              <w:spacing w:line="360" w:lineRule="auto"/>
              <w:ind w:firstLine="482" w:firstLineChars="200"/>
              <w:rPr>
                <w:color w:val="auto"/>
                <w:szCs w:val="20"/>
              </w:rPr>
            </w:pPr>
            <w:r>
              <w:rPr>
                <w:b/>
                <w:bCs/>
                <w:color w:val="auto"/>
                <w:szCs w:val="20"/>
              </w:rPr>
              <w:t>1.监测断面</w:t>
            </w:r>
          </w:p>
          <w:p>
            <w:pPr>
              <w:adjustRightInd w:val="0"/>
              <w:snapToGrid w:val="0"/>
              <w:spacing w:line="360" w:lineRule="auto"/>
              <w:ind w:firstLine="480" w:firstLineChars="200"/>
              <w:rPr>
                <w:color w:val="auto"/>
                <w:szCs w:val="20"/>
              </w:rPr>
            </w:pPr>
            <w:r>
              <w:rPr>
                <w:color w:val="auto"/>
                <w:szCs w:val="20"/>
              </w:rPr>
              <w:t>在官料河项目排污口上游500m处设置1#地表水环境质量现状监测断面，在官料河项目排污口下游1000m处设置2#地表水环境质量现状监测断面，断面位置见表3-5。</w:t>
            </w:r>
          </w:p>
          <w:p>
            <w:pPr>
              <w:adjustRightInd w:val="0"/>
              <w:snapToGrid w:val="0"/>
              <w:spacing w:line="360" w:lineRule="auto"/>
              <w:jc w:val="center"/>
              <w:rPr>
                <w:rFonts w:eastAsia="黑体"/>
                <w:bCs/>
                <w:color w:val="auto"/>
              </w:rPr>
            </w:pPr>
            <w:r>
              <w:rPr>
                <w:rFonts w:eastAsia="黑体"/>
                <w:bCs/>
                <w:color w:val="auto"/>
              </w:rPr>
              <w:t>表3-5  地表水水质监测断面位置</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noWrap w:val="0"/>
                  <w:vAlign w:val="center"/>
                </w:tcPr>
                <w:p>
                  <w:pPr>
                    <w:jc w:val="center"/>
                    <w:rPr>
                      <w:b/>
                      <w:bCs/>
                      <w:color w:val="auto"/>
                      <w:sz w:val="21"/>
                      <w:szCs w:val="21"/>
                    </w:rPr>
                  </w:pPr>
                  <w:r>
                    <w:rPr>
                      <w:b/>
                      <w:bCs/>
                      <w:color w:val="auto"/>
                      <w:sz w:val="21"/>
                      <w:szCs w:val="21"/>
                    </w:rPr>
                    <w:t>编号</w:t>
                  </w:r>
                </w:p>
              </w:tc>
              <w:tc>
                <w:tcPr>
                  <w:tcW w:w="7335" w:type="dxa"/>
                  <w:noWrap w:val="0"/>
                  <w:vAlign w:val="center"/>
                </w:tcPr>
                <w:p>
                  <w:pPr>
                    <w:jc w:val="center"/>
                    <w:rPr>
                      <w:b/>
                      <w:bCs/>
                      <w:color w:val="auto"/>
                      <w:sz w:val="21"/>
                      <w:szCs w:val="21"/>
                    </w:rPr>
                  </w:pPr>
                  <w:r>
                    <w:rPr>
                      <w:b/>
                      <w:bCs/>
                      <w:color w:val="auto"/>
                      <w:sz w:val="21"/>
                      <w:szCs w:val="21"/>
                    </w:rPr>
                    <w:t>断面位置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noWrap w:val="0"/>
                  <w:vAlign w:val="center"/>
                </w:tcPr>
                <w:p>
                  <w:pPr>
                    <w:jc w:val="center"/>
                    <w:rPr>
                      <w:color w:val="auto"/>
                      <w:sz w:val="21"/>
                      <w:szCs w:val="21"/>
                    </w:rPr>
                  </w:pPr>
                  <w:r>
                    <w:rPr>
                      <w:color w:val="auto"/>
                      <w:sz w:val="21"/>
                      <w:szCs w:val="21"/>
                    </w:rPr>
                    <w:t>1#</w:t>
                  </w:r>
                </w:p>
              </w:tc>
              <w:tc>
                <w:tcPr>
                  <w:tcW w:w="7335" w:type="dxa"/>
                  <w:noWrap w:val="0"/>
                  <w:vAlign w:val="center"/>
                </w:tcPr>
                <w:p>
                  <w:pPr>
                    <w:jc w:val="center"/>
                    <w:rPr>
                      <w:color w:val="auto"/>
                      <w:sz w:val="21"/>
                      <w:szCs w:val="21"/>
                    </w:rPr>
                  </w:pPr>
                  <w:r>
                    <w:rPr>
                      <w:color w:val="auto"/>
                      <w:sz w:val="21"/>
                      <w:szCs w:val="21"/>
                    </w:rPr>
                    <w:t>官料河项目排污口上游500m处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16" w:type="dxa"/>
                  <w:noWrap w:val="0"/>
                  <w:vAlign w:val="center"/>
                </w:tcPr>
                <w:p>
                  <w:pPr>
                    <w:jc w:val="center"/>
                    <w:rPr>
                      <w:color w:val="auto"/>
                      <w:sz w:val="21"/>
                      <w:szCs w:val="21"/>
                    </w:rPr>
                  </w:pPr>
                  <w:r>
                    <w:rPr>
                      <w:color w:val="auto"/>
                      <w:sz w:val="21"/>
                      <w:szCs w:val="21"/>
                    </w:rPr>
                    <w:t>2#</w:t>
                  </w:r>
                </w:p>
              </w:tc>
              <w:tc>
                <w:tcPr>
                  <w:tcW w:w="7335" w:type="dxa"/>
                  <w:noWrap w:val="0"/>
                  <w:vAlign w:val="center"/>
                </w:tcPr>
                <w:p>
                  <w:pPr>
                    <w:jc w:val="center"/>
                    <w:rPr>
                      <w:color w:val="auto"/>
                      <w:sz w:val="21"/>
                      <w:szCs w:val="21"/>
                    </w:rPr>
                  </w:pPr>
                  <w:r>
                    <w:rPr>
                      <w:color w:val="auto"/>
                      <w:sz w:val="21"/>
                      <w:szCs w:val="21"/>
                    </w:rPr>
                    <w:t>官料河项目排污口下游1000m处</w:t>
                  </w:r>
                </w:p>
              </w:tc>
            </w:tr>
          </w:tbl>
          <w:p>
            <w:pPr>
              <w:spacing w:line="360" w:lineRule="auto"/>
              <w:ind w:firstLine="482" w:firstLineChars="200"/>
              <w:rPr>
                <w:color w:val="auto"/>
                <w:szCs w:val="20"/>
              </w:rPr>
            </w:pPr>
            <w:r>
              <w:rPr>
                <w:b/>
                <w:bCs/>
                <w:color w:val="auto"/>
                <w:szCs w:val="20"/>
              </w:rPr>
              <w:t>2.监测因子</w:t>
            </w:r>
          </w:p>
          <w:p>
            <w:pPr>
              <w:spacing w:line="360" w:lineRule="auto"/>
              <w:ind w:firstLine="480" w:firstLineChars="200"/>
              <w:rPr>
                <w:color w:val="auto"/>
                <w:szCs w:val="20"/>
              </w:rPr>
            </w:pPr>
            <w:r>
              <w:rPr>
                <w:color w:val="auto"/>
                <w:szCs w:val="20"/>
              </w:rPr>
              <w:t>pH、化学需氧量、五日生化需氧量、氨氮（以N计）、总磷、粪大肠菌群。</w:t>
            </w:r>
          </w:p>
          <w:p>
            <w:pPr>
              <w:spacing w:line="360" w:lineRule="auto"/>
              <w:ind w:firstLine="482" w:firstLineChars="200"/>
              <w:rPr>
                <w:b/>
                <w:bCs/>
                <w:color w:val="auto"/>
                <w:szCs w:val="20"/>
              </w:rPr>
            </w:pPr>
            <w:r>
              <w:rPr>
                <w:b/>
                <w:bCs/>
                <w:color w:val="auto"/>
                <w:szCs w:val="20"/>
              </w:rPr>
              <w:t>3.监测时间、监测频次</w:t>
            </w:r>
          </w:p>
          <w:p>
            <w:pPr>
              <w:spacing w:line="360" w:lineRule="auto"/>
              <w:ind w:firstLine="480" w:firstLineChars="200"/>
              <w:rPr>
                <w:color w:val="auto"/>
                <w:szCs w:val="20"/>
              </w:rPr>
            </w:pPr>
            <w:r>
              <w:rPr>
                <w:color w:val="auto"/>
              </w:rPr>
              <w:t>在2020年10月28日、29日、30日</w:t>
            </w:r>
            <w:r>
              <w:rPr>
                <w:color w:val="auto"/>
                <w:szCs w:val="20"/>
              </w:rPr>
              <w:t>连续监测3天，每天监测1次。</w:t>
            </w:r>
          </w:p>
          <w:p>
            <w:pPr>
              <w:spacing w:line="360" w:lineRule="auto"/>
              <w:ind w:firstLine="482" w:firstLineChars="200"/>
              <w:rPr>
                <w:color w:val="auto"/>
                <w:szCs w:val="20"/>
              </w:rPr>
            </w:pPr>
            <w:r>
              <w:rPr>
                <w:b/>
                <w:bCs/>
                <w:color w:val="auto"/>
                <w:szCs w:val="20"/>
              </w:rPr>
              <w:t>4.地表水监测结果及评价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color w:val="auto"/>
                <w:szCs w:val="20"/>
              </w:rPr>
            </w:pPr>
            <w:r>
              <w:rPr>
                <w:color w:val="auto"/>
                <w:szCs w:val="20"/>
              </w:rPr>
              <w:t>地表水环境质量现状监测结果见表3-6。</w:t>
            </w:r>
          </w:p>
          <w:p>
            <w:pPr>
              <w:adjustRightInd w:val="0"/>
              <w:snapToGrid w:val="0"/>
              <w:spacing w:line="360" w:lineRule="auto"/>
              <w:jc w:val="center"/>
              <w:rPr>
                <w:rFonts w:eastAsia="黑体"/>
                <w:bCs/>
                <w:color w:val="auto"/>
              </w:rPr>
            </w:pPr>
            <w:r>
              <w:rPr>
                <w:rFonts w:eastAsia="黑体"/>
                <w:bCs/>
                <w:color w:val="auto"/>
              </w:rPr>
              <w:t>表3-6  地表水环境质量现状检测结果表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169"/>
              <w:gridCol w:w="1043"/>
              <w:gridCol w:w="1106"/>
              <w:gridCol w:w="1106"/>
              <w:gridCol w:w="1106"/>
              <w:gridCol w:w="1106"/>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330" w:type="dxa"/>
                  <w:gridSpan w:val="2"/>
                  <w:noWrap w:val="0"/>
                  <w:vAlign w:val="center"/>
                </w:tcPr>
                <w:p>
                  <w:pPr>
                    <w:pStyle w:val="79"/>
                    <w:rPr>
                      <w:b/>
                      <w:bCs/>
                      <w:color w:val="auto"/>
                      <w:szCs w:val="21"/>
                    </w:rPr>
                  </w:pPr>
                  <w:r>
                    <w:rPr>
                      <w:b/>
                      <w:bCs/>
                      <w:color w:val="auto"/>
                      <w:szCs w:val="21"/>
                    </w:rPr>
                    <w:t>断面信息</w:t>
                  </w:r>
                </w:p>
              </w:tc>
              <w:tc>
                <w:tcPr>
                  <w:tcW w:w="5467" w:type="dxa"/>
                  <w:gridSpan w:val="5"/>
                  <w:noWrap w:val="0"/>
                  <w:vAlign w:val="center"/>
                </w:tcPr>
                <w:p>
                  <w:pPr>
                    <w:pStyle w:val="79"/>
                    <w:rPr>
                      <w:b/>
                      <w:bCs/>
                      <w:color w:val="auto"/>
                      <w:szCs w:val="21"/>
                    </w:rPr>
                  </w:pPr>
                  <w:r>
                    <w:rPr>
                      <w:b/>
                      <w:bCs/>
                      <w:color w:val="auto"/>
                      <w:szCs w:val="21"/>
                    </w:rPr>
                    <w:t>检测结果（mg/L）</w:t>
                  </w:r>
                </w:p>
              </w:tc>
              <w:tc>
                <w:tcPr>
                  <w:tcW w:w="1109" w:type="dxa"/>
                  <w:noWrap w:val="0"/>
                  <w:vAlign w:val="center"/>
                </w:tcPr>
                <w:p>
                  <w:pPr>
                    <w:pStyle w:val="79"/>
                    <w:rPr>
                      <w:b/>
                      <w:bCs/>
                      <w:color w:val="auto"/>
                      <w:szCs w:val="21"/>
                    </w:rPr>
                  </w:pPr>
                  <w:r>
                    <w:rPr>
                      <w:b/>
                      <w:bCs/>
                      <w:color w:val="auto"/>
                      <w:szCs w:val="21"/>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检测日期</w:t>
                  </w:r>
                </w:p>
              </w:tc>
              <w:tc>
                <w:tcPr>
                  <w:tcW w:w="1169" w:type="dxa"/>
                  <w:noWrap w:val="0"/>
                  <w:vAlign w:val="center"/>
                </w:tcPr>
                <w:p>
                  <w:pPr>
                    <w:pStyle w:val="79"/>
                    <w:rPr>
                      <w:color w:val="auto"/>
                      <w:szCs w:val="21"/>
                    </w:rPr>
                  </w:pPr>
                  <w:r>
                    <w:rPr>
                      <w:color w:val="auto"/>
                      <w:szCs w:val="21"/>
                    </w:rPr>
                    <w:t>断面名称</w:t>
                  </w:r>
                </w:p>
              </w:tc>
              <w:tc>
                <w:tcPr>
                  <w:tcW w:w="1043" w:type="dxa"/>
                  <w:noWrap w:val="0"/>
                  <w:vAlign w:val="center"/>
                </w:tcPr>
                <w:p>
                  <w:pPr>
                    <w:pStyle w:val="79"/>
                    <w:rPr>
                      <w:color w:val="auto"/>
                      <w:szCs w:val="21"/>
                    </w:rPr>
                  </w:pPr>
                  <w:r>
                    <w:rPr>
                      <w:color w:val="auto"/>
                      <w:szCs w:val="21"/>
                    </w:rPr>
                    <w:t>pH（无量纲）</w:t>
                  </w:r>
                </w:p>
              </w:tc>
              <w:tc>
                <w:tcPr>
                  <w:tcW w:w="1106" w:type="dxa"/>
                  <w:noWrap w:val="0"/>
                  <w:vAlign w:val="center"/>
                </w:tcPr>
                <w:p>
                  <w:pPr>
                    <w:pStyle w:val="79"/>
                    <w:rPr>
                      <w:color w:val="auto"/>
                      <w:szCs w:val="21"/>
                    </w:rPr>
                  </w:pPr>
                  <w:r>
                    <w:rPr>
                      <w:color w:val="auto"/>
                      <w:szCs w:val="21"/>
                    </w:rPr>
                    <w:t>化学需氧量</w:t>
                  </w:r>
                </w:p>
              </w:tc>
              <w:tc>
                <w:tcPr>
                  <w:tcW w:w="1106" w:type="dxa"/>
                  <w:noWrap w:val="0"/>
                  <w:vAlign w:val="center"/>
                </w:tcPr>
                <w:p>
                  <w:pPr>
                    <w:pStyle w:val="79"/>
                    <w:rPr>
                      <w:color w:val="auto"/>
                      <w:szCs w:val="21"/>
                    </w:rPr>
                  </w:pPr>
                  <w:r>
                    <w:rPr>
                      <w:color w:val="auto"/>
                      <w:szCs w:val="21"/>
                    </w:rPr>
                    <w:t>五日生化需氧量</w:t>
                  </w:r>
                </w:p>
              </w:tc>
              <w:tc>
                <w:tcPr>
                  <w:tcW w:w="1106" w:type="dxa"/>
                  <w:noWrap w:val="0"/>
                  <w:vAlign w:val="center"/>
                </w:tcPr>
                <w:p>
                  <w:pPr>
                    <w:pStyle w:val="79"/>
                    <w:rPr>
                      <w:color w:val="auto"/>
                      <w:szCs w:val="21"/>
                    </w:rPr>
                  </w:pPr>
                  <w:r>
                    <w:rPr>
                      <w:color w:val="auto"/>
                      <w:szCs w:val="21"/>
                    </w:rPr>
                    <w:t>氨氮</w:t>
                  </w:r>
                </w:p>
              </w:tc>
              <w:tc>
                <w:tcPr>
                  <w:tcW w:w="1106" w:type="dxa"/>
                  <w:noWrap w:val="0"/>
                  <w:vAlign w:val="center"/>
                </w:tcPr>
                <w:p>
                  <w:pPr>
                    <w:pStyle w:val="79"/>
                    <w:rPr>
                      <w:color w:val="auto"/>
                      <w:szCs w:val="21"/>
                    </w:rPr>
                  </w:pPr>
                  <w:r>
                    <w:rPr>
                      <w:color w:val="auto"/>
                      <w:szCs w:val="21"/>
                    </w:rPr>
                    <w:t>总磷</w:t>
                  </w:r>
                </w:p>
              </w:tc>
              <w:tc>
                <w:tcPr>
                  <w:tcW w:w="1109" w:type="dxa"/>
                  <w:noWrap w:val="0"/>
                  <w:vAlign w:val="center"/>
                </w:tcPr>
                <w:p>
                  <w:pPr>
                    <w:pStyle w:val="79"/>
                    <w:rPr>
                      <w:color w:val="auto"/>
                      <w:szCs w:val="21"/>
                    </w:rPr>
                  </w:pPr>
                  <w:r>
                    <w:rPr>
                      <w:color w:val="auto"/>
                      <w:szCs w:val="21"/>
                    </w:rPr>
                    <w:t>粪大肠菌群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2020.10.28</w:t>
                  </w:r>
                </w:p>
              </w:tc>
              <w:tc>
                <w:tcPr>
                  <w:tcW w:w="1169" w:type="dxa"/>
                  <w:vMerge w:val="restart"/>
                  <w:noWrap w:val="0"/>
                  <w:vAlign w:val="center"/>
                </w:tcPr>
                <w:p>
                  <w:pPr>
                    <w:pStyle w:val="79"/>
                    <w:rPr>
                      <w:color w:val="auto"/>
                      <w:szCs w:val="21"/>
                    </w:rPr>
                  </w:pPr>
                  <w:r>
                    <w:rPr>
                      <w:color w:val="auto"/>
                      <w:szCs w:val="21"/>
                    </w:rPr>
                    <w:t>1#官料河项目排污口上游500m处</w:t>
                  </w:r>
                </w:p>
              </w:tc>
              <w:tc>
                <w:tcPr>
                  <w:tcW w:w="1043" w:type="dxa"/>
                  <w:noWrap w:val="0"/>
                  <w:vAlign w:val="center"/>
                </w:tcPr>
                <w:p>
                  <w:pPr>
                    <w:pStyle w:val="79"/>
                    <w:rPr>
                      <w:color w:val="auto"/>
                      <w:szCs w:val="21"/>
                    </w:rPr>
                  </w:pPr>
                  <w:r>
                    <w:rPr>
                      <w:color w:val="auto"/>
                      <w:szCs w:val="21"/>
                    </w:rPr>
                    <w:t>7.07</w:t>
                  </w:r>
                </w:p>
              </w:tc>
              <w:tc>
                <w:tcPr>
                  <w:tcW w:w="1106" w:type="dxa"/>
                  <w:noWrap w:val="0"/>
                  <w:vAlign w:val="center"/>
                </w:tcPr>
                <w:p>
                  <w:pPr>
                    <w:pStyle w:val="79"/>
                    <w:rPr>
                      <w:color w:val="auto"/>
                      <w:szCs w:val="21"/>
                    </w:rPr>
                  </w:pPr>
                  <w:r>
                    <w:rPr>
                      <w:color w:val="auto"/>
                      <w:szCs w:val="21"/>
                    </w:rPr>
                    <w:t>14</w:t>
                  </w:r>
                </w:p>
              </w:tc>
              <w:tc>
                <w:tcPr>
                  <w:tcW w:w="1106" w:type="dxa"/>
                  <w:noWrap w:val="0"/>
                  <w:vAlign w:val="center"/>
                </w:tcPr>
                <w:p>
                  <w:pPr>
                    <w:pStyle w:val="79"/>
                    <w:rPr>
                      <w:color w:val="auto"/>
                      <w:szCs w:val="21"/>
                    </w:rPr>
                  </w:pPr>
                  <w:r>
                    <w:rPr>
                      <w:color w:val="auto"/>
                      <w:szCs w:val="21"/>
                    </w:rPr>
                    <w:t>2.7</w:t>
                  </w:r>
                </w:p>
              </w:tc>
              <w:tc>
                <w:tcPr>
                  <w:tcW w:w="1106" w:type="dxa"/>
                  <w:noWrap w:val="0"/>
                  <w:vAlign w:val="center"/>
                </w:tcPr>
                <w:p>
                  <w:pPr>
                    <w:pStyle w:val="79"/>
                    <w:rPr>
                      <w:color w:val="auto"/>
                      <w:szCs w:val="21"/>
                    </w:rPr>
                  </w:pPr>
                  <w:r>
                    <w:rPr>
                      <w:color w:val="auto"/>
                      <w:szCs w:val="21"/>
                    </w:rPr>
                    <w:t>0.144</w:t>
                  </w:r>
                </w:p>
              </w:tc>
              <w:tc>
                <w:tcPr>
                  <w:tcW w:w="1106" w:type="dxa"/>
                  <w:noWrap w:val="0"/>
                  <w:vAlign w:val="center"/>
                </w:tcPr>
                <w:p>
                  <w:pPr>
                    <w:pStyle w:val="79"/>
                    <w:rPr>
                      <w:color w:val="auto"/>
                      <w:szCs w:val="21"/>
                    </w:rPr>
                  </w:pPr>
                  <w:r>
                    <w:rPr>
                      <w:color w:val="auto"/>
                      <w:szCs w:val="21"/>
                    </w:rPr>
                    <w:t>0.14</w:t>
                  </w:r>
                </w:p>
              </w:tc>
              <w:tc>
                <w:tcPr>
                  <w:tcW w:w="1109"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2020.10.29</w:t>
                  </w:r>
                </w:p>
              </w:tc>
              <w:tc>
                <w:tcPr>
                  <w:tcW w:w="1169" w:type="dxa"/>
                  <w:vMerge w:val="continue"/>
                  <w:noWrap w:val="0"/>
                  <w:vAlign w:val="center"/>
                </w:tcPr>
                <w:p>
                  <w:pPr>
                    <w:pStyle w:val="79"/>
                    <w:rPr>
                      <w:color w:val="auto"/>
                      <w:szCs w:val="21"/>
                    </w:rPr>
                  </w:pPr>
                </w:p>
              </w:tc>
              <w:tc>
                <w:tcPr>
                  <w:tcW w:w="1043" w:type="dxa"/>
                  <w:noWrap w:val="0"/>
                  <w:vAlign w:val="center"/>
                </w:tcPr>
                <w:p>
                  <w:pPr>
                    <w:pStyle w:val="79"/>
                    <w:rPr>
                      <w:color w:val="auto"/>
                      <w:szCs w:val="21"/>
                    </w:rPr>
                  </w:pPr>
                  <w:r>
                    <w:rPr>
                      <w:color w:val="auto"/>
                      <w:szCs w:val="21"/>
                    </w:rPr>
                    <w:t>7.04</w:t>
                  </w:r>
                </w:p>
              </w:tc>
              <w:tc>
                <w:tcPr>
                  <w:tcW w:w="1106" w:type="dxa"/>
                  <w:noWrap w:val="0"/>
                  <w:vAlign w:val="center"/>
                </w:tcPr>
                <w:p>
                  <w:pPr>
                    <w:pStyle w:val="79"/>
                    <w:rPr>
                      <w:color w:val="auto"/>
                      <w:szCs w:val="21"/>
                    </w:rPr>
                  </w:pPr>
                  <w:r>
                    <w:rPr>
                      <w:color w:val="auto"/>
                      <w:szCs w:val="21"/>
                    </w:rPr>
                    <w:t>13</w:t>
                  </w:r>
                </w:p>
              </w:tc>
              <w:tc>
                <w:tcPr>
                  <w:tcW w:w="1106" w:type="dxa"/>
                  <w:noWrap w:val="0"/>
                  <w:vAlign w:val="center"/>
                </w:tcPr>
                <w:p>
                  <w:pPr>
                    <w:pStyle w:val="79"/>
                    <w:rPr>
                      <w:color w:val="auto"/>
                      <w:szCs w:val="21"/>
                    </w:rPr>
                  </w:pPr>
                  <w:r>
                    <w:rPr>
                      <w:color w:val="auto"/>
                      <w:szCs w:val="21"/>
                    </w:rPr>
                    <w:t>2.7</w:t>
                  </w:r>
                </w:p>
              </w:tc>
              <w:tc>
                <w:tcPr>
                  <w:tcW w:w="1106" w:type="dxa"/>
                  <w:noWrap w:val="0"/>
                  <w:vAlign w:val="center"/>
                </w:tcPr>
                <w:p>
                  <w:pPr>
                    <w:pStyle w:val="79"/>
                    <w:rPr>
                      <w:color w:val="auto"/>
                      <w:szCs w:val="21"/>
                    </w:rPr>
                  </w:pPr>
                  <w:r>
                    <w:rPr>
                      <w:color w:val="auto"/>
                      <w:szCs w:val="21"/>
                    </w:rPr>
                    <w:t>0.122</w:t>
                  </w:r>
                </w:p>
              </w:tc>
              <w:tc>
                <w:tcPr>
                  <w:tcW w:w="1106" w:type="dxa"/>
                  <w:noWrap w:val="0"/>
                  <w:vAlign w:val="center"/>
                </w:tcPr>
                <w:p>
                  <w:pPr>
                    <w:pStyle w:val="79"/>
                    <w:rPr>
                      <w:color w:val="auto"/>
                      <w:szCs w:val="21"/>
                    </w:rPr>
                  </w:pPr>
                  <w:r>
                    <w:rPr>
                      <w:color w:val="auto"/>
                      <w:szCs w:val="21"/>
                    </w:rPr>
                    <w:t>0.12</w:t>
                  </w:r>
                </w:p>
              </w:tc>
              <w:tc>
                <w:tcPr>
                  <w:tcW w:w="1109"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2020.10.30</w:t>
                  </w:r>
                </w:p>
              </w:tc>
              <w:tc>
                <w:tcPr>
                  <w:tcW w:w="1169" w:type="dxa"/>
                  <w:vMerge w:val="continue"/>
                  <w:noWrap w:val="0"/>
                  <w:vAlign w:val="center"/>
                </w:tcPr>
                <w:p>
                  <w:pPr>
                    <w:pStyle w:val="79"/>
                    <w:rPr>
                      <w:color w:val="auto"/>
                      <w:szCs w:val="21"/>
                    </w:rPr>
                  </w:pPr>
                </w:p>
              </w:tc>
              <w:tc>
                <w:tcPr>
                  <w:tcW w:w="1043" w:type="dxa"/>
                  <w:noWrap w:val="0"/>
                  <w:vAlign w:val="center"/>
                </w:tcPr>
                <w:p>
                  <w:pPr>
                    <w:pStyle w:val="79"/>
                    <w:rPr>
                      <w:color w:val="auto"/>
                      <w:szCs w:val="21"/>
                    </w:rPr>
                  </w:pPr>
                  <w:r>
                    <w:rPr>
                      <w:color w:val="auto"/>
                      <w:szCs w:val="21"/>
                    </w:rPr>
                    <w:t>7.09</w:t>
                  </w:r>
                </w:p>
              </w:tc>
              <w:tc>
                <w:tcPr>
                  <w:tcW w:w="1106" w:type="dxa"/>
                  <w:noWrap w:val="0"/>
                  <w:vAlign w:val="center"/>
                </w:tcPr>
                <w:p>
                  <w:pPr>
                    <w:pStyle w:val="79"/>
                    <w:rPr>
                      <w:color w:val="auto"/>
                      <w:szCs w:val="21"/>
                    </w:rPr>
                  </w:pPr>
                  <w:r>
                    <w:rPr>
                      <w:color w:val="auto"/>
                      <w:szCs w:val="21"/>
                    </w:rPr>
                    <w:t>15</w:t>
                  </w:r>
                </w:p>
              </w:tc>
              <w:tc>
                <w:tcPr>
                  <w:tcW w:w="1106" w:type="dxa"/>
                  <w:noWrap w:val="0"/>
                  <w:vAlign w:val="center"/>
                </w:tcPr>
                <w:p>
                  <w:pPr>
                    <w:pStyle w:val="79"/>
                    <w:rPr>
                      <w:color w:val="auto"/>
                      <w:szCs w:val="21"/>
                    </w:rPr>
                  </w:pPr>
                  <w:r>
                    <w:rPr>
                      <w:color w:val="auto"/>
                      <w:szCs w:val="21"/>
                    </w:rPr>
                    <w:t>2.6</w:t>
                  </w:r>
                </w:p>
              </w:tc>
              <w:tc>
                <w:tcPr>
                  <w:tcW w:w="1106" w:type="dxa"/>
                  <w:noWrap w:val="0"/>
                  <w:vAlign w:val="center"/>
                </w:tcPr>
                <w:p>
                  <w:pPr>
                    <w:pStyle w:val="79"/>
                    <w:rPr>
                      <w:color w:val="auto"/>
                      <w:szCs w:val="21"/>
                    </w:rPr>
                  </w:pPr>
                  <w:r>
                    <w:rPr>
                      <w:color w:val="auto"/>
                      <w:szCs w:val="21"/>
                    </w:rPr>
                    <w:t>0.149</w:t>
                  </w:r>
                </w:p>
              </w:tc>
              <w:tc>
                <w:tcPr>
                  <w:tcW w:w="1106" w:type="dxa"/>
                  <w:noWrap w:val="0"/>
                  <w:vAlign w:val="center"/>
                </w:tcPr>
                <w:p>
                  <w:pPr>
                    <w:pStyle w:val="79"/>
                    <w:rPr>
                      <w:color w:val="auto"/>
                      <w:szCs w:val="21"/>
                    </w:rPr>
                  </w:pPr>
                  <w:r>
                    <w:rPr>
                      <w:color w:val="auto"/>
                      <w:szCs w:val="21"/>
                    </w:rPr>
                    <w:t>0.14</w:t>
                  </w:r>
                </w:p>
              </w:tc>
              <w:tc>
                <w:tcPr>
                  <w:tcW w:w="1109"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2020.10.28</w:t>
                  </w:r>
                </w:p>
              </w:tc>
              <w:tc>
                <w:tcPr>
                  <w:tcW w:w="1169" w:type="dxa"/>
                  <w:vMerge w:val="restart"/>
                  <w:noWrap w:val="0"/>
                  <w:vAlign w:val="center"/>
                </w:tcPr>
                <w:p>
                  <w:pPr>
                    <w:pStyle w:val="79"/>
                    <w:rPr>
                      <w:color w:val="auto"/>
                      <w:szCs w:val="21"/>
                    </w:rPr>
                  </w:pPr>
                  <w:r>
                    <w:rPr>
                      <w:color w:val="auto"/>
                      <w:szCs w:val="21"/>
                    </w:rPr>
                    <w:t>2#官料河项目排污口下游1000m处</w:t>
                  </w:r>
                </w:p>
              </w:tc>
              <w:tc>
                <w:tcPr>
                  <w:tcW w:w="1043" w:type="dxa"/>
                  <w:noWrap w:val="0"/>
                  <w:vAlign w:val="center"/>
                </w:tcPr>
                <w:p>
                  <w:pPr>
                    <w:pStyle w:val="79"/>
                    <w:rPr>
                      <w:color w:val="auto"/>
                      <w:szCs w:val="21"/>
                    </w:rPr>
                  </w:pPr>
                  <w:r>
                    <w:rPr>
                      <w:color w:val="auto"/>
                      <w:szCs w:val="21"/>
                    </w:rPr>
                    <w:t>7.10</w:t>
                  </w:r>
                </w:p>
              </w:tc>
              <w:tc>
                <w:tcPr>
                  <w:tcW w:w="1106" w:type="dxa"/>
                  <w:noWrap w:val="0"/>
                  <w:vAlign w:val="center"/>
                </w:tcPr>
                <w:p>
                  <w:pPr>
                    <w:pStyle w:val="79"/>
                    <w:rPr>
                      <w:color w:val="auto"/>
                      <w:szCs w:val="21"/>
                    </w:rPr>
                  </w:pPr>
                  <w:r>
                    <w:rPr>
                      <w:color w:val="auto"/>
                      <w:szCs w:val="21"/>
                    </w:rPr>
                    <w:t>11</w:t>
                  </w:r>
                </w:p>
              </w:tc>
              <w:tc>
                <w:tcPr>
                  <w:tcW w:w="1106" w:type="dxa"/>
                  <w:noWrap w:val="0"/>
                  <w:vAlign w:val="center"/>
                </w:tcPr>
                <w:p>
                  <w:pPr>
                    <w:pStyle w:val="79"/>
                    <w:rPr>
                      <w:color w:val="auto"/>
                      <w:szCs w:val="21"/>
                    </w:rPr>
                  </w:pPr>
                  <w:r>
                    <w:rPr>
                      <w:color w:val="auto"/>
                      <w:szCs w:val="21"/>
                    </w:rPr>
                    <w:t>2.5</w:t>
                  </w:r>
                </w:p>
              </w:tc>
              <w:tc>
                <w:tcPr>
                  <w:tcW w:w="1106" w:type="dxa"/>
                  <w:noWrap w:val="0"/>
                  <w:vAlign w:val="center"/>
                </w:tcPr>
                <w:p>
                  <w:pPr>
                    <w:pStyle w:val="79"/>
                    <w:rPr>
                      <w:color w:val="auto"/>
                      <w:szCs w:val="21"/>
                    </w:rPr>
                  </w:pPr>
                  <w:r>
                    <w:rPr>
                      <w:color w:val="auto"/>
                      <w:szCs w:val="21"/>
                    </w:rPr>
                    <w:t>0.133</w:t>
                  </w:r>
                </w:p>
              </w:tc>
              <w:tc>
                <w:tcPr>
                  <w:tcW w:w="1106" w:type="dxa"/>
                  <w:noWrap w:val="0"/>
                  <w:vAlign w:val="center"/>
                </w:tcPr>
                <w:p>
                  <w:pPr>
                    <w:pStyle w:val="79"/>
                    <w:rPr>
                      <w:color w:val="auto"/>
                      <w:szCs w:val="21"/>
                    </w:rPr>
                  </w:pPr>
                  <w:r>
                    <w:rPr>
                      <w:color w:val="auto"/>
                      <w:szCs w:val="21"/>
                    </w:rPr>
                    <w:t>0.04</w:t>
                  </w:r>
                </w:p>
              </w:tc>
              <w:tc>
                <w:tcPr>
                  <w:tcW w:w="1109"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2020.10.29</w:t>
                  </w:r>
                </w:p>
              </w:tc>
              <w:tc>
                <w:tcPr>
                  <w:tcW w:w="1169" w:type="dxa"/>
                  <w:vMerge w:val="continue"/>
                  <w:noWrap w:val="0"/>
                  <w:vAlign w:val="center"/>
                </w:tcPr>
                <w:p>
                  <w:pPr>
                    <w:pStyle w:val="79"/>
                    <w:rPr>
                      <w:color w:val="auto"/>
                      <w:szCs w:val="21"/>
                    </w:rPr>
                  </w:pPr>
                </w:p>
              </w:tc>
              <w:tc>
                <w:tcPr>
                  <w:tcW w:w="1043" w:type="dxa"/>
                  <w:noWrap w:val="0"/>
                  <w:vAlign w:val="center"/>
                </w:tcPr>
                <w:p>
                  <w:pPr>
                    <w:pStyle w:val="79"/>
                    <w:rPr>
                      <w:color w:val="auto"/>
                      <w:szCs w:val="21"/>
                    </w:rPr>
                  </w:pPr>
                  <w:r>
                    <w:rPr>
                      <w:color w:val="auto"/>
                      <w:szCs w:val="21"/>
                    </w:rPr>
                    <w:t>7.06</w:t>
                  </w:r>
                </w:p>
              </w:tc>
              <w:tc>
                <w:tcPr>
                  <w:tcW w:w="1106" w:type="dxa"/>
                  <w:noWrap w:val="0"/>
                  <w:vAlign w:val="center"/>
                </w:tcPr>
                <w:p>
                  <w:pPr>
                    <w:pStyle w:val="79"/>
                    <w:rPr>
                      <w:color w:val="auto"/>
                      <w:szCs w:val="21"/>
                    </w:rPr>
                  </w:pPr>
                  <w:r>
                    <w:rPr>
                      <w:color w:val="auto"/>
                      <w:szCs w:val="21"/>
                    </w:rPr>
                    <w:t>12</w:t>
                  </w:r>
                </w:p>
              </w:tc>
              <w:tc>
                <w:tcPr>
                  <w:tcW w:w="1106" w:type="dxa"/>
                  <w:noWrap w:val="0"/>
                  <w:vAlign w:val="center"/>
                </w:tcPr>
                <w:p>
                  <w:pPr>
                    <w:pStyle w:val="79"/>
                    <w:rPr>
                      <w:color w:val="auto"/>
                      <w:szCs w:val="21"/>
                    </w:rPr>
                  </w:pPr>
                  <w:r>
                    <w:rPr>
                      <w:color w:val="auto"/>
                      <w:szCs w:val="21"/>
                    </w:rPr>
                    <w:t>2.6</w:t>
                  </w:r>
                </w:p>
              </w:tc>
              <w:tc>
                <w:tcPr>
                  <w:tcW w:w="1106" w:type="dxa"/>
                  <w:noWrap w:val="0"/>
                  <w:vAlign w:val="center"/>
                </w:tcPr>
                <w:p>
                  <w:pPr>
                    <w:pStyle w:val="79"/>
                    <w:rPr>
                      <w:color w:val="auto"/>
                      <w:szCs w:val="21"/>
                    </w:rPr>
                  </w:pPr>
                  <w:r>
                    <w:rPr>
                      <w:color w:val="auto"/>
                      <w:szCs w:val="21"/>
                    </w:rPr>
                    <w:t>0.101</w:t>
                  </w:r>
                </w:p>
              </w:tc>
              <w:tc>
                <w:tcPr>
                  <w:tcW w:w="1106" w:type="dxa"/>
                  <w:noWrap w:val="0"/>
                  <w:vAlign w:val="center"/>
                </w:tcPr>
                <w:p>
                  <w:pPr>
                    <w:pStyle w:val="79"/>
                    <w:rPr>
                      <w:color w:val="auto"/>
                      <w:szCs w:val="21"/>
                    </w:rPr>
                  </w:pPr>
                  <w:r>
                    <w:rPr>
                      <w:color w:val="auto"/>
                      <w:szCs w:val="21"/>
                    </w:rPr>
                    <w:t>0.06</w:t>
                  </w:r>
                </w:p>
              </w:tc>
              <w:tc>
                <w:tcPr>
                  <w:tcW w:w="1109"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61" w:type="dxa"/>
                  <w:noWrap w:val="0"/>
                  <w:vAlign w:val="center"/>
                </w:tcPr>
                <w:p>
                  <w:pPr>
                    <w:pStyle w:val="79"/>
                    <w:rPr>
                      <w:color w:val="auto"/>
                      <w:szCs w:val="21"/>
                    </w:rPr>
                  </w:pPr>
                  <w:r>
                    <w:rPr>
                      <w:color w:val="auto"/>
                      <w:szCs w:val="21"/>
                    </w:rPr>
                    <w:t>2020.10.30</w:t>
                  </w:r>
                </w:p>
              </w:tc>
              <w:tc>
                <w:tcPr>
                  <w:tcW w:w="1169" w:type="dxa"/>
                  <w:vMerge w:val="continue"/>
                  <w:noWrap w:val="0"/>
                  <w:vAlign w:val="center"/>
                </w:tcPr>
                <w:p>
                  <w:pPr>
                    <w:pStyle w:val="79"/>
                    <w:rPr>
                      <w:color w:val="auto"/>
                      <w:szCs w:val="21"/>
                    </w:rPr>
                  </w:pPr>
                </w:p>
              </w:tc>
              <w:tc>
                <w:tcPr>
                  <w:tcW w:w="1043" w:type="dxa"/>
                  <w:noWrap w:val="0"/>
                  <w:vAlign w:val="center"/>
                </w:tcPr>
                <w:p>
                  <w:pPr>
                    <w:pStyle w:val="79"/>
                    <w:rPr>
                      <w:color w:val="auto"/>
                      <w:szCs w:val="21"/>
                    </w:rPr>
                  </w:pPr>
                  <w:r>
                    <w:rPr>
                      <w:color w:val="auto"/>
                      <w:szCs w:val="21"/>
                    </w:rPr>
                    <w:t>7.13</w:t>
                  </w:r>
                </w:p>
              </w:tc>
              <w:tc>
                <w:tcPr>
                  <w:tcW w:w="1106" w:type="dxa"/>
                  <w:noWrap w:val="0"/>
                  <w:vAlign w:val="center"/>
                </w:tcPr>
                <w:p>
                  <w:pPr>
                    <w:pStyle w:val="79"/>
                    <w:rPr>
                      <w:color w:val="auto"/>
                      <w:szCs w:val="21"/>
                    </w:rPr>
                  </w:pPr>
                  <w:r>
                    <w:rPr>
                      <w:color w:val="auto"/>
                      <w:szCs w:val="21"/>
                    </w:rPr>
                    <w:t>13</w:t>
                  </w:r>
                </w:p>
              </w:tc>
              <w:tc>
                <w:tcPr>
                  <w:tcW w:w="1106" w:type="dxa"/>
                  <w:noWrap w:val="0"/>
                  <w:vAlign w:val="center"/>
                </w:tcPr>
                <w:p>
                  <w:pPr>
                    <w:pStyle w:val="79"/>
                    <w:rPr>
                      <w:color w:val="auto"/>
                      <w:szCs w:val="21"/>
                    </w:rPr>
                  </w:pPr>
                  <w:r>
                    <w:rPr>
                      <w:color w:val="auto"/>
                      <w:szCs w:val="21"/>
                    </w:rPr>
                    <w:t>2.6</w:t>
                  </w:r>
                </w:p>
              </w:tc>
              <w:tc>
                <w:tcPr>
                  <w:tcW w:w="1106" w:type="dxa"/>
                  <w:noWrap w:val="0"/>
                  <w:vAlign w:val="center"/>
                </w:tcPr>
                <w:p>
                  <w:pPr>
                    <w:pStyle w:val="79"/>
                    <w:rPr>
                      <w:color w:val="auto"/>
                      <w:szCs w:val="21"/>
                    </w:rPr>
                  </w:pPr>
                  <w:r>
                    <w:rPr>
                      <w:color w:val="auto"/>
                      <w:szCs w:val="21"/>
                    </w:rPr>
                    <w:t>0.111</w:t>
                  </w:r>
                </w:p>
              </w:tc>
              <w:tc>
                <w:tcPr>
                  <w:tcW w:w="1106" w:type="dxa"/>
                  <w:noWrap w:val="0"/>
                  <w:vAlign w:val="center"/>
                </w:tcPr>
                <w:p>
                  <w:pPr>
                    <w:pStyle w:val="79"/>
                    <w:rPr>
                      <w:color w:val="auto"/>
                      <w:szCs w:val="21"/>
                    </w:rPr>
                  </w:pPr>
                  <w:r>
                    <w:rPr>
                      <w:color w:val="auto"/>
                      <w:szCs w:val="21"/>
                    </w:rPr>
                    <w:t>0.07</w:t>
                  </w:r>
                </w:p>
              </w:tc>
              <w:tc>
                <w:tcPr>
                  <w:tcW w:w="1109" w:type="dxa"/>
                  <w:noWrap w:val="0"/>
                  <w:vAlign w:val="center"/>
                </w:tcPr>
                <w:p>
                  <w:pPr>
                    <w:pStyle w:val="79"/>
                    <w:rPr>
                      <w:color w:val="auto"/>
                      <w:szCs w:val="21"/>
                    </w:rPr>
                  </w:pPr>
                  <w:r>
                    <w:rPr>
                      <w:color w:val="auto"/>
                      <w:szCs w:val="21"/>
                    </w:rPr>
                    <w:t>未检出</w:t>
                  </w:r>
                </w:p>
              </w:tc>
            </w:tr>
          </w:tbl>
          <w:p>
            <w:pPr>
              <w:pStyle w:val="8"/>
              <w:ind w:firstLine="480" w:firstLineChars="200"/>
              <w:rPr>
                <w:rFonts w:ascii="Times New Roman" w:hAnsi="Times New Roman" w:eastAsia="宋体"/>
                <w:color w:val="auto"/>
                <w:sz w:val="24"/>
                <w:szCs w:val="24"/>
              </w:rPr>
            </w:pPr>
            <w:r>
              <w:rPr>
                <w:rFonts w:ascii="Times New Roman" w:hAnsi="Times New Roman" w:eastAsia="宋体"/>
                <w:color w:val="auto"/>
                <w:sz w:val="24"/>
                <w:szCs w:val="24"/>
              </w:rPr>
              <w:t>（1）评价方法</w:t>
            </w:r>
          </w:p>
          <w:p>
            <w:pPr>
              <w:tabs>
                <w:tab w:val="left" w:pos="6030"/>
              </w:tabs>
              <w:adjustRightInd w:val="0"/>
              <w:snapToGrid w:val="0"/>
              <w:spacing w:line="360" w:lineRule="auto"/>
              <w:ind w:firstLine="480" w:firstLineChars="200"/>
              <w:rPr>
                <w:color w:val="auto"/>
              </w:rPr>
            </w:pPr>
            <w:r>
              <w:rPr>
                <w:color w:val="auto"/>
              </w:rPr>
              <w:t>根据监测结果，统计出各监测断面各污染因子的测值范围、超标率、最大超标倍数，并采用单项标准指数法进行现状评价。计算公式如下：</w:t>
            </w:r>
          </w:p>
          <w:p>
            <w:pPr>
              <w:tabs>
                <w:tab w:val="left" w:pos="6030"/>
              </w:tabs>
              <w:adjustRightInd w:val="0"/>
              <w:snapToGrid w:val="0"/>
              <w:spacing w:line="360" w:lineRule="auto"/>
              <w:ind w:left="480" w:leftChars="200"/>
              <w:rPr>
                <w:color w:val="auto"/>
              </w:rPr>
            </w:pPr>
            <w:r>
              <w:rPr>
                <w:color w:val="auto"/>
              </w:rPr>
              <w:t>1）一般项目单项标准指数计算公式：</w:t>
            </w:r>
          </w:p>
          <w:p>
            <w:pPr>
              <w:tabs>
                <w:tab w:val="left" w:pos="6030"/>
              </w:tabs>
              <w:adjustRightInd w:val="0"/>
              <w:snapToGrid w:val="0"/>
              <w:spacing w:line="360" w:lineRule="auto"/>
              <w:jc w:val="center"/>
              <w:rPr>
                <w:color w:val="auto"/>
              </w:rPr>
            </w:pPr>
            <w:r>
              <w:rPr>
                <w:color w:val="auto"/>
              </w:rPr>
              <w:object>
                <v:shape id="_x0000_i1028" o:spt="75" type="#_x0000_t75" style="height:38.05pt;width:80.85pt;" o:ole="t" filled="f" o:preferrelative="t" stroked="f" coordsize="21600,21600">
                  <v:path/>
                  <v:fill on="f" focussize="0,0"/>
                  <v:stroke on="f"/>
                  <v:imagedata r:id="rId13" o:title=""/>
                  <o:lock v:ext="edit" aspectratio="t"/>
                  <w10:wrap type="none"/>
                  <w10:anchorlock/>
                </v:shape>
                <o:OLEObject Type="Embed" ProgID="Equation.3" ShapeID="_x0000_i1028" DrawAspect="Content" ObjectID="_1468075725" r:id="rId12">
                  <o:LockedField>false</o:LockedField>
                </o:OLEObject>
              </w:object>
            </w:r>
          </w:p>
          <w:p>
            <w:pPr>
              <w:tabs>
                <w:tab w:val="left" w:pos="6030"/>
              </w:tabs>
              <w:adjustRightInd w:val="0"/>
              <w:snapToGrid w:val="0"/>
              <w:spacing w:line="360" w:lineRule="auto"/>
              <w:ind w:firstLine="480" w:firstLineChars="200"/>
              <w:rPr>
                <w:color w:val="auto"/>
              </w:rPr>
            </w:pPr>
            <w:r>
              <w:rPr>
                <w:color w:val="auto"/>
              </w:rPr>
              <w:t>式中：S</w:t>
            </w:r>
            <w:r>
              <w:rPr>
                <w:color w:val="auto"/>
                <w:vertAlign w:val="subscript"/>
              </w:rPr>
              <w:t>ij</w:t>
            </w:r>
            <w:r>
              <w:rPr>
                <w:color w:val="auto"/>
              </w:rPr>
              <w:t>：评价因子i的水质指数，大于1表示该水质因子超标；</w:t>
            </w:r>
          </w:p>
          <w:p>
            <w:pPr>
              <w:tabs>
                <w:tab w:val="left" w:pos="6030"/>
              </w:tabs>
              <w:adjustRightInd w:val="0"/>
              <w:snapToGrid w:val="0"/>
              <w:spacing w:line="360" w:lineRule="auto"/>
              <w:ind w:firstLine="1200" w:firstLineChars="500"/>
              <w:rPr>
                <w:color w:val="auto"/>
              </w:rPr>
            </w:pPr>
            <w:r>
              <w:rPr>
                <w:color w:val="auto"/>
              </w:rPr>
              <w:t>C</w:t>
            </w:r>
            <w:r>
              <w:rPr>
                <w:color w:val="auto"/>
                <w:vertAlign w:val="subscript"/>
              </w:rPr>
              <w:t>ij</w:t>
            </w:r>
            <w:r>
              <w:rPr>
                <w:color w:val="auto"/>
              </w:rPr>
              <w:t>：评价因子i在j点的实测统计代表值，mg/L；</w:t>
            </w:r>
          </w:p>
          <w:p>
            <w:pPr>
              <w:tabs>
                <w:tab w:val="left" w:pos="6030"/>
              </w:tabs>
              <w:adjustRightInd w:val="0"/>
              <w:snapToGrid w:val="0"/>
              <w:spacing w:line="360" w:lineRule="auto"/>
              <w:ind w:firstLine="1200" w:firstLineChars="500"/>
              <w:rPr>
                <w:color w:val="auto"/>
              </w:rPr>
            </w:pPr>
            <w:r>
              <w:rPr>
                <w:color w:val="auto"/>
              </w:rPr>
              <w:t>C</w:t>
            </w:r>
            <w:r>
              <w:rPr>
                <w:color w:val="auto"/>
                <w:vertAlign w:val="subscript"/>
              </w:rPr>
              <w:t>si</w:t>
            </w:r>
            <w:r>
              <w:rPr>
                <w:color w:val="auto"/>
              </w:rPr>
              <w:t>：评价因子i的评价标准限值，mg/L。</w:t>
            </w:r>
          </w:p>
          <w:p>
            <w:pPr>
              <w:tabs>
                <w:tab w:val="left" w:pos="6030"/>
              </w:tabs>
              <w:adjustRightInd w:val="0"/>
              <w:snapToGrid w:val="0"/>
              <w:spacing w:line="360" w:lineRule="auto"/>
              <w:ind w:firstLine="480" w:firstLineChars="200"/>
              <w:rPr>
                <w:color w:val="auto"/>
              </w:rPr>
            </w:pPr>
            <w:r>
              <w:rPr>
                <w:color w:val="auto"/>
              </w:rPr>
              <w:t>2）pH的标准指数为：</w:t>
            </w:r>
          </w:p>
          <w:p>
            <w:pPr>
              <w:tabs>
                <w:tab w:val="left" w:pos="6030"/>
              </w:tabs>
              <w:adjustRightInd w:val="0"/>
              <w:snapToGrid w:val="0"/>
              <w:spacing w:line="360" w:lineRule="auto"/>
              <w:ind w:firstLine="480" w:firstLineChars="200"/>
              <w:rPr>
                <w:color w:val="auto"/>
              </w:rPr>
            </w:pPr>
            <w:r>
              <w:rPr>
                <w:color w:val="auto"/>
              </w:rPr>
              <w:t>当pH</w:t>
            </w:r>
            <w:r>
              <w:rPr>
                <w:color w:val="auto"/>
                <w:vertAlign w:val="subscript"/>
              </w:rPr>
              <w:t>j</w:t>
            </w:r>
            <w:r>
              <w:rPr>
                <w:color w:val="auto"/>
              </w:rPr>
              <w:t xml:space="preserve">≤7.0      </w:t>
            </w:r>
            <w:r>
              <w:rPr>
                <w:snapToGrid w:val="0"/>
                <w:color w:val="auto"/>
                <w:position w:val="-30"/>
              </w:rPr>
              <w:object>
                <v:shape id="_x0000_i1029" o:spt="75" type="#_x0000_t75" style="height:33.75pt;width:86.15pt;" o:ole="t" filled="f" o:preferrelative="t" stroked="f" coordsize="21600,21600">
                  <v:path/>
                  <v:fill on="f" focussize="0,0"/>
                  <v:stroke on="f"/>
                  <v:imagedata r:id="rId15" o:title=""/>
                  <o:lock v:ext="edit" aspectratio="t"/>
                  <w10:wrap type="none"/>
                  <w10:anchorlock/>
                </v:shape>
                <o:OLEObject Type="Embed" ProgID="Equation.3" ShapeID="_x0000_i1029" DrawAspect="Content" ObjectID="_1468075726" r:id="rId14">
                  <o:LockedField>false</o:LockedField>
                </o:OLEObject>
              </w:object>
            </w:r>
          </w:p>
          <w:p>
            <w:pPr>
              <w:tabs>
                <w:tab w:val="left" w:pos="6030"/>
              </w:tabs>
              <w:adjustRightInd w:val="0"/>
              <w:snapToGrid w:val="0"/>
              <w:spacing w:line="360" w:lineRule="auto"/>
              <w:ind w:firstLine="480" w:firstLineChars="200"/>
              <w:rPr>
                <w:color w:val="auto"/>
              </w:rPr>
            </w:pPr>
            <w:r>
              <w:rPr>
                <w:color w:val="auto"/>
              </w:rPr>
              <w:t>当pH</w:t>
            </w:r>
            <w:r>
              <w:rPr>
                <w:color w:val="auto"/>
                <w:vertAlign w:val="subscript"/>
              </w:rPr>
              <w:t>j</w:t>
            </w:r>
            <w:r>
              <w:rPr>
                <w:color w:val="auto"/>
              </w:rPr>
              <w:t xml:space="preserve">≥7.0     </w:t>
            </w:r>
            <w:r>
              <w:rPr>
                <w:snapToGrid w:val="0"/>
                <w:color w:val="auto"/>
                <w:position w:val="-30"/>
              </w:rPr>
              <w:object>
                <v:shape id="_x0000_i1030" o:spt="75" type="#_x0000_t75" style="height:35.25pt;width:93.75pt;" o:ole="t" filled="f" o:preferrelative="t" stroked="f" coordsize="21600,21600">
                  <v:path/>
                  <v:fill on="f" focussize="0,0"/>
                  <v:stroke on="f"/>
                  <v:imagedata r:id="rId17" o:title=""/>
                  <o:lock v:ext="edit" aspectratio="t"/>
                  <w10:wrap type="none"/>
                  <w10:anchorlock/>
                </v:shape>
                <o:OLEObject Type="Embed" ProgID="Equation.3" ShapeID="_x0000_i1030" DrawAspect="Content" ObjectID="_1468075727" r:id="rId16">
                  <o:LockedField>false</o:LockedField>
                </o:OLEObject>
              </w:object>
            </w:r>
          </w:p>
          <w:p>
            <w:pPr>
              <w:tabs>
                <w:tab w:val="left" w:pos="6030"/>
              </w:tabs>
              <w:adjustRightInd w:val="0"/>
              <w:snapToGrid w:val="0"/>
              <w:spacing w:line="360" w:lineRule="auto"/>
              <w:ind w:firstLine="480" w:firstLineChars="200"/>
              <w:rPr>
                <w:color w:val="auto"/>
              </w:rPr>
            </w:pPr>
            <w:r>
              <w:rPr>
                <w:color w:val="auto"/>
              </w:rPr>
              <w:t>式中：S</w:t>
            </w:r>
            <w:r>
              <w:rPr>
                <w:color w:val="auto"/>
                <w:vertAlign w:val="subscript"/>
              </w:rPr>
              <w:t>pH，j</w:t>
            </w:r>
            <w:r>
              <w:rPr>
                <w:color w:val="auto"/>
              </w:rPr>
              <w:t>：pH值的指数，大于1表面该水质因子超标；</w:t>
            </w:r>
          </w:p>
          <w:p>
            <w:pPr>
              <w:tabs>
                <w:tab w:val="left" w:pos="6030"/>
              </w:tabs>
              <w:adjustRightInd w:val="0"/>
              <w:snapToGrid w:val="0"/>
              <w:spacing w:line="360" w:lineRule="auto"/>
              <w:ind w:firstLine="1200" w:firstLineChars="500"/>
              <w:rPr>
                <w:color w:val="auto"/>
              </w:rPr>
            </w:pPr>
            <w:r>
              <w:rPr>
                <w:color w:val="auto"/>
              </w:rPr>
              <w:t>pH</w:t>
            </w:r>
            <w:r>
              <w:rPr>
                <w:color w:val="auto"/>
                <w:vertAlign w:val="subscript"/>
              </w:rPr>
              <w:t>j</w:t>
            </w:r>
            <w:r>
              <w:rPr>
                <w:color w:val="auto"/>
              </w:rPr>
              <w:t>：j点的pH值；</w:t>
            </w:r>
          </w:p>
          <w:p>
            <w:pPr>
              <w:tabs>
                <w:tab w:val="left" w:pos="6030"/>
              </w:tabs>
              <w:adjustRightInd w:val="0"/>
              <w:snapToGrid w:val="0"/>
              <w:spacing w:line="360" w:lineRule="auto"/>
              <w:ind w:firstLine="1200" w:firstLineChars="500"/>
              <w:rPr>
                <w:color w:val="auto"/>
              </w:rPr>
            </w:pPr>
            <w:r>
              <w:rPr>
                <w:color w:val="auto"/>
              </w:rPr>
              <w:object>
                <v:shape id="_x0000_i1031" o:spt="75" type="#_x0000_t75" style="height:18.35pt;width:29.2pt;" o:ole="t" filled="f" o:preferrelative="t" stroked="f" coordsize="21600,21600">
                  <v:path/>
                  <v:fill on="f" focussize="0,0"/>
                  <v:stroke on="f"/>
                  <v:imagedata r:id="rId19" o:title=""/>
                  <o:lock v:ext="edit" aspectratio="t"/>
                  <w10:wrap type="none"/>
                  <w10:anchorlock/>
                </v:shape>
                <o:OLEObject Type="Embed" ProgID="Equation.3" ShapeID="_x0000_i1031" DrawAspect="Content" ObjectID="_1468075728" r:id="rId18">
                  <o:LockedField>false</o:LockedField>
                </o:OLEObject>
              </w:object>
            </w:r>
            <w:r>
              <w:rPr>
                <w:color w:val="auto"/>
              </w:rPr>
              <w:t>：地表水水质标准规定的pH的下限值；</w:t>
            </w:r>
          </w:p>
          <w:p>
            <w:pPr>
              <w:pStyle w:val="8"/>
              <w:ind w:firstLine="1132" w:firstLineChars="472"/>
              <w:rPr>
                <w:rFonts w:ascii="Times New Roman" w:hAnsi="Times New Roman" w:eastAsia="宋体"/>
                <w:color w:val="auto"/>
                <w:sz w:val="24"/>
                <w:szCs w:val="24"/>
              </w:rPr>
            </w:pPr>
            <w:r>
              <w:rPr>
                <w:rFonts w:ascii="Times New Roman" w:hAnsi="Times New Roman" w:eastAsia="宋体"/>
                <w:color w:val="auto"/>
                <w:sz w:val="24"/>
                <w:szCs w:val="24"/>
              </w:rPr>
              <w:object>
                <v:shape id="_x0000_i1032" o:spt="75" type="#_x0000_t75" style="height:18.35pt;width:29.2pt;" o:ole="t" filled="f" o:preferrelative="t" stroked="f" coordsize="21600,21600">
                  <v:path/>
                  <v:fill on="f" focussize="0,0"/>
                  <v:stroke on="f"/>
                  <v:imagedata r:id="rId21" o:title=""/>
                  <o:lock v:ext="edit" aspectratio="t"/>
                  <w10:wrap type="none"/>
                  <w10:anchorlock/>
                </v:shape>
                <o:OLEObject Type="Embed" ProgID="Equation.3" ShapeID="_x0000_i1032" DrawAspect="Content" ObjectID="_1468075729" r:id="rId20">
                  <o:LockedField>false</o:LockedField>
                </o:OLEObject>
              </w:object>
            </w:r>
            <w:r>
              <w:rPr>
                <w:rFonts w:ascii="Times New Roman" w:hAnsi="Times New Roman" w:eastAsia="宋体"/>
                <w:color w:val="auto"/>
                <w:sz w:val="24"/>
                <w:szCs w:val="24"/>
              </w:rPr>
              <w:t>：地表水水质标准规定的pH的上限值。</w:t>
            </w:r>
          </w:p>
          <w:p>
            <w:pPr>
              <w:adjustRightInd w:val="0"/>
              <w:snapToGrid w:val="0"/>
              <w:spacing w:line="360" w:lineRule="auto"/>
              <w:ind w:firstLine="480" w:firstLineChars="200"/>
              <w:rPr>
                <w:color w:val="auto"/>
              </w:rPr>
            </w:pPr>
            <w:r>
              <w:rPr>
                <w:color w:val="auto"/>
              </w:rPr>
              <w:t>（2）评价标准</w:t>
            </w:r>
          </w:p>
          <w:p>
            <w:pPr>
              <w:autoSpaceDE w:val="0"/>
              <w:autoSpaceDN w:val="0"/>
              <w:adjustRightInd w:val="0"/>
              <w:snapToGrid w:val="0"/>
              <w:spacing w:line="360" w:lineRule="auto"/>
              <w:ind w:firstLine="480" w:firstLineChars="200"/>
              <w:textAlignment w:val="center"/>
              <w:rPr>
                <w:color w:val="auto"/>
              </w:rPr>
            </w:pPr>
            <w:r>
              <w:rPr>
                <w:color w:val="auto"/>
                <w:kern w:val="0"/>
                <w:szCs w:val="20"/>
                <w:lang w:bidi="ar"/>
              </w:rPr>
              <w:t>地表水环境质量执行《地表水质量标准》GB3838-2002中Ⅲ类标准限值。</w:t>
            </w:r>
          </w:p>
          <w:p>
            <w:pPr>
              <w:adjustRightInd w:val="0"/>
              <w:snapToGrid w:val="0"/>
              <w:spacing w:line="360" w:lineRule="auto"/>
              <w:ind w:firstLine="480" w:firstLineChars="200"/>
              <w:rPr>
                <w:color w:val="auto"/>
              </w:rPr>
            </w:pPr>
            <w:r>
              <w:rPr>
                <w:color w:val="auto"/>
              </w:rPr>
              <w:t>（3）评价结果</w:t>
            </w:r>
          </w:p>
          <w:p>
            <w:pPr>
              <w:adjustRightInd w:val="0"/>
              <w:snapToGrid w:val="0"/>
              <w:spacing w:line="360" w:lineRule="auto"/>
              <w:jc w:val="center"/>
              <w:rPr>
                <w:rFonts w:eastAsia="黑体"/>
                <w:bCs/>
                <w:color w:val="auto"/>
              </w:rPr>
            </w:pPr>
            <w:r>
              <w:rPr>
                <w:rFonts w:eastAsia="黑体"/>
                <w:bCs/>
                <w:color w:val="auto"/>
              </w:rPr>
              <w:t>表3-7  地表水水质现状评价结果</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649"/>
              <w:gridCol w:w="1171"/>
              <w:gridCol w:w="1125"/>
              <w:gridCol w:w="1270"/>
              <w:gridCol w:w="1415"/>
              <w:gridCol w:w="1268"/>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02" w:type="dxa"/>
                  <w:noWrap w:val="0"/>
                  <w:vAlign w:val="center"/>
                </w:tcPr>
                <w:p>
                  <w:pPr>
                    <w:pStyle w:val="79"/>
                    <w:rPr>
                      <w:b/>
                      <w:bCs/>
                      <w:color w:val="auto"/>
                      <w:szCs w:val="21"/>
                    </w:rPr>
                  </w:pPr>
                  <w:r>
                    <w:rPr>
                      <w:b/>
                      <w:bCs/>
                      <w:color w:val="auto"/>
                      <w:szCs w:val="21"/>
                    </w:rPr>
                    <w:t>监测断面</w:t>
                  </w:r>
                </w:p>
              </w:tc>
              <w:tc>
                <w:tcPr>
                  <w:tcW w:w="650" w:type="dxa"/>
                  <w:noWrap w:val="0"/>
                  <w:vAlign w:val="center"/>
                </w:tcPr>
                <w:p>
                  <w:pPr>
                    <w:pStyle w:val="79"/>
                    <w:rPr>
                      <w:b/>
                      <w:bCs/>
                      <w:color w:val="auto"/>
                      <w:szCs w:val="21"/>
                    </w:rPr>
                  </w:pPr>
                  <w:r>
                    <w:rPr>
                      <w:b/>
                      <w:bCs/>
                      <w:color w:val="auto"/>
                      <w:szCs w:val="21"/>
                    </w:rPr>
                    <w:t>内容</w:t>
                  </w:r>
                </w:p>
              </w:tc>
              <w:tc>
                <w:tcPr>
                  <w:tcW w:w="1171" w:type="dxa"/>
                  <w:noWrap w:val="0"/>
                  <w:vAlign w:val="center"/>
                </w:tcPr>
                <w:p>
                  <w:pPr>
                    <w:pStyle w:val="79"/>
                    <w:rPr>
                      <w:b/>
                      <w:bCs/>
                      <w:color w:val="auto"/>
                      <w:szCs w:val="21"/>
                    </w:rPr>
                  </w:pPr>
                  <w:r>
                    <w:rPr>
                      <w:b/>
                      <w:bCs/>
                      <w:color w:val="auto"/>
                      <w:szCs w:val="21"/>
                    </w:rPr>
                    <w:t>pH</w:t>
                  </w:r>
                </w:p>
              </w:tc>
              <w:tc>
                <w:tcPr>
                  <w:tcW w:w="1125" w:type="dxa"/>
                  <w:noWrap w:val="0"/>
                  <w:vAlign w:val="center"/>
                </w:tcPr>
                <w:p>
                  <w:pPr>
                    <w:pStyle w:val="79"/>
                    <w:rPr>
                      <w:b/>
                      <w:bCs/>
                      <w:color w:val="auto"/>
                      <w:szCs w:val="21"/>
                    </w:rPr>
                  </w:pPr>
                  <w:r>
                    <w:rPr>
                      <w:b/>
                      <w:bCs/>
                      <w:color w:val="auto"/>
                      <w:szCs w:val="21"/>
                    </w:rPr>
                    <w:t>化学需氧量</w:t>
                  </w:r>
                </w:p>
              </w:tc>
              <w:tc>
                <w:tcPr>
                  <w:tcW w:w="1270" w:type="dxa"/>
                  <w:noWrap w:val="0"/>
                  <w:vAlign w:val="center"/>
                </w:tcPr>
                <w:p>
                  <w:pPr>
                    <w:pStyle w:val="79"/>
                    <w:rPr>
                      <w:b/>
                      <w:bCs/>
                      <w:color w:val="auto"/>
                      <w:szCs w:val="21"/>
                    </w:rPr>
                  </w:pPr>
                  <w:r>
                    <w:rPr>
                      <w:b/>
                      <w:bCs/>
                      <w:color w:val="auto"/>
                      <w:szCs w:val="21"/>
                    </w:rPr>
                    <w:t>五日生化需氧量</w:t>
                  </w:r>
                </w:p>
              </w:tc>
              <w:tc>
                <w:tcPr>
                  <w:tcW w:w="1416" w:type="dxa"/>
                  <w:noWrap w:val="0"/>
                  <w:vAlign w:val="center"/>
                </w:tcPr>
                <w:p>
                  <w:pPr>
                    <w:pStyle w:val="79"/>
                    <w:rPr>
                      <w:b/>
                      <w:bCs/>
                      <w:color w:val="auto"/>
                      <w:szCs w:val="21"/>
                    </w:rPr>
                  </w:pPr>
                  <w:r>
                    <w:rPr>
                      <w:b/>
                      <w:bCs/>
                      <w:color w:val="auto"/>
                      <w:szCs w:val="21"/>
                    </w:rPr>
                    <w:t>NH</w:t>
                  </w:r>
                  <w:r>
                    <w:rPr>
                      <w:b/>
                      <w:bCs/>
                      <w:color w:val="auto"/>
                      <w:szCs w:val="21"/>
                      <w:vertAlign w:val="subscript"/>
                    </w:rPr>
                    <w:t>3</w:t>
                  </w:r>
                  <w:r>
                    <w:rPr>
                      <w:b/>
                      <w:bCs/>
                      <w:color w:val="auto"/>
                      <w:szCs w:val="21"/>
                    </w:rPr>
                    <w:t>-N</w:t>
                  </w:r>
                </w:p>
              </w:tc>
              <w:tc>
                <w:tcPr>
                  <w:tcW w:w="1269" w:type="dxa"/>
                  <w:noWrap w:val="0"/>
                  <w:vAlign w:val="center"/>
                </w:tcPr>
                <w:p>
                  <w:pPr>
                    <w:pStyle w:val="79"/>
                    <w:rPr>
                      <w:b/>
                      <w:bCs/>
                      <w:color w:val="auto"/>
                      <w:szCs w:val="21"/>
                    </w:rPr>
                  </w:pPr>
                  <w:r>
                    <w:rPr>
                      <w:b/>
                      <w:bCs/>
                      <w:color w:val="auto"/>
                      <w:szCs w:val="21"/>
                    </w:rPr>
                    <w:t>总磷</w:t>
                  </w:r>
                </w:p>
              </w:tc>
              <w:tc>
                <w:tcPr>
                  <w:tcW w:w="1264" w:type="dxa"/>
                  <w:noWrap w:val="0"/>
                  <w:vAlign w:val="center"/>
                </w:tcPr>
                <w:p>
                  <w:pPr>
                    <w:pStyle w:val="79"/>
                    <w:rPr>
                      <w:b/>
                      <w:bCs/>
                      <w:color w:val="auto"/>
                      <w:szCs w:val="21"/>
                    </w:rPr>
                  </w:pPr>
                  <w:r>
                    <w:rPr>
                      <w:b/>
                      <w:bCs/>
                      <w:color w:val="auto"/>
                      <w:szCs w:val="21"/>
                    </w:rPr>
                    <w:t>粪大肠菌群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02" w:type="dxa"/>
                  <w:noWrap w:val="0"/>
                  <w:vAlign w:val="center"/>
                </w:tcPr>
                <w:p>
                  <w:pPr>
                    <w:pStyle w:val="79"/>
                    <w:rPr>
                      <w:color w:val="auto"/>
                      <w:szCs w:val="21"/>
                    </w:rPr>
                  </w:pPr>
                  <w:r>
                    <w:rPr>
                      <w:color w:val="auto"/>
                      <w:szCs w:val="21"/>
                    </w:rPr>
                    <w:t>1#</w:t>
                  </w:r>
                </w:p>
              </w:tc>
              <w:tc>
                <w:tcPr>
                  <w:tcW w:w="650" w:type="dxa"/>
                  <w:vMerge w:val="restart"/>
                  <w:noWrap w:val="0"/>
                  <w:vAlign w:val="center"/>
                </w:tcPr>
                <w:p>
                  <w:pPr>
                    <w:pStyle w:val="79"/>
                    <w:rPr>
                      <w:color w:val="auto"/>
                      <w:szCs w:val="21"/>
                    </w:rPr>
                  </w:pPr>
                  <w:r>
                    <w:rPr>
                      <w:color w:val="auto"/>
                      <w:szCs w:val="21"/>
                    </w:rPr>
                    <w:t>浓度值</w:t>
                  </w:r>
                </w:p>
              </w:tc>
              <w:tc>
                <w:tcPr>
                  <w:tcW w:w="1171" w:type="dxa"/>
                  <w:noWrap w:val="0"/>
                  <w:vAlign w:val="center"/>
                </w:tcPr>
                <w:p>
                  <w:pPr>
                    <w:pStyle w:val="79"/>
                    <w:rPr>
                      <w:color w:val="auto"/>
                      <w:szCs w:val="21"/>
                    </w:rPr>
                  </w:pPr>
                  <w:r>
                    <w:rPr>
                      <w:color w:val="auto"/>
                      <w:szCs w:val="21"/>
                    </w:rPr>
                    <w:t>7.04~7.09</w:t>
                  </w:r>
                </w:p>
              </w:tc>
              <w:tc>
                <w:tcPr>
                  <w:tcW w:w="1125" w:type="dxa"/>
                  <w:noWrap w:val="0"/>
                  <w:vAlign w:val="center"/>
                </w:tcPr>
                <w:p>
                  <w:pPr>
                    <w:pStyle w:val="79"/>
                    <w:rPr>
                      <w:color w:val="auto"/>
                      <w:szCs w:val="21"/>
                    </w:rPr>
                  </w:pPr>
                  <w:r>
                    <w:rPr>
                      <w:color w:val="auto"/>
                      <w:szCs w:val="21"/>
                    </w:rPr>
                    <w:t>13~15</w:t>
                  </w:r>
                </w:p>
              </w:tc>
              <w:tc>
                <w:tcPr>
                  <w:tcW w:w="1270" w:type="dxa"/>
                  <w:noWrap w:val="0"/>
                  <w:vAlign w:val="center"/>
                </w:tcPr>
                <w:p>
                  <w:pPr>
                    <w:pStyle w:val="79"/>
                    <w:rPr>
                      <w:color w:val="auto"/>
                      <w:szCs w:val="21"/>
                    </w:rPr>
                  </w:pPr>
                  <w:r>
                    <w:rPr>
                      <w:color w:val="auto"/>
                      <w:szCs w:val="21"/>
                    </w:rPr>
                    <w:t>2.6~2.7</w:t>
                  </w:r>
                </w:p>
              </w:tc>
              <w:tc>
                <w:tcPr>
                  <w:tcW w:w="1416" w:type="dxa"/>
                  <w:noWrap w:val="0"/>
                  <w:vAlign w:val="center"/>
                </w:tcPr>
                <w:p>
                  <w:pPr>
                    <w:pStyle w:val="79"/>
                    <w:rPr>
                      <w:color w:val="auto"/>
                      <w:szCs w:val="21"/>
                    </w:rPr>
                  </w:pPr>
                  <w:r>
                    <w:rPr>
                      <w:color w:val="auto"/>
                      <w:szCs w:val="21"/>
                    </w:rPr>
                    <w:t>0.122~0.144</w:t>
                  </w:r>
                </w:p>
              </w:tc>
              <w:tc>
                <w:tcPr>
                  <w:tcW w:w="1269" w:type="dxa"/>
                  <w:noWrap w:val="0"/>
                  <w:vAlign w:val="center"/>
                </w:tcPr>
                <w:p>
                  <w:pPr>
                    <w:pStyle w:val="79"/>
                    <w:rPr>
                      <w:color w:val="auto"/>
                      <w:szCs w:val="21"/>
                    </w:rPr>
                  </w:pPr>
                  <w:r>
                    <w:rPr>
                      <w:color w:val="auto"/>
                      <w:szCs w:val="21"/>
                    </w:rPr>
                    <w:t>0.12~0.14</w:t>
                  </w:r>
                </w:p>
              </w:tc>
              <w:tc>
                <w:tcPr>
                  <w:tcW w:w="1264"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2" w:type="dxa"/>
                  <w:noWrap w:val="0"/>
                  <w:vAlign w:val="center"/>
                </w:tcPr>
                <w:p>
                  <w:pPr>
                    <w:pStyle w:val="79"/>
                    <w:rPr>
                      <w:color w:val="auto"/>
                      <w:szCs w:val="21"/>
                    </w:rPr>
                  </w:pPr>
                  <w:r>
                    <w:rPr>
                      <w:color w:val="auto"/>
                      <w:szCs w:val="21"/>
                    </w:rPr>
                    <w:t>2#</w:t>
                  </w:r>
                </w:p>
              </w:tc>
              <w:tc>
                <w:tcPr>
                  <w:tcW w:w="650" w:type="dxa"/>
                  <w:vMerge w:val="continue"/>
                  <w:noWrap w:val="0"/>
                  <w:vAlign w:val="center"/>
                </w:tcPr>
                <w:p>
                  <w:pPr>
                    <w:pStyle w:val="79"/>
                    <w:rPr>
                      <w:color w:val="auto"/>
                      <w:szCs w:val="21"/>
                    </w:rPr>
                  </w:pPr>
                </w:p>
              </w:tc>
              <w:tc>
                <w:tcPr>
                  <w:tcW w:w="1171" w:type="dxa"/>
                  <w:noWrap w:val="0"/>
                  <w:vAlign w:val="center"/>
                </w:tcPr>
                <w:p>
                  <w:pPr>
                    <w:pStyle w:val="79"/>
                    <w:rPr>
                      <w:color w:val="auto"/>
                      <w:szCs w:val="21"/>
                    </w:rPr>
                  </w:pPr>
                  <w:r>
                    <w:rPr>
                      <w:color w:val="auto"/>
                      <w:szCs w:val="21"/>
                    </w:rPr>
                    <w:t>7.06~7.13</w:t>
                  </w:r>
                </w:p>
              </w:tc>
              <w:tc>
                <w:tcPr>
                  <w:tcW w:w="1125" w:type="dxa"/>
                  <w:noWrap w:val="0"/>
                  <w:vAlign w:val="center"/>
                </w:tcPr>
                <w:p>
                  <w:pPr>
                    <w:pStyle w:val="79"/>
                    <w:rPr>
                      <w:color w:val="auto"/>
                      <w:szCs w:val="21"/>
                    </w:rPr>
                  </w:pPr>
                  <w:r>
                    <w:rPr>
                      <w:color w:val="auto"/>
                      <w:szCs w:val="21"/>
                    </w:rPr>
                    <w:t>11~13</w:t>
                  </w:r>
                </w:p>
              </w:tc>
              <w:tc>
                <w:tcPr>
                  <w:tcW w:w="1270" w:type="dxa"/>
                  <w:noWrap w:val="0"/>
                  <w:vAlign w:val="center"/>
                </w:tcPr>
                <w:p>
                  <w:pPr>
                    <w:pStyle w:val="79"/>
                    <w:rPr>
                      <w:color w:val="auto"/>
                      <w:szCs w:val="21"/>
                    </w:rPr>
                  </w:pPr>
                  <w:r>
                    <w:rPr>
                      <w:color w:val="auto"/>
                      <w:szCs w:val="21"/>
                    </w:rPr>
                    <w:t>2.5~2.6</w:t>
                  </w:r>
                </w:p>
              </w:tc>
              <w:tc>
                <w:tcPr>
                  <w:tcW w:w="1416" w:type="dxa"/>
                  <w:noWrap w:val="0"/>
                  <w:vAlign w:val="center"/>
                </w:tcPr>
                <w:p>
                  <w:pPr>
                    <w:pStyle w:val="79"/>
                    <w:rPr>
                      <w:color w:val="auto"/>
                      <w:szCs w:val="21"/>
                    </w:rPr>
                  </w:pPr>
                  <w:r>
                    <w:rPr>
                      <w:color w:val="auto"/>
                      <w:szCs w:val="21"/>
                    </w:rPr>
                    <w:t>0.101~0.133</w:t>
                  </w:r>
                </w:p>
              </w:tc>
              <w:tc>
                <w:tcPr>
                  <w:tcW w:w="1269" w:type="dxa"/>
                  <w:noWrap w:val="0"/>
                  <w:vAlign w:val="center"/>
                </w:tcPr>
                <w:p>
                  <w:pPr>
                    <w:pStyle w:val="79"/>
                    <w:rPr>
                      <w:color w:val="auto"/>
                      <w:szCs w:val="21"/>
                    </w:rPr>
                  </w:pPr>
                  <w:r>
                    <w:rPr>
                      <w:color w:val="auto"/>
                      <w:szCs w:val="21"/>
                    </w:rPr>
                    <w:t>0.04~0.07</w:t>
                  </w:r>
                </w:p>
              </w:tc>
              <w:tc>
                <w:tcPr>
                  <w:tcW w:w="1264" w:type="dxa"/>
                  <w:noWrap w:val="0"/>
                  <w:vAlign w:val="center"/>
                </w:tcPr>
                <w:p>
                  <w:pPr>
                    <w:pStyle w:val="79"/>
                    <w:rPr>
                      <w:color w:val="auto"/>
                      <w:szCs w:val="21"/>
                    </w:rPr>
                  </w:pPr>
                  <w:r>
                    <w:rPr>
                      <w:color w:val="auto"/>
                      <w:szCs w:val="21"/>
                    </w:rPr>
                    <w:t>未检出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52" w:type="dxa"/>
                  <w:gridSpan w:val="2"/>
                  <w:noWrap w:val="0"/>
                  <w:vAlign w:val="center"/>
                </w:tcPr>
                <w:p>
                  <w:pPr>
                    <w:pStyle w:val="79"/>
                    <w:rPr>
                      <w:color w:val="auto"/>
                      <w:szCs w:val="21"/>
                    </w:rPr>
                  </w:pPr>
                  <w:r>
                    <w:rPr>
                      <w:color w:val="auto"/>
                      <w:szCs w:val="21"/>
                    </w:rPr>
                    <w:t>标准值</w:t>
                  </w:r>
                </w:p>
              </w:tc>
              <w:tc>
                <w:tcPr>
                  <w:tcW w:w="1171" w:type="dxa"/>
                  <w:noWrap w:val="0"/>
                  <w:vAlign w:val="center"/>
                </w:tcPr>
                <w:p>
                  <w:pPr>
                    <w:pStyle w:val="79"/>
                    <w:rPr>
                      <w:color w:val="auto"/>
                      <w:szCs w:val="21"/>
                    </w:rPr>
                  </w:pPr>
                  <w:r>
                    <w:rPr>
                      <w:color w:val="auto"/>
                      <w:szCs w:val="21"/>
                    </w:rPr>
                    <w:t>6～9</w:t>
                  </w:r>
                </w:p>
              </w:tc>
              <w:tc>
                <w:tcPr>
                  <w:tcW w:w="1125" w:type="dxa"/>
                  <w:noWrap w:val="0"/>
                  <w:vAlign w:val="center"/>
                </w:tcPr>
                <w:p>
                  <w:pPr>
                    <w:pStyle w:val="79"/>
                    <w:rPr>
                      <w:color w:val="auto"/>
                      <w:szCs w:val="21"/>
                    </w:rPr>
                  </w:pPr>
                  <w:r>
                    <w:rPr>
                      <w:color w:val="auto"/>
                      <w:szCs w:val="21"/>
                    </w:rPr>
                    <w:t>20</w:t>
                  </w:r>
                </w:p>
              </w:tc>
              <w:tc>
                <w:tcPr>
                  <w:tcW w:w="1270" w:type="dxa"/>
                  <w:noWrap w:val="0"/>
                  <w:vAlign w:val="center"/>
                </w:tcPr>
                <w:p>
                  <w:pPr>
                    <w:pStyle w:val="79"/>
                    <w:rPr>
                      <w:color w:val="auto"/>
                      <w:szCs w:val="21"/>
                    </w:rPr>
                  </w:pPr>
                  <w:r>
                    <w:rPr>
                      <w:color w:val="auto"/>
                      <w:szCs w:val="21"/>
                    </w:rPr>
                    <w:t>4</w:t>
                  </w:r>
                </w:p>
              </w:tc>
              <w:tc>
                <w:tcPr>
                  <w:tcW w:w="1416" w:type="dxa"/>
                  <w:noWrap w:val="0"/>
                  <w:vAlign w:val="center"/>
                </w:tcPr>
                <w:p>
                  <w:pPr>
                    <w:pStyle w:val="79"/>
                    <w:rPr>
                      <w:color w:val="auto"/>
                      <w:szCs w:val="21"/>
                    </w:rPr>
                  </w:pPr>
                  <w:r>
                    <w:rPr>
                      <w:color w:val="auto"/>
                      <w:szCs w:val="21"/>
                    </w:rPr>
                    <w:t>1.0</w:t>
                  </w:r>
                </w:p>
              </w:tc>
              <w:tc>
                <w:tcPr>
                  <w:tcW w:w="1269" w:type="dxa"/>
                  <w:noWrap w:val="0"/>
                  <w:vAlign w:val="center"/>
                </w:tcPr>
                <w:p>
                  <w:pPr>
                    <w:pStyle w:val="79"/>
                    <w:rPr>
                      <w:color w:val="auto"/>
                      <w:szCs w:val="21"/>
                    </w:rPr>
                  </w:pPr>
                  <w:r>
                    <w:rPr>
                      <w:color w:val="auto"/>
                      <w:szCs w:val="21"/>
                    </w:rPr>
                    <w:t>0.2</w:t>
                  </w:r>
                </w:p>
              </w:tc>
              <w:tc>
                <w:tcPr>
                  <w:tcW w:w="1264" w:type="dxa"/>
                  <w:noWrap w:val="0"/>
                  <w:vAlign w:val="center"/>
                </w:tcPr>
                <w:p>
                  <w:pPr>
                    <w:pStyle w:val="79"/>
                    <w:rPr>
                      <w:color w:val="auto"/>
                      <w:szCs w:val="21"/>
                    </w:rPr>
                  </w:pPr>
                  <w:r>
                    <w:rPr>
                      <w:bCs/>
                      <w:color w:val="auto"/>
                      <w:szCs w:val="21"/>
                    </w:rPr>
                    <w:t>≤</w:t>
                  </w:r>
                  <w:r>
                    <w:rPr>
                      <w:color w:val="auto"/>
                      <w:kern w:val="0"/>
                      <w:szCs w:val="21"/>
                      <w:lang w:bidi="ar"/>
                    </w:rPr>
                    <w:t>1×10</w:t>
                  </w:r>
                  <w:r>
                    <w:rPr>
                      <w:color w:val="auto"/>
                      <w:kern w:val="0"/>
                      <w:szCs w:val="21"/>
                      <w:vertAlign w:val="superscript"/>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52" w:type="dxa"/>
                  <w:gridSpan w:val="2"/>
                  <w:vMerge w:val="restart"/>
                  <w:noWrap w:val="0"/>
                  <w:vAlign w:val="center"/>
                </w:tcPr>
                <w:p>
                  <w:pPr>
                    <w:pStyle w:val="79"/>
                    <w:rPr>
                      <w:color w:val="auto"/>
                      <w:szCs w:val="21"/>
                    </w:rPr>
                  </w:pPr>
                  <w:r>
                    <w:rPr>
                      <w:color w:val="auto"/>
                      <w:szCs w:val="21"/>
                    </w:rPr>
                    <w:t>污染指数</w:t>
                  </w:r>
                </w:p>
              </w:tc>
              <w:tc>
                <w:tcPr>
                  <w:tcW w:w="1171" w:type="dxa"/>
                  <w:noWrap w:val="0"/>
                  <w:vAlign w:val="center"/>
                </w:tcPr>
                <w:p>
                  <w:pPr>
                    <w:pStyle w:val="79"/>
                    <w:rPr>
                      <w:color w:val="auto"/>
                      <w:szCs w:val="21"/>
                    </w:rPr>
                  </w:pPr>
                  <w:r>
                    <w:rPr>
                      <w:color w:val="auto"/>
                      <w:szCs w:val="21"/>
                    </w:rPr>
                    <w:t>0.02~0.045</w:t>
                  </w:r>
                </w:p>
              </w:tc>
              <w:tc>
                <w:tcPr>
                  <w:tcW w:w="1125" w:type="dxa"/>
                  <w:noWrap w:val="0"/>
                  <w:vAlign w:val="center"/>
                </w:tcPr>
                <w:p>
                  <w:pPr>
                    <w:pStyle w:val="79"/>
                    <w:rPr>
                      <w:color w:val="auto"/>
                      <w:szCs w:val="21"/>
                    </w:rPr>
                  </w:pPr>
                  <w:r>
                    <w:rPr>
                      <w:color w:val="auto"/>
                      <w:szCs w:val="21"/>
                    </w:rPr>
                    <w:t>0.65~0.75</w:t>
                  </w:r>
                </w:p>
              </w:tc>
              <w:tc>
                <w:tcPr>
                  <w:tcW w:w="1270" w:type="dxa"/>
                  <w:noWrap w:val="0"/>
                  <w:vAlign w:val="center"/>
                </w:tcPr>
                <w:p>
                  <w:pPr>
                    <w:pStyle w:val="79"/>
                    <w:rPr>
                      <w:color w:val="auto"/>
                      <w:szCs w:val="21"/>
                    </w:rPr>
                  </w:pPr>
                  <w:r>
                    <w:rPr>
                      <w:color w:val="auto"/>
                      <w:szCs w:val="21"/>
                    </w:rPr>
                    <w:t>0.65~0.675</w:t>
                  </w:r>
                </w:p>
              </w:tc>
              <w:tc>
                <w:tcPr>
                  <w:tcW w:w="1416" w:type="dxa"/>
                  <w:noWrap w:val="0"/>
                  <w:vAlign w:val="center"/>
                </w:tcPr>
                <w:p>
                  <w:pPr>
                    <w:pStyle w:val="79"/>
                    <w:rPr>
                      <w:color w:val="auto"/>
                      <w:szCs w:val="21"/>
                    </w:rPr>
                  </w:pPr>
                  <w:r>
                    <w:rPr>
                      <w:color w:val="auto"/>
                      <w:szCs w:val="21"/>
                    </w:rPr>
                    <w:t>0.122~0.144</w:t>
                  </w:r>
                </w:p>
              </w:tc>
              <w:tc>
                <w:tcPr>
                  <w:tcW w:w="1269" w:type="dxa"/>
                  <w:noWrap w:val="0"/>
                  <w:vAlign w:val="center"/>
                </w:tcPr>
                <w:p>
                  <w:pPr>
                    <w:pStyle w:val="79"/>
                    <w:rPr>
                      <w:color w:val="auto"/>
                      <w:szCs w:val="21"/>
                    </w:rPr>
                  </w:pPr>
                  <w:r>
                    <w:rPr>
                      <w:color w:val="auto"/>
                      <w:szCs w:val="21"/>
                    </w:rPr>
                    <w:t>0.6~0.7</w:t>
                  </w:r>
                </w:p>
              </w:tc>
              <w:tc>
                <w:tcPr>
                  <w:tcW w:w="1264" w:type="dxa"/>
                  <w:noWrap w:val="0"/>
                  <w:vAlign w:val="center"/>
                </w:tcPr>
                <w:p>
                  <w:pPr>
                    <w:pStyle w:val="79"/>
                    <w:rPr>
                      <w:bCs/>
                      <w:color w:val="auto"/>
                      <w:szCs w:val="21"/>
                    </w:rPr>
                  </w:pPr>
                  <w:r>
                    <w:rPr>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552" w:type="dxa"/>
                  <w:gridSpan w:val="2"/>
                  <w:vMerge w:val="continue"/>
                  <w:noWrap w:val="0"/>
                  <w:vAlign w:val="center"/>
                </w:tcPr>
                <w:p>
                  <w:pPr>
                    <w:pStyle w:val="79"/>
                    <w:rPr>
                      <w:color w:val="auto"/>
                      <w:szCs w:val="21"/>
                    </w:rPr>
                  </w:pPr>
                </w:p>
              </w:tc>
              <w:tc>
                <w:tcPr>
                  <w:tcW w:w="1171" w:type="dxa"/>
                  <w:noWrap w:val="0"/>
                  <w:vAlign w:val="center"/>
                </w:tcPr>
                <w:p>
                  <w:pPr>
                    <w:pStyle w:val="79"/>
                    <w:rPr>
                      <w:color w:val="auto"/>
                      <w:szCs w:val="21"/>
                    </w:rPr>
                  </w:pPr>
                  <w:r>
                    <w:rPr>
                      <w:color w:val="auto"/>
                      <w:szCs w:val="21"/>
                    </w:rPr>
                    <w:t>0.03~0.065</w:t>
                  </w:r>
                </w:p>
              </w:tc>
              <w:tc>
                <w:tcPr>
                  <w:tcW w:w="1125" w:type="dxa"/>
                  <w:noWrap w:val="0"/>
                  <w:vAlign w:val="center"/>
                </w:tcPr>
                <w:p>
                  <w:pPr>
                    <w:pStyle w:val="79"/>
                    <w:rPr>
                      <w:color w:val="auto"/>
                      <w:szCs w:val="21"/>
                    </w:rPr>
                  </w:pPr>
                  <w:r>
                    <w:rPr>
                      <w:color w:val="auto"/>
                      <w:szCs w:val="21"/>
                    </w:rPr>
                    <w:t>0.55~0.65</w:t>
                  </w:r>
                </w:p>
              </w:tc>
              <w:tc>
                <w:tcPr>
                  <w:tcW w:w="1270" w:type="dxa"/>
                  <w:noWrap w:val="0"/>
                  <w:vAlign w:val="center"/>
                </w:tcPr>
                <w:p>
                  <w:pPr>
                    <w:pStyle w:val="79"/>
                    <w:rPr>
                      <w:color w:val="auto"/>
                      <w:szCs w:val="21"/>
                    </w:rPr>
                  </w:pPr>
                  <w:r>
                    <w:rPr>
                      <w:color w:val="auto"/>
                      <w:szCs w:val="21"/>
                    </w:rPr>
                    <w:t>0.625~0.65</w:t>
                  </w:r>
                </w:p>
              </w:tc>
              <w:tc>
                <w:tcPr>
                  <w:tcW w:w="1416" w:type="dxa"/>
                  <w:noWrap w:val="0"/>
                  <w:vAlign w:val="center"/>
                </w:tcPr>
                <w:p>
                  <w:pPr>
                    <w:pStyle w:val="79"/>
                    <w:rPr>
                      <w:color w:val="auto"/>
                      <w:szCs w:val="21"/>
                    </w:rPr>
                  </w:pPr>
                  <w:r>
                    <w:rPr>
                      <w:color w:val="auto"/>
                      <w:szCs w:val="21"/>
                    </w:rPr>
                    <w:t>0.101~0.133</w:t>
                  </w:r>
                </w:p>
              </w:tc>
              <w:tc>
                <w:tcPr>
                  <w:tcW w:w="1269" w:type="dxa"/>
                  <w:noWrap w:val="0"/>
                  <w:vAlign w:val="center"/>
                </w:tcPr>
                <w:p>
                  <w:pPr>
                    <w:pStyle w:val="79"/>
                    <w:rPr>
                      <w:color w:val="auto"/>
                      <w:szCs w:val="21"/>
                    </w:rPr>
                  </w:pPr>
                  <w:r>
                    <w:rPr>
                      <w:color w:val="auto"/>
                      <w:szCs w:val="21"/>
                    </w:rPr>
                    <w:t>0.2~0.35</w:t>
                  </w:r>
                </w:p>
              </w:tc>
              <w:tc>
                <w:tcPr>
                  <w:tcW w:w="1264" w:type="dxa"/>
                  <w:noWrap w:val="0"/>
                  <w:vAlign w:val="center"/>
                </w:tcPr>
                <w:p>
                  <w:pPr>
                    <w:pStyle w:val="79"/>
                    <w:rPr>
                      <w:color w:val="auto"/>
                      <w:szCs w:val="21"/>
                    </w:rPr>
                  </w:pPr>
                  <w:r>
                    <w:rPr>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552" w:type="dxa"/>
                  <w:gridSpan w:val="2"/>
                  <w:noWrap w:val="0"/>
                  <w:vAlign w:val="center"/>
                </w:tcPr>
                <w:p>
                  <w:pPr>
                    <w:pStyle w:val="79"/>
                    <w:rPr>
                      <w:color w:val="auto"/>
                      <w:szCs w:val="21"/>
                    </w:rPr>
                  </w:pPr>
                  <w:r>
                    <w:rPr>
                      <w:color w:val="auto"/>
                      <w:szCs w:val="21"/>
                    </w:rPr>
                    <w:t>结果</w:t>
                  </w:r>
                </w:p>
              </w:tc>
              <w:tc>
                <w:tcPr>
                  <w:tcW w:w="1171" w:type="dxa"/>
                  <w:noWrap w:val="0"/>
                  <w:vAlign w:val="center"/>
                </w:tcPr>
                <w:p>
                  <w:pPr>
                    <w:pStyle w:val="79"/>
                    <w:rPr>
                      <w:color w:val="auto"/>
                      <w:szCs w:val="21"/>
                    </w:rPr>
                  </w:pPr>
                  <w:r>
                    <w:rPr>
                      <w:color w:val="auto"/>
                      <w:szCs w:val="21"/>
                    </w:rPr>
                    <w:t>达标</w:t>
                  </w:r>
                </w:p>
              </w:tc>
              <w:tc>
                <w:tcPr>
                  <w:tcW w:w="1125" w:type="dxa"/>
                  <w:noWrap w:val="0"/>
                  <w:vAlign w:val="center"/>
                </w:tcPr>
                <w:p>
                  <w:pPr>
                    <w:pStyle w:val="79"/>
                    <w:rPr>
                      <w:color w:val="auto"/>
                      <w:szCs w:val="21"/>
                    </w:rPr>
                  </w:pPr>
                  <w:r>
                    <w:rPr>
                      <w:color w:val="auto"/>
                      <w:szCs w:val="21"/>
                    </w:rPr>
                    <w:t>达标</w:t>
                  </w:r>
                </w:p>
              </w:tc>
              <w:tc>
                <w:tcPr>
                  <w:tcW w:w="1270" w:type="dxa"/>
                  <w:noWrap w:val="0"/>
                  <w:vAlign w:val="center"/>
                </w:tcPr>
                <w:p>
                  <w:pPr>
                    <w:pStyle w:val="79"/>
                    <w:rPr>
                      <w:color w:val="auto"/>
                      <w:szCs w:val="21"/>
                    </w:rPr>
                  </w:pPr>
                  <w:r>
                    <w:rPr>
                      <w:color w:val="auto"/>
                      <w:szCs w:val="21"/>
                    </w:rPr>
                    <w:t>达标</w:t>
                  </w:r>
                </w:p>
              </w:tc>
              <w:tc>
                <w:tcPr>
                  <w:tcW w:w="1416" w:type="dxa"/>
                  <w:noWrap w:val="0"/>
                  <w:vAlign w:val="center"/>
                </w:tcPr>
                <w:p>
                  <w:pPr>
                    <w:pStyle w:val="79"/>
                    <w:rPr>
                      <w:color w:val="auto"/>
                      <w:szCs w:val="21"/>
                    </w:rPr>
                  </w:pPr>
                  <w:r>
                    <w:rPr>
                      <w:color w:val="auto"/>
                      <w:szCs w:val="21"/>
                    </w:rPr>
                    <w:t>达标</w:t>
                  </w:r>
                </w:p>
              </w:tc>
              <w:tc>
                <w:tcPr>
                  <w:tcW w:w="1269" w:type="dxa"/>
                  <w:noWrap w:val="0"/>
                  <w:vAlign w:val="center"/>
                </w:tcPr>
                <w:p>
                  <w:pPr>
                    <w:pStyle w:val="79"/>
                    <w:rPr>
                      <w:color w:val="auto"/>
                      <w:szCs w:val="21"/>
                    </w:rPr>
                  </w:pPr>
                  <w:r>
                    <w:rPr>
                      <w:color w:val="auto"/>
                      <w:szCs w:val="21"/>
                    </w:rPr>
                    <w:t>达标</w:t>
                  </w:r>
                </w:p>
              </w:tc>
              <w:tc>
                <w:tcPr>
                  <w:tcW w:w="1264" w:type="dxa"/>
                  <w:noWrap w:val="0"/>
                  <w:vAlign w:val="center"/>
                </w:tcPr>
                <w:p>
                  <w:pPr>
                    <w:pStyle w:val="79"/>
                    <w:rPr>
                      <w:color w:val="auto"/>
                      <w:szCs w:val="21"/>
                    </w:rPr>
                  </w:pPr>
                  <w:r>
                    <w:rPr>
                      <w:color w:val="auto"/>
                      <w:szCs w:val="21"/>
                    </w:rPr>
                    <w:t>达标</w:t>
                  </w:r>
                </w:p>
              </w:tc>
            </w:tr>
          </w:tbl>
          <w:p>
            <w:pPr>
              <w:adjustRightInd w:val="0"/>
              <w:snapToGrid w:val="0"/>
              <w:spacing w:line="360" w:lineRule="auto"/>
              <w:ind w:firstLine="480" w:firstLineChars="200"/>
              <w:rPr>
                <w:color w:val="auto"/>
              </w:rPr>
            </w:pPr>
            <w:r>
              <w:rPr>
                <w:color w:val="auto"/>
              </w:rPr>
              <w:t>监测数据表明，项目所在地官料河地表水断面上游约500m处和下游1000m处检测河段水质指标均符合《地表水环境质量标准》（GB3838-2002）中Ⅲ类标准要求，说明当地监测河段水环境质量良好。</w:t>
            </w:r>
          </w:p>
          <w:p>
            <w:pPr>
              <w:pStyle w:val="8"/>
              <w:adjustRightInd w:val="0"/>
              <w:snapToGrid w:val="0"/>
              <w:ind w:firstLine="560" w:firstLineChars="200"/>
              <w:rPr>
                <w:rFonts w:ascii="Times New Roman" w:hAnsi="Times New Roman" w:eastAsia="宋体"/>
                <w:b/>
                <w:color w:val="auto"/>
                <w:szCs w:val="28"/>
              </w:rPr>
            </w:pPr>
            <w:r>
              <w:rPr>
                <w:rFonts w:ascii="Times New Roman" w:hAnsi="Times New Roman" w:eastAsia="黑体"/>
                <w:bCs/>
                <w:color w:val="auto"/>
                <w:szCs w:val="28"/>
              </w:rPr>
              <w:t>三、声环境质量现状监测及评价</w:t>
            </w:r>
          </w:p>
          <w:p>
            <w:pPr>
              <w:autoSpaceDE w:val="0"/>
              <w:autoSpaceDN w:val="0"/>
              <w:adjustRightInd w:val="0"/>
              <w:snapToGrid w:val="0"/>
              <w:spacing w:line="360" w:lineRule="auto"/>
              <w:ind w:firstLine="482" w:firstLineChars="200"/>
              <w:textAlignment w:val="center"/>
              <w:rPr>
                <w:b/>
                <w:bCs/>
                <w:color w:val="auto"/>
                <w:kern w:val="0"/>
                <w:szCs w:val="20"/>
                <w:lang w:bidi="ar"/>
              </w:rPr>
            </w:pPr>
            <w:r>
              <w:rPr>
                <w:b/>
                <w:bCs/>
                <w:color w:val="auto"/>
                <w:kern w:val="0"/>
                <w:szCs w:val="20"/>
                <w:lang w:bidi="ar"/>
              </w:rPr>
              <w:t>1.监测点位布置</w:t>
            </w:r>
          </w:p>
          <w:p>
            <w:pPr>
              <w:autoSpaceDE w:val="0"/>
              <w:autoSpaceDN w:val="0"/>
              <w:adjustRightInd w:val="0"/>
              <w:snapToGrid w:val="0"/>
              <w:spacing w:line="360" w:lineRule="auto"/>
              <w:ind w:firstLine="480" w:firstLineChars="200"/>
              <w:textAlignment w:val="center"/>
              <w:rPr>
                <w:color w:val="auto"/>
                <w:kern w:val="0"/>
                <w:szCs w:val="20"/>
                <w:lang w:bidi="ar"/>
              </w:rPr>
            </w:pPr>
            <w:r>
              <w:rPr>
                <w:color w:val="auto"/>
                <w:kern w:val="0"/>
                <w:szCs w:val="20"/>
                <w:lang w:bidi="ar"/>
              </w:rPr>
              <w:t>本次噪声监测点位共设置5个，噪声现状监测点位布置见表3-8。</w:t>
            </w:r>
          </w:p>
          <w:p>
            <w:pPr>
              <w:adjustRightInd w:val="0"/>
              <w:snapToGrid w:val="0"/>
              <w:spacing w:line="360" w:lineRule="auto"/>
              <w:jc w:val="center"/>
              <w:rPr>
                <w:rFonts w:eastAsia="黑体"/>
                <w:bCs/>
                <w:color w:val="auto"/>
              </w:rPr>
            </w:pPr>
            <w:r>
              <w:rPr>
                <w:rFonts w:eastAsia="黑体"/>
                <w:bCs/>
                <w:color w:val="auto"/>
              </w:rPr>
              <w:t>表3-8  噪声现状监测布点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序号</w:t>
                  </w:r>
                </w:p>
              </w:tc>
              <w:tc>
                <w:tcPr>
                  <w:tcW w:w="6936"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监测点位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1#</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本项目场界东侧外1m处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本项目场界南侧外1m处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3#</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本项目场界西侧外1m处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本项目场界北侧外1m处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本项目场界北80m农户外1m处</w:t>
                  </w:r>
                </w:p>
              </w:tc>
            </w:tr>
          </w:tbl>
          <w:p>
            <w:pPr>
              <w:autoSpaceDE w:val="0"/>
              <w:autoSpaceDN w:val="0"/>
              <w:adjustRightInd w:val="0"/>
              <w:snapToGrid w:val="0"/>
              <w:spacing w:line="360" w:lineRule="auto"/>
              <w:ind w:firstLine="482" w:firstLineChars="200"/>
              <w:jc w:val="left"/>
              <w:textAlignment w:val="center"/>
              <w:rPr>
                <w:b/>
                <w:bCs/>
                <w:color w:val="auto"/>
                <w:kern w:val="0"/>
                <w:szCs w:val="20"/>
                <w:lang w:bidi="ar"/>
              </w:rPr>
            </w:pPr>
            <w:r>
              <w:rPr>
                <w:b/>
                <w:bCs/>
                <w:color w:val="auto"/>
                <w:kern w:val="0"/>
                <w:szCs w:val="20"/>
                <w:lang w:bidi="ar"/>
              </w:rPr>
              <w:t>2.监测项目：</w:t>
            </w:r>
            <w:r>
              <w:rPr>
                <w:color w:val="auto"/>
                <w:kern w:val="0"/>
                <w:szCs w:val="20"/>
                <w:lang w:bidi="ar"/>
              </w:rPr>
              <w:t>厂界噪声。</w:t>
            </w:r>
          </w:p>
          <w:p>
            <w:pPr>
              <w:autoSpaceDE w:val="0"/>
              <w:autoSpaceDN w:val="0"/>
              <w:adjustRightInd w:val="0"/>
              <w:snapToGrid w:val="0"/>
              <w:spacing w:line="360" w:lineRule="auto"/>
              <w:ind w:firstLine="482" w:firstLineChars="200"/>
              <w:jc w:val="left"/>
              <w:textAlignment w:val="center"/>
              <w:rPr>
                <w:color w:val="auto"/>
                <w:kern w:val="0"/>
                <w:szCs w:val="20"/>
                <w:lang w:bidi="ar"/>
              </w:rPr>
            </w:pPr>
            <w:r>
              <w:rPr>
                <w:b/>
                <w:bCs/>
                <w:color w:val="auto"/>
                <w:kern w:val="0"/>
                <w:szCs w:val="20"/>
                <w:lang w:bidi="ar"/>
              </w:rPr>
              <w:t>3.监测时间、监测频次</w:t>
            </w:r>
          </w:p>
          <w:p>
            <w:pPr>
              <w:autoSpaceDE w:val="0"/>
              <w:autoSpaceDN w:val="0"/>
              <w:adjustRightInd w:val="0"/>
              <w:snapToGrid w:val="0"/>
              <w:spacing w:line="360" w:lineRule="auto"/>
              <w:ind w:firstLine="480" w:firstLineChars="200"/>
              <w:jc w:val="left"/>
              <w:textAlignment w:val="center"/>
              <w:rPr>
                <w:color w:val="auto"/>
                <w:kern w:val="0"/>
                <w:szCs w:val="20"/>
                <w:lang w:bidi="ar"/>
              </w:rPr>
            </w:pPr>
            <w:r>
              <w:rPr>
                <w:color w:val="auto"/>
                <w:kern w:val="0"/>
                <w:szCs w:val="20"/>
                <w:lang w:bidi="ar"/>
              </w:rPr>
              <w:t>2020年10月24日、10月25日连续检测2天，昼间、夜间各一次。</w:t>
            </w:r>
          </w:p>
          <w:p>
            <w:pPr>
              <w:autoSpaceDE w:val="0"/>
              <w:autoSpaceDN w:val="0"/>
              <w:adjustRightInd w:val="0"/>
              <w:snapToGrid w:val="0"/>
              <w:spacing w:line="360" w:lineRule="auto"/>
              <w:ind w:firstLine="482" w:firstLineChars="200"/>
              <w:jc w:val="left"/>
              <w:textAlignment w:val="center"/>
              <w:rPr>
                <w:b/>
                <w:bCs/>
                <w:color w:val="auto"/>
                <w:kern w:val="0"/>
                <w:szCs w:val="20"/>
                <w:lang w:bidi="ar"/>
              </w:rPr>
            </w:pPr>
            <w:r>
              <w:rPr>
                <w:b/>
                <w:bCs/>
                <w:color w:val="auto"/>
                <w:kern w:val="0"/>
                <w:szCs w:val="20"/>
                <w:lang w:bidi="ar"/>
              </w:rPr>
              <w:t>4.监测结果</w:t>
            </w:r>
          </w:p>
          <w:p>
            <w:pPr>
              <w:autoSpaceDE w:val="0"/>
              <w:autoSpaceDN w:val="0"/>
              <w:adjustRightInd w:val="0"/>
              <w:snapToGrid w:val="0"/>
              <w:spacing w:line="360" w:lineRule="auto"/>
              <w:ind w:firstLine="480" w:firstLineChars="200"/>
              <w:jc w:val="left"/>
              <w:textAlignment w:val="center"/>
              <w:rPr>
                <w:color w:val="auto"/>
                <w:kern w:val="0"/>
                <w:szCs w:val="20"/>
                <w:lang w:bidi="ar"/>
              </w:rPr>
            </w:pPr>
            <w:r>
              <w:rPr>
                <w:color w:val="auto"/>
                <w:kern w:val="0"/>
                <w:szCs w:val="20"/>
                <w:lang w:bidi="ar"/>
              </w:rPr>
              <w:t>检测结果见表3-9。</w:t>
            </w:r>
          </w:p>
          <w:p>
            <w:pPr>
              <w:adjustRightInd w:val="0"/>
              <w:snapToGrid w:val="0"/>
              <w:spacing w:line="360" w:lineRule="auto"/>
              <w:jc w:val="center"/>
              <w:rPr>
                <w:rFonts w:eastAsia="黑体"/>
                <w:bCs/>
                <w:color w:val="auto"/>
              </w:rPr>
            </w:pPr>
            <w:r>
              <w:rPr>
                <w:rFonts w:eastAsia="黑体"/>
                <w:bCs/>
                <w:color w:val="auto"/>
              </w:rPr>
              <w:t>表3-9  环境噪声现状检测结果</w:t>
            </w:r>
          </w:p>
          <w:p>
            <w:pPr>
              <w:adjustRightInd w:val="0"/>
              <w:snapToGrid w:val="0"/>
              <w:jc w:val="right"/>
              <w:rPr>
                <w:rFonts w:eastAsia="黑体"/>
                <w:color w:val="auto"/>
                <w:kern w:val="0"/>
                <w:sz w:val="21"/>
                <w:szCs w:val="21"/>
                <w:lang w:bidi="ar"/>
              </w:rPr>
            </w:pPr>
            <w:r>
              <w:rPr>
                <w:rFonts w:eastAsia="黑体"/>
                <w:b/>
                <w:bCs/>
                <w:color w:val="auto"/>
                <w:kern w:val="0"/>
                <w:sz w:val="21"/>
                <w:szCs w:val="21"/>
                <w:lang w:bidi="ar"/>
              </w:rPr>
              <w:t>单位：dB（A）</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708"/>
              <w:gridCol w:w="2479"/>
              <w:gridCol w:w="1838"/>
              <w:gridCol w:w="1209"/>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检测日期</w:t>
                  </w:r>
                </w:p>
              </w:tc>
              <w:tc>
                <w:tcPr>
                  <w:tcW w:w="708"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点位编号</w:t>
                  </w:r>
                </w:p>
              </w:tc>
              <w:tc>
                <w:tcPr>
                  <w:tcW w:w="2479"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点位名称</w:t>
                  </w:r>
                </w:p>
              </w:tc>
              <w:tc>
                <w:tcPr>
                  <w:tcW w:w="1838"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功能区类别</w:t>
                  </w:r>
                </w:p>
              </w:tc>
              <w:tc>
                <w:tcPr>
                  <w:tcW w:w="1209" w:type="dxa"/>
                  <w:noWrap w:val="0"/>
                  <w:vAlign w:val="center"/>
                </w:tcPr>
                <w:p>
                  <w:pPr>
                    <w:tabs>
                      <w:tab w:val="left" w:pos="295"/>
                    </w:tabs>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检测时段</w:t>
                  </w:r>
                </w:p>
              </w:tc>
              <w:tc>
                <w:tcPr>
                  <w:tcW w:w="1466"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检测结果dB（A）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2020.10.24</w:t>
                  </w: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1#</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本项目场界东侧外1m处</w:t>
                  </w:r>
                </w:p>
              </w:tc>
              <w:tc>
                <w:tcPr>
                  <w:tcW w:w="183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《声环境质量标准》（GB3096-2008）中2类标准</w:t>
                  </w:r>
                </w:p>
                <w:p>
                  <w:pPr>
                    <w:pStyle w:val="2"/>
                    <w:ind w:left="0" w:leftChars="0" w:firstLine="0" w:firstLineChars="0"/>
                    <w:rPr>
                      <w:rFonts w:hint="default" w:ascii="Times New Roman" w:hAnsi="Times New Roman"/>
                      <w:color w:val="auto"/>
                      <w:szCs w:val="21"/>
                      <w:lang w:bidi="ar"/>
                    </w:rPr>
                  </w:pPr>
                  <w:r>
                    <w:rPr>
                      <w:rFonts w:hint="default" w:ascii="Times New Roman" w:hAnsi="Times New Roman"/>
                      <w:color w:val="auto"/>
                      <w:szCs w:val="21"/>
                      <w:lang w:bidi="ar"/>
                    </w:rPr>
                    <w:t>昼间：60dB（A）</w:t>
                  </w:r>
                </w:p>
                <w:p>
                  <w:pPr>
                    <w:pStyle w:val="2"/>
                    <w:ind w:left="0" w:leftChars="0" w:firstLine="0" w:firstLineChars="0"/>
                    <w:rPr>
                      <w:rFonts w:hint="default" w:ascii="Times New Roman" w:hAnsi="Times New Roman"/>
                      <w:color w:val="auto"/>
                    </w:rPr>
                  </w:pPr>
                  <w:r>
                    <w:rPr>
                      <w:rFonts w:hint="default" w:ascii="Times New Roman" w:hAnsi="Times New Roman"/>
                      <w:color w:val="auto"/>
                      <w:szCs w:val="21"/>
                      <w:lang w:bidi="ar"/>
                    </w:rPr>
                    <w:t>夜间：50dB（A）</w:t>
                  </w: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本项目场界南侧外1m处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3#</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本项目场界西侧外1m处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tabs>
                      <w:tab w:val="left" w:pos="416"/>
                      <w:tab w:val="center" w:pos="642"/>
                    </w:tabs>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本项目场界北侧外1m处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rPr>
                  </w:pPr>
                </w:p>
              </w:tc>
              <w:tc>
                <w:tcPr>
                  <w:tcW w:w="708" w:type="dxa"/>
                  <w:vMerge w:val="continue"/>
                  <w:noWrap w:val="0"/>
                  <w:vAlign w:val="center"/>
                </w:tcPr>
                <w:p>
                  <w:pPr>
                    <w:autoSpaceDE w:val="0"/>
                    <w:autoSpaceDN w:val="0"/>
                    <w:adjustRightInd w:val="0"/>
                    <w:snapToGrid w:val="0"/>
                    <w:jc w:val="center"/>
                    <w:textAlignment w:val="center"/>
                    <w:rPr>
                      <w:color w:val="auto"/>
                    </w:rPr>
                  </w:pPr>
                </w:p>
              </w:tc>
              <w:tc>
                <w:tcPr>
                  <w:tcW w:w="2479" w:type="dxa"/>
                  <w:vMerge w:val="continue"/>
                  <w:noWrap w:val="0"/>
                  <w:vAlign w:val="center"/>
                </w:tcPr>
                <w:p>
                  <w:pPr>
                    <w:autoSpaceDE w:val="0"/>
                    <w:autoSpaceDN w:val="0"/>
                    <w:adjustRightInd w:val="0"/>
                    <w:snapToGrid w:val="0"/>
                    <w:jc w:val="center"/>
                    <w:textAlignment w:val="center"/>
                    <w:rPr>
                      <w:color w:val="auto"/>
                    </w:rPr>
                  </w:pPr>
                </w:p>
              </w:tc>
              <w:tc>
                <w:tcPr>
                  <w:tcW w:w="1838" w:type="dxa"/>
                  <w:vMerge w:val="continue"/>
                  <w:noWrap w:val="0"/>
                  <w:vAlign w:val="center"/>
                </w:tcPr>
                <w:p>
                  <w:pPr>
                    <w:autoSpaceDE w:val="0"/>
                    <w:autoSpaceDN w:val="0"/>
                    <w:adjustRightInd w:val="0"/>
                    <w:snapToGrid w:val="0"/>
                    <w:jc w:val="center"/>
                    <w:textAlignment w:val="center"/>
                    <w:rPr>
                      <w:color w:val="auto"/>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本项目场界北侧80m农户外1m处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rPr>
                  </w:pPr>
                </w:p>
              </w:tc>
              <w:tc>
                <w:tcPr>
                  <w:tcW w:w="708" w:type="dxa"/>
                  <w:vMerge w:val="continue"/>
                  <w:noWrap w:val="0"/>
                  <w:vAlign w:val="center"/>
                </w:tcPr>
                <w:p>
                  <w:pPr>
                    <w:autoSpaceDE w:val="0"/>
                    <w:autoSpaceDN w:val="0"/>
                    <w:adjustRightInd w:val="0"/>
                    <w:snapToGrid w:val="0"/>
                    <w:jc w:val="center"/>
                    <w:textAlignment w:val="center"/>
                    <w:rPr>
                      <w:color w:val="auto"/>
                    </w:rPr>
                  </w:pPr>
                </w:p>
              </w:tc>
              <w:tc>
                <w:tcPr>
                  <w:tcW w:w="2479" w:type="dxa"/>
                  <w:vMerge w:val="continue"/>
                  <w:noWrap w:val="0"/>
                  <w:vAlign w:val="center"/>
                </w:tcPr>
                <w:p>
                  <w:pPr>
                    <w:autoSpaceDE w:val="0"/>
                    <w:autoSpaceDN w:val="0"/>
                    <w:adjustRightInd w:val="0"/>
                    <w:snapToGrid w:val="0"/>
                    <w:jc w:val="center"/>
                    <w:textAlignment w:val="center"/>
                    <w:rPr>
                      <w:color w:val="auto"/>
                    </w:rPr>
                  </w:pPr>
                </w:p>
              </w:tc>
              <w:tc>
                <w:tcPr>
                  <w:tcW w:w="1838" w:type="dxa"/>
                  <w:vMerge w:val="continue"/>
                  <w:noWrap w:val="0"/>
                  <w:vAlign w:val="center"/>
                </w:tcPr>
                <w:p>
                  <w:pPr>
                    <w:autoSpaceDE w:val="0"/>
                    <w:autoSpaceDN w:val="0"/>
                    <w:adjustRightInd w:val="0"/>
                    <w:snapToGrid w:val="0"/>
                    <w:jc w:val="center"/>
                    <w:textAlignment w:val="center"/>
                    <w:rPr>
                      <w:color w:val="auto"/>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161"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2020.10.25</w:t>
                  </w: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1#</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本项目场界东侧外1m处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本项目场界南侧外1m处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3#</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本项目场界西侧外1m处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2479"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本项目场界北侧外1m处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161" w:type="dxa"/>
                  <w:vMerge w:val="continue"/>
                  <w:noWrap w:val="0"/>
                  <w:vAlign w:val="center"/>
                </w:tcPr>
                <w:p>
                  <w:pPr>
                    <w:autoSpaceDE w:val="0"/>
                    <w:autoSpaceDN w:val="0"/>
                    <w:adjustRightInd w:val="0"/>
                    <w:snapToGrid w:val="0"/>
                    <w:jc w:val="center"/>
                    <w:textAlignment w:val="center"/>
                    <w:rPr>
                      <w:color w:val="auto"/>
                    </w:rPr>
                  </w:pPr>
                </w:p>
              </w:tc>
              <w:tc>
                <w:tcPr>
                  <w:tcW w:w="708" w:type="dxa"/>
                  <w:vMerge w:val="continue"/>
                  <w:noWrap w:val="0"/>
                  <w:vAlign w:val="center"/>
                </w:tcPr>
                <w:p>
                  <w:pPr>
                    <w:autoSpaceDE w:val="0"/>
                    <w:autoSpaceDN w:val="0"/>
                    <w:adjustRightInd w:val="0"/>
                    <w:snapToGrid w:val="0"/>
                    <w:jc w:val="center"/>
                    <w:textAlignment w:val="center"/>
                    <w:rPr>
                      <w:color w:val="auto"/>
                    </w:rPr>
                  </w:pPr>
                </w:p>
              </w:tc>
              <w:tc>
                <w:tcPr>
                  <w:tcW w:w="2479" w:type="dxa"/>
                  <w:vMerge w:val="continue"/>
                  <w:noWrap w:val="0"/>
                  <w:vAlign w:val="center"/>
                </w:tcPr>
                <w:p>
                  <w:pPr>
                    <w:autoSpaceDE w:val="0"/>
                    <w:autoSpaceDN w:val="0"/>
                    <w:adjustRightInd w:val="0"/>
                    <w:snapToGrid w:val="0"/>
                    <w:jc w:val="center"/>
                    <w:textAlignment w:val="center"/>
                    <w:rPr>
                      <w:color w:val="auto"/>
                    </w:rPr>
                  </w:pPr>
                </w:p>
              </w:tc>
              <w:tc>
                <w:tcPr>
                  <w:tcW w:w="1838" w:type="dxa"/>
                  <w:vMerge w:val="continue"/>
                  <w:noWrap w:val="0"/>
                  <w:vAlign w:val="center"/>
                </w:tcPr>
                <w:p>
                  <w:pPr>
                    <w:autoSpaceDE w:val="0"/>
                    <w:autoSpaceDN w:val="0"/>
                    <w:adjustRightInd w:val="0"/>
                    <w:snapToGrid w:val="0"/>
                    <w:jc w:val="center"/>
                    <w:textAlignment w:val="center"/>
                    <w:rPr>
                      <w:color w:val="auto"/>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61"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708"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w:t>
                  </w:r>
                </w:p>
              </w:tc>
              <w:tc>
                <w:tcPr>
                  <w:tcW w:w="2479" w:type="dxa"/>
                  <w:vMerge w:val="restart"/>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本项目场界东南侧50m农户外1m处</w:t>
                  </w:r>
                </w:p>
              </w:tc>
              <w:tc>
                <w:tcPr>
                  <w:tcW w:w="1838" w:type="dxa"/>
                  <w:vMerge w:val="continue"/>
                  <w:noWrap w:val="0"/>
                  <w:vAlign w:val="center"/>
                </w:tcPr>
                <w:p>
                  <w:pPr>
                    <w:autoSpaceDE w:val="0"/>
                    <w:autoSpaceDN w:val="0"/>
                    <w:adjustRightInd w:val="0"/>
                    <w:snapToGrid w:val="0"/>
                    <w:jc w:val="center"/>
                    <w:textAlignment w:val="center"/>
                    <w:rPr>
                      <w:color w:val="auto"/>
                      <w:kern w:val="0"/>
                      <w:sz w:val="21"/>
                      <w:szCs w:val="21"/>
                      <w:lang w:bidi="ar"/>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昼间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61" w:type="dxa"/>
                  <w:vMerge w:val="continue"/>
                  <w:noWrap w:val="0"/>
                  <w:vAlign w:val="center"/>
                </w:tcPr>
                <w:p>
                  <w:pPr>
                    <w:autoSpaceDE w:val="0"/>
                    <w:autoSpaceDN w:val="0"/>
                    <w:adjustRightInd w:val="0"/>
                    <w:snapToGrid w:val="0"/>
                    <w:jc w:val="center"/>
                    <w:textAlignment w:val="center"/>
                    <w:rPr>
                      <w:color w:val="auto"/>
                    </w:rPr>
                  </w:pPr>
                </w:p>
              </w:tc>
              <w:tc>
                <w:tcPr>
                  <w:tcW w:w="708" w:type="dxa"/>
                  <w:vMerge w:val="continue"/>
                  <w:noWrap w:val="0"/>
                  <w:vAlign w:val="center"/>
                </w:tcPr>
                <w:p>
                  <w:pPr>
                    <w:autoSpaceDE w:val="0"/>
                    <w:autoSpaceDN w:val="0"/>
                    <w:adjustRightInd w:val="0"/>
                    <w:snapToGrid w:val="0"/>
                    <w:jc w:val="center"/>
                    <w:textAlignment w:val="center"/>
                    <w:rPr>
                      <w:color w:val="auto"/>
                    </w:rPr>
                  </w:pPr>
                </w:p>
              </w:tc>
              <w:tc>
                <w:tcPr>
                  <w:tcW w:w="2479" w:type="dxa"/>
                  <w:vMerge w:val="continue"/>
                  <w:noWrap w:val="0"/>
                  <w:vAlign w:val="center"/>
                </w:tcPr>
                <w:p>
                  <w:pPr>
                    <w:autoSpaceDE w:val="0"/>
                    <w:autoSpaceDN w:val="0"/>
                    <w:adjustRightInd w:val="0"/>
                    <w:snapToGrid w:val="0"/>
                    <w:jc w:val="center"/>
                    <w:textAlignment w:val="center"/>
                    <w:rPr>
                      <w:color w:val="auto"/>
                    </w:rPr>
                  </w:pPr>
                </w:p>
              </w:tc>
              <w:tc>
                <w:tcPr>
                  <w:tcW w:w="1838" w:type="dxa"/>
                  <w:vMerge w:val="continue"/>
                  <w:noWrap w:val="0"/>
                  <w:vAlign w:val="center"/>
                </w:tcPr>
                <w:p>
                  <w:pPr>
                    <w:autoSpaceDE w:val="0"/>
                    <w:autoSpaceDN w:val="0"/>
                    <w:adjustRightInd w:val="0"/>
                    <w:snapToGrid w:val="0"/>
                    <w:jc w:val="center"/>
                    <w:textAlignment w:val="center"/>
                    <w:rPr>
                      <w:color w:val="auto"/>
                    </w:rPr>
                  </w:pPr>
                </w:p>
              </w:tc>
              <w:tc>
                <w:tcPr>
                  <w:tcW w:w="1209"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夜间</w:t>
                  </w:r>
                </w:p>
              </w:tc>
              <w:tc>
                <w:tcPr>
                  <w:tcW w:w="1466"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43</w:t>
                  </w:r>
                </w:p>
              </w:tc>
            </w:tr>
          </w:tbl>
          <w:p>
            <w:pPr>
              <w:autoSpaceDE w:val="0"/>
              <w:autoSpaceDN w:val="0"/>
              <w:adjustRightInd w:val="0"/>
              <w:snapToGrid w:val="0"/>
              <w:spacing w:line="360" w:lineRule="auto"/>
              <w:ind w:firstLine="480" w:firstLineChars="200"/>
              <w:textAlignment w:val="center"/>
              <w:rPr>
                <w:color w:val="auto"/>
                <w:kern w:val="0"/>
                <w:szCs w:val="20"/>
                <w:lang w:bidi="ar"/>
              </w:rPr>
            </w:pPr>
            <w:r>
              <w:rPr>
                <w:color w:val="auto"/>
                <w:kern w:val="0"/>
                <w:szCs w:val="20"/>
                <w:lang w:bidi="ar"/>
              </w:rPr>
              <w:t>从表3-9监测结果可见，监测噪声值满足《声环境质量标准》（GB3096-2008）中2类标准限值，所以本项目周边声环境良好。</w:t>
            </w:r>
          </w:p>
          <w:p>
            <w:pPr>
              <w:pStyle w:val="8"/>
              <w:adjustRightInd w:val="0"/>
              <w:snapToGrid w:val="0"/>
              <w:ind w:firstLine="560" w:firstLineChars="200"/>
              <w:rPr>
                <w:rFonts w:ascii="Times New Roman" w:hAnsi="Times New Roman" w:eastAsia="宋体"/>
                <w:b/>
                <w:color w:val="auto"/>
                <w:szCs w:val="28"/>
              </w:rPr>
            </w:pPr>
            <w:r>
              <w:rPr>
                <w:rFonts w:hint="eastAsia" w:ascii="Times New Roman" w:hAnsi="Times New Roman" w:eastAsia="黑体"/>
                <w:bCs/>
                <w:color w:val="auto"/>
                <w:szCs w:val="28"/>
                <w:lang w:eastAsia="zh-CN"/>
              </w:rPr>
              <w:t>四</w:t>
            </w:r>
            <w:r>
              <w:rPr>
                <w:rFonts w:ascii="Times New Roman" w:hAnsi="Times New Roman" w:eastAsia="黑体"/>
                <w:bCs/>
                <w:color w:val="auto"/>
                <w:szCs w:val="28"/>
              </w:rPr>
              <w:t>、</w:t>
            </w:r>
            <w:r>
              <w:rPr>
                <w:rFonts w:hint="eastAsia" w:ascii="Times New Roman" w:hAnsi="Times New Roman" w:eastAsia="黑体"/>
                <w:bCs/>
                <w:color w:val="auto"/>
                <w:szCs w:val="28"/>
                <w:lang w:eastAsia="zh-CN"/>
              </w:rPr>
              <w:t>地下水</w:t>
            </w:r>
            <w:r>
              <w:rPr>
                <w:rFonts w:ascii="Times New Roman" w:hAnsi="Times New Roman" w:eastAsia="黑体"/>
                <w:bCs/>
                <w:color w:val="auto"/>
                <w:szCs w:val="28"/>
              </w:rPr>
              <w:t>质量现状监测及评价</w:t>
            </w:r>
          </w:p>
          <w:p>
            <w:pPr>
              <w:autoSpaceDE w:val="0"/>
              <w:autoSpaceDN w:val="0"/>
              <w:adjustRightInd w:val="0"/>
              <w:snapToGrid w:val="0"/>
              <w:spacing w:line="360" w:lineRule="auto"/>
              <w:ind w:firstLine="482" w:firstLineChars="200"/>
              <w:textAlignment w:val="center"/>
              <w:rPr>
                <w:b/>
                <w:bCs/>
                <w:color w:val="auto"/>
                <w:kern w:val="0"/>
                <w:szCs w:val="20"/>
                <w:lang w:bidi="ar"/>
              </w:rPr>
            </w:pPr>
            <w:r>
              <w:rPr>
                <w:b/>
                <w:bCs/>
                <w:color w:val="auto"/>
                <w:kern w:val="0"/>
                <w:szCs w:val="20"/>
                <w:lang w:bidi="ar"/>
              </w:rPr>
              <w:t>1.监测点位布置</w:t>
            </w:r>
          </w:p>
          <w:p>
            <w:pPr>
              <w:autoSpaceDE w:val="0"/>
              <w:autoSpaceDN w:val="0"/>
              <w:adjustRightInd w:val="0"/>
              <w:snapToGrid w:val="0"/>
              <w:spacing w:line="360" w:lineRule="auto"/>
              <w:ind w:firstLine="480" w:firstLineChars="200"/>
              <w:textAlignment w:val="center"/>
              <w:rPr>
                <w:color w:val="auto"/>
                <w:kern w:val="0"/>
                <w:szCs w:val="20"/>
                <w:lang w:bidi="ar"/>
              </w:rPr>
            </w:pPr>
            <w:r>
              <w:rPr>
                <w:color w:val="auto"/>
                <w:kern w:val="0"/>
                <w:szCs w:val="20"/>
                <w:lang w:bidi="ar"/>
              </w:rPr>
              <w:t>本次</w:t>
            </w:r>
            <w:r>
              <w:rPr>
                <w:rFonts w:hint="eastAsia"/>
                <w:color w:val="auto"/>
                <w:kern w:val="0"/>
                <w:szCs w:val="20"/>
                <w:lang w:eastAsia="zh-CN" w:bidi="ar"/>
              </w:rPr>
              <w:t>地下水</w:t>
            </w:r>
            <w:r>
              <w:rPr>
                <w:color w:val="auto"/>
                <w:kern w:val="0"/>
                <w:szCs w:val="20"/>
                <w:lang w:bidi="ar"/>
              </w:rPr>
              <w:t>监测点位共设置</w:t>
            </w:r>
            <w:r>
              <w:rPr>
                <w:rFonts w:hint="eastAsia"/>
                <w:color w:val="auto"/>
                <w:kern w:val="0"/>
                <w:szCs w:val="20"/>
                <w:lang w:val="en-US" w:eastAsia="zh-CN" w:bidi="ar"/>
              </w:rPr>
              <w:t>3</w:t>
            </w:r>
            <w:r>
              <w:rPr>
                <w:color w:val="auto"/>
                <w:kern w:val="0"/>
                <w:szCs w:val="20"/>
                <w:lang w:bidi="ar"/>
              </w:rPr>
              <w:t>个，</w:t>
            </w:r>
            <w:r>
              <w:rPr>
                <w:rFonts w:hint="eastAsia"/>
                <w:color w:val="auto"/>
                <w:kern w:val="0"/>
                <w:szCs w:val="20"/>
                <w:lang w:eastAsia="zh-CN" w:bidi="ar"/>
              </w:rPr>
              <w:t>地下水</w:t>
            </w:r>
            <w:r>
              <w:rPr>
                <w:color w:val="auto"/>
                <w:kern w:val="0"/>
                <w:szCs w:val="20"/>
                <w:lang w:bidi="ar"/>
              </w:rPr>
              <w:t>现状监测点位布置见表</w:t>
            </w:r>
            <w:r>
              <w:rPr>
                <w:rFonts w:hint="eastAsia"/>
                <w:color w:val="auto"/>
                <w:kern w:val="0"/>
                <w:szCs w:val="20"/>
                <w:lang w:val="en-US" w:eastAsia="zh-CN" w:bidi="ar"/>
              </w:rPr>
              <w:t>3-10</w:t>
            </w:r>
            <w:r>
              <w:rPr>
                <w:color w:val="auto"/>
                <w:kern w:val="0"/>
                <w:szCs w:val="20"/>
                <w:lang w:bidi="ar"/>
              </w:rPr>
              <w:t>。</w:t>
            </w:r>
          </w:p>
          <w:p>
            <w:pPr>
              <w:adjustRightInd w:val="0"/>
              <w:snapToGrid w:val="0"/>
              <w:spacing w:line="360" w:lineRule="auto"/>
              <w:jc w:val="center"/>
              <w:rPr>
                <w:rFonts w:eastAsia="黑体"/>
                <w:bCs/>
                <w:color w:val="auto"/>
              </w:rPr>
            </w:pPr>
            <w:r>
              <w:rPr>
                <w:rFonts w:eastAsia="黑体"/>
                <w:bCs/>
                <w:color w:val="auto"/>
              </w:rPr>
              <w:t>表3-</w:t>
            </w:r>
            <w:r>
              <w:rPr>
                <w:rFonts w:hint="eastAsia" w:eastAsia="黑体"/>
                <w:bCs/>
                <w:color w:val="auto"/>
                <w:lang w:val="en-US" w:eastAsia="zh-CN"/>
              </w:rPr>
              <w:t>10</w:t>
            </w:r>
            <w:r>
              <w:rPr>
                <w:rFonts w:eastAsia="黑体"/>
                <w:bCs/>
                <w:color w:val="auto"/>
              </w:rPr>
              <w:t xml:space="preserve">  噪声现状监测布点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6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序号</w:t>
                  </w:r>
                </w:p>
              </w:tc>
              <w:tc>
                <w:tcPr>
                  <w:tcW w:w="6936" w:type="dxa"/>
                  <w:noWrap w:val="0"/>
                  <w:vAlign w:val="center"/>
                </w:tcPr>
                <w:p>
                  <w:pPr>
                    <w:autoSpaceDE w:val="0"/>
                    <w:autoSpaceDN w:val="0"/>
                    <w:adjustRightInd w:val="0"/>
                    <w:snapToGrid w:val="0"/>
                    <w:jc w:val="center"/>
                    <w:textAlignment w:val="center"/>
                    <w:rPr>
                      <w:b/>
                      <w:bCs/>
                      <w:color w:val="auto"/>
                      <w:kern w:val="0"/>
                      <w:sz w:val="21"/>
                      <w:szCs w:val="21"/>
                      <w:lang w:bidi="ar"/>
                    </w:rPr>
                  </w:pPr>
                  <w:r>
                    <w:rPr>
                      <w:b/>
                      <w:bCs/>
                      <w:color w:val="auto"/>
                      <w:kern w:val="0"/>
                      <w:sz w:val="21"/>
                      <w:szCs w:val="21"/>
                      <w:lang w:bidi="ar"/>
                    </w:rPr>
                    <w:t>监测点位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1#</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rFonts w:hint="eastAsia"/>
                      <w:color w:val="auto"/>
                      <w:kern w:val="0"/>
                      <w:sz w:val="21"/>
                      <w:szCs w:val="21"/>
                      <w:lang w:val="en-US" w:eastAsia="zh-CN" w:bidi="ar"/>
                    </w:rPr>
                    <w:t>项目东南侧</w:t>
                  </w:r>
                  <w:r>
                    <w:rPr>
                      <w:rFonts w:hint="default"/>
                      <w:color w:val="auto"/>
                      <w:kern w:val="0"/>
                      <w:sz w:val="21"/>
                      <w:szCs w:val="21"/>
                      <w:lang w:val="en-US" w:eastAsia="zh-CN" w:bidi="ar"/>
                    </w:rPr>
                    <w:t>1000m</w:t>
                  </w:r>
                  <w:r>
                    <w:rPr>
                      <w:rFonts w:hint="eastAsia"/>
                      <w:color w:val="auto"/>
                      <w:kern w:val="0"/>
                      <w:sz w:val="21"/>
                      <w:szCs w:val="21"/>
                      <w:lang w:val="en-US" w:eastAsia="zh-CN" w:bidi="ar"/>
                    </w:rPr>
                    <w:t>处地下水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2#</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rFonts w:hint="eastAsia"/>
                      <w:color w:val="auto"/>
                      <w:kern w:val="0"/>
                      <w:sz w:val="21"/>
                      <w:szCs w:val="21"/>
                      <w:lang w:val="en-US" w:eastAsia="zh-CN" w:bidi="ar"/>
                    </w:rPr>
                    <w:t>项目东南侧</w:t>
                  </w:r>
                  <w:r>
                    <w:rPr>
                      <w:rFonts w:hint="default"/>
                      <w:color w:val="auto"/>
                      <w:kern w:val="0"/>
                      <w:sz w:val="21"/>
                      <w:szCs w:val="21"/>
                      <w:lang w:val="en-US" w:eastAsia="zh-CN" w:bidi="ar"/>
                    </w:rPr>
                    <w:t>900m</w:t>
                  </w:r>
                  <w:r>
                    <w:rPr>
                      <w:rFonts w:hint="eastAsia"/>
                      <w:color w:val="auto"/>
                      <w:kern w:val="0"/>
                      <w:sz w:val="21"/>
                      <w:szCs w:val="21"/>
                      <w:lang w:val="en-US" w:eastAsia="zh-CN" w:bidi="ar"/>
                    </w:rPr>
                    <w:t>处地下水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15" w:type="dxa"/>
                  <w:noWrap w:val="0"/>
                  <w:vAlign w:val="center"/>
                </w:tcPr>
                <w:p>
                  <w:pPr>
                    <w:autoSpaceDE w:val="0"/>
                    <w:autoSpaceDN w:val="0"/>
                    <w:adjustRightInd w:val="0"/>
                    <w:snapToGrid w:val="0"/>
                    <w:jc w:val="center"/>
                    <w:textAlignment w:val="center"/>
                    <w:rPr>
                      <w:color w:val="auto"/>
                      <w:kern w:val="0"/>
                      <w:sz w:val="21"/>
                      <w:szCs w:val="21"/>
                      <w:lang w:bidi="ar"/>
                    </w:rPr>
                  </w:pPr>
                  <w:r>
                    <w:rPr>
                      <w:color w:val="auto"/>
                      <w:kern w:val="0"/>
                      <w:sz w:val="21"/>
                      <w:szCs w:val="21"/>
                      <w:lang w:bidi="ar"/>
                    </w:rPr>
                    <w:t>3#</w:t>
                  </w:r>
                </w:p>
              </w:tc>
              <w:tc>
                <w:tcPr>
                  <w:tcW w:w="6936" w:type="dxa"/>
                  <w:noWrap w:val="0"/>
                  <w:vAlign w:val="center"/>
                </w:tcPr>
                <w:p>
                  <w:pPr>
                    <w:autoSpaceDE w:val="0"/>
                    <w:autoSpaceDN w:val="0"/>
                    <w:adjustRightInd w:val="0"/>
                    <w:snapToGrid w:val="0"/>
                    <w:jc w:val="center"/>
                    <w:textAlignment w:val="center"/>
                    <w:rPr>
                      <w:color w:val="auto"/>
                      <w:kern w:val="0"/>
                      <w:sz w:val="21"/>
                      <w:szCs w:val="21"/>
                      <w:lang w:bidi="ar"/>
                    </w:rPr>
                  </w:pPr>
                  <w:r>
                    <w:rPr>
                      <w:rFonts w:hint="eastAsia"/>
                      <w:color w:val="auto"/>
                      <w:kern w:val="0"/>
                      <w:sz w:val="21"/>
                      <w:szCs w:val="21"/>
                      <w:lang w:val="en-US" w:eastAsia="zh-CN" w:bidi="ar"/>
                    </w:rPr>
                    <w:t>项目东南侧</w:t>
                  </w:r>
                  <w:r>
                    <w:rPr>
                      <w:rFonts w:hint="default"/>
                      <w:color w:val="auto"/>
                      <w:kern w:val="0"/>
                      <w:sz w:val="21"/>
                      <w:szCs w:val="21"/>
                      <w:lang w:val="en-US" w:eastAsia="zh-CN" w:bidi="ar"/>
                    </w:rPr>
                    <w:t>700m</w:t>
                  </w:r>
                  <w:r>
                    <w:rPr>
                      <w:rFonts w:hint="eastAsia"/>
                      <w:color w:val="auto"/>
                      <w:kern w:val="0"/>
                      <w:sz w:val="21"/>
                      <w:szCs w:val="21"/>
                      <w:lang w:val="en-US" w:eastAsia="zh-CN" w:bidi="ar"/>
                    </w:rPr>
                    <w:t>处地下水</w:t>
                  </w:r>
                </w:p>
              </w:tc>
            </w:tr>
          </w:tbl>
          <w:p>
            <w:pPr>
              <w:autoSpaceDE w:val="0"/>
              <w:autoSpaceDN w:val="0"/>
              <w:adjustRightInd w:val="0"/>
              <w:snapToGrid w:val="0"/>
              <w:spacing w:line="360" w:lineRule="auto"/>
              <w:ind w:firstLine="482" w:firstLineChars="200"/>
              <w:jc w:val="left"/>
              <w:textAlignment w:val="center"/>
              <w:rPr>
                <w:b/>
                <w:bCs/>
                <w:color w:val="auto"/>
                <w:kern w:val="0"/>
                <w:szCs w:val="20"/>
                <w:lang w:bidi="ar"/>
              </w:rPr>
            </w:pPr>
            <w:r>
              <w:rPr>
                <w:b/>
                <w:bCs/>
                <w:color w:val="auto"/>
                <w:kern w:val="0"/>
                <w:szCs w:val="20"/>
                <w:lang w:bidi="ar"/>
              </w:rPr>
              <w:t>2.监测项目：</w:t>
            </w:r>
            <w:r>
              <w:rPr>
                <w:rFonts w:hint="eastAsia"/>
                <w:b/>
                <w:bCs/>
                <w:color w:val="auto"/>
                <w:kern w:val="0"/>
                <w:szCs w:val="20"/>
                <w:lang w:eastAsia="zh-CN" w:bidi="ar"/>
              </w:rPr>
              <w:t>地下水</w:t>
            </w:r>
            <w:r>
              <w:rPr>
                <w:color w:val="auto"/>
                <w:kern w:val="0"/>
                <w:szCs w:val="20"/>
                <w:lang w:bidi="ar"/>
              </w:rPr>
              <w:t>。</w:t>
            </w:r>
          </w:p>
          <w:p>
            <w:pPr>
              <w:autoSpaceDE w:val="0"/>
              <w:autoSpaceDN w:val="0"/>
              <w:adjustRightInd w:val="0"/>
              <w:snapToGrid w:val="0"/>
              <w:spacing w:line="360" w:lineRule="auto"/>
              <w:ind w:firstLine="482" w:firstLineChars="200"/>
              <w:jc w:val="left"/>
              <w:textAlignment w:val="center"/>
              <w:rPr>
                <w:color w:val="auto"/>
                <w:kern w:val="0"/>
                <w:szCs w:val="20"/>
                <w:lang w:bidi="ar"/>
              </w:rPr>
            </w:pPr>
            <w:r>
              <w:rPr>
                <w:b/>
                <w:bCs/>
                <w:color w:val="auto"/>
                <w:kern w:val="0"/>
                <w:szCs w:val="20"/>
                <w:lang w:bidi="ar"/>
              </w:rPr>
              <w:t>3.监测时间、监测频次</w:t>
            </w:r>
          </w:p>
          <w:p>
            <w:pPr>
              <w:autoSpaceDE w:val="0"/>
              <w:autoSpaceDN w:val="0"/>
              <w:adjustRightInd w:val="0"/>
              <w:snapToGrid w:val="0"/>
              <w:spacing w:line="360" w:lineRule="auto"/>
              <w:ind w:firstLine="480" w:firstLineChars="200"/>
              <w:jc w:val="left"/>
              <w:textAlignment w:val="center"/>
              <w:rPr>
                <w:color w:val="auto"/>
                <w:kern w:val="0"/>
                <w:szCs w:val="20"/>
                <w:lang w:bidi="ar"/>
              </w:rPr>
            </w:pPr>
            <w:r>
              <w:rPr>
                <w:rFonts w:hint="default" w:ascii="Times New Roman" w:hAnsi="Times New Roman" w:eastAsia="宋体" w:cs="Times New Roman"/>
                <w:color w:val="auto"/>
                <w:sz w:val="24"/>
                <w:szCs w:val="24"/>
                <w:lang w:val="en-US" w:eastAsia="zh-CN" w:bidi="ar"/>
              </w:rPr>
              <w:t>2020</w:t>
            </w:r>
            <w:r>
              <w:rPr>
                <w:rFonts w:hint="eastAsia" w:ascii="Times New Roman" w:hAnsi="Times New Roman" w:eastAsia="宋体" w:cs="Times New Roman"/>
                <w:color w:val="auto"/>
                <w:sz w:val="24"/>
                <w:szCs w:val="24"/>
                <w:lang w:val="en-US" w:eastAsia="zh-CN" w:bidi="ar"/>
              </w:rPr>
              <w:t>年</w:t>
            </w:r>
            <w:r>
              <w:rPr>
                <w:rFonts w:hint="default" w:ascii="Times New Roman" w:hAnsi="Times New Roman" w:eastAsia="宋体" w:cs="Times New Roman"/>
                <w:color w:val="auto"/>
                <w:sz w:val="24"/>
                <w:szCs w:val="24"/>
                <w:lang w:val="en-US" w:eastAsia="zh-CN" w:bidi="ar"/>
              </w:rPr>
              <w:t>11</w:t>
            </w:r>
            <w:r>
              <w:rPr>
                <w:rFonts w:hint="eastAsia" w:ascii="Times New Roman" w:hAnsi="Times New Roman" w:eastAsia="宋体" w:cs="Times New Roman"/>
                <w:color w:val="auto"/>
                <w:sz w:val="24"/>
                <w:szCs w:val="24"/>
                <w:lang w:val="en-US" w:eastAsia="zh-CN" w:bidi="ar"/>
              </w:rPr>
              <w:t>月</w:t>
            </w:r>
            <w:r>
              <w:rPr>
                <w:rFonts w:hint="default" w:ascii="Times New Roman" w:hAnsi="Times New Roman" w:eastAsia="宋体" w:cs="Times New Roman"/>
                <w:color w:val="auto"/>
                <w:sz w:val="24"/>
                <w:szCs w:val="24"/>
                <w:lang w:val="en-US" w:eastAsia="zh-CN" w:bidi="ar"/>
              </w:rPr>
              <w:t>21</w:t>
            </w:r>
            <w:r>
              <w:rPr>
                <w:rFonts w:hint="eastAsia" w:ascii="Times New Roman" w:hAnsi="Times New Roman" w:eastAsia="宋体" w:cs="Times New Roman"/>
                <w:color w:val="auto"/>
                <w:sz w:val="24"/>
                <w:szCs w:val="24"/>
                <w:lang w:val="en-US" w:eastAsia="zh-CN" w:bidi="ar"/>
              </w:rPr>
              <w:t>日</w:t>
            </w:r>
            <w:r>
              <w:rPr>
                <w:rFonts w:hint="eastAsia" w:ascii="Calibri" w:hAnsi="Calibri" w:eastAsia="宋体" w:cs="Times New Roman"/>
                <w:color w:val="auto"/>
                <w:sz w:val="24"/>
                <w:szCs w:val="24"/>
                <w:lang w:val="en-US" w:eastAsia="zh-CN" w:bidi="ar"/>
              </w:rPr>
              <w:t>检测</w:t>
            </w:r>
            <w:r>
              <w:rPr>
                <w:rFonts w:hint="default" w:ascii="Times New Roman" w:hAnsi="Times New Roman" w:eastAsia="宋体" w:cs="Times New Roman"/>
                <w:color w:val="auto"/>
                <w:sz w:val="24"/>
                <w:szCs w:val="24"/>
                <w:lang w:val="en-US" w:eastAsia="zh-CN" w:bidi="ar"/>
              </w:rPr>
              <w:t>1</w:t>
            </w:r>
            <w:r>
              <w:rPr>
                <w:rFonts w:hint="eastAsia" w:ascii="Calibri" w:hAnsi="Calibri" w:eastAsia="宋体" w:cs="Times New Roman"/>
                <w:color w:val="auto"/>
                <w:sz w:val="24"/>
                <w:szCs w:val="24"/>
                <w:lang w:val="en-US" w:eastAsia="zh-CN" w:bidi="ar"/>
              </w:rPr>
              <w:t>天，每天</w:t>
            </w:r>
            <w:r>
              <w:rPr>
                <w:rFonts w:hint="default" w:ascii="Times New Roman" w:hAnsi="Times New Roman" w:eastAsia="宋体" w:cs="Times New Roman"/>
                <w:color w:val="auto"/>
                <w:sz w:val="24"/>
                <w:szCs w:val="24"/>
                <w:lang w:val="en-US" w:eastAsia="zh-CN" w:bidi="ar"/>
              </w:rPr>
              <w:t>1</w:t>
            </w:r>
            <w:r>
              <w:rPr>
                <w:rFonts w:hint="eastAsia" w:ascii="Calibri" w:hAnsi="Calibri" w:eastAsia="宋体" w:cs="Times New Roman"/>
                <w:color w:val="auto"/>
                <w:sz w:val="24"/>
                <w:szCs w:val="24"/>
                <w:lang w:val="en-US" w:eastAsia="zh-CN" w:bidi="ar"/>
              </w:rPr>
              <w:t>次</w:t>
            </w:r>
            <w:r>
              <w:rPr>
                <w:color w:val="auto"/>
                <w:kern w:val="0"/>
                <w:szCs w:val="20"/>
                <w:lang w:bidi="ar"/>
              </w:rPr>
              <w:t>。</w:t>
            </w:r>
          </w:p>
          <w:p>
            <w:pPr>
              <w:autoSpaceDE w:val="0"/>
              <w:autoSpaceDN w:val="0"/>
              <w:adjustRightInd w:val="0"/>
              <w:snapToGrid w:val="0"/>
              <w:spacing w:line="360" w:lineRule="auto"/>
              <w:ind w:firstLine="482" w:firstLineChars="200"/>
              <w:jc w:val="left"/>
              <w:textAlignment w:val="center"/>
              <w:rPr>
                <w:b/>
                <w:bCs/>
                <w:color w:val="auto"/>
                <w:kern w:val="0"/>
                <w:szCs w:val="20"/>
                <w:lang w:bidi="ar"/>
              </w:rPr>
            </w:pPr>
            <w:r>
              <w:rPr>
                <w:b/>
                <w:bCs/>
                <w:color w:val="auto"/>
                <w:kern w:val="0"/>
                <w:szCs w:val="20"/>
                <w:lang w:bidi="ar"/>
              </w:rPr>
              <w:t>4.监测结果</w:t>
            </w:r>
          </w:p>
          <w:p>
            <w:pPr>
              <w:autoSpaceDE w:val="0"/>
              <w:autoSpaceDN w:val="0"/>
              <w:adjustRightInd w:val="0"/>
              <w:snapToGrid w:val="0"/>
              <w:spacing w:line="360" w:lineRule="auto"/>
              <w:ind w:firstLine="480" w:firstLineChars="200"/>
              <w:jc w:val="left"/>
              <w:textAlignment w:val="center"/>
              <w:rPr>
                <w:color w:val="auto"/>
                <w:kern w:val="0"/>
                <w:szCs w:val="20"/>
                <w:lang w:bidi="ar"/>
              </w:rPr>
            </w:pPr>
            <w:r>
              <w:rPr>
                <w:color w:val="auto"/>
                <w:kern w:val="0"/>
                <w:szCs w:val="20"/>
                <w:lang w:bidi="ar"/>
              </w:rPr>
              <w:t>检测结果见表3</w:t>
            </w:r>
            <w:r>
              <w:rPr>
                <w:rFonts w:hint="eastAsia"/>
                <w:color w:val="auto"/>
                <w:kern w:val="0"/>
                <w:szCs w:val="20"/>
                <w:lang w:val="en-US" w:eastAsia="zh-CN" w:bidi="ar"/>
              </w:rPr>
              <w:t>-11</w:t>
            </w:r>
            <w:r>
              <w:rPr>
                <w:color w:val="auto"/>
                <w:kern w:val="0"/>
                <w:szCs w:val="20"/>
                <w:lang w:bidi="ar"/>
              </w:rPr>
              <w:t>。</w:t>
            </w:r>
          </w:p>
          <w:p>
            <w:pPr>
              <w:adjustRightInd w:val="0"/>
              <w:snapToGrid w:val="0"/>
              <w:spacing w:line="360" w:lineRule="auto"/>
              <w:jc w:val="center"/>
              <w:rPr>
                <w:rFonts w:eastAsia="黑体"/>
                <w:bCs/>
                <w:color w:val="auto"/>
              </w:rPr>
            </w:pPr>
            <w:r>
              <w:rPr>
                <w:rFonts w:eastAsia="黑体"/>
                <w:bCs/>
                <w:color w:val="auto"/>
              </w:rPr>
              <w:t>表3-</w:t>
            </w:r>
            <w:r>
              <w:rPr>
                <w:rFonts w:hint="eastAsia" w:eastAsia="黑体"/>
                <w:bCs/>
                <w:color w:val="auto"/>
                <w:lang w:val="en-US" w:eastAsia="zh-CN"/>
              </w:rPr>
              <w:t>11</w:t>
            </w:r>
            <w:r>
              <w:rPr>
                <w:rFonts w:eastAsia="黑体"/>
                <w:bCs/>
                <w:color w:val="auto"/>
              </w:rPr>
              <w:t xml:space="preserve">  </w:t>
            </w:r>
            <w:r>
              <w:rPr>
                <w:rFonts w:hint="eastAsia" w:eastAsia="黑体"/>
                <w:bCs/>
                <w:color w:val="auto"/>
                <w:lang w:val="en-US" w:eastAsia="zh-CN"/>
              </w:rPr>
              <w:t>地下水</w:t>
            </w:r>
            <w:r>
              <w:rPr>
                <w:rFonts w:eastAsia="黑体"/>
                <w:bCs/>
                <w:color w:val="auto"/>
              </w:rPr>
              <w:t>现状检测结果</w:t>
            </w:r>
          </w:p>
          <w:p>
            <w:pPr>
              <w:adjustRightInd w:val="0"/>
              <w:snapToGrid w:val="0"/>
              <w:jc w:val="right"/>
              <w:rPr>
                <w:rFonts w:eastAsia="黑体"/>
                <w:color w:val="auto"/>
                <w:kern w:val="0"/>
                <w:sz w:val="21"/>
                <w:szCs w:val="21"/>
                <w:lang w:bidi="ar"/>
              </w:rPr>
            </w:pPr>
            <w:r>
              <w:rPr>
                <w:rFonts w:eastAsia="黑体"/>
                <w:b/>
                <w:bCs/>
                <w:color w:val="auto"/>
                <w:kern w:val="0"/>
                <w:sz w:val="21"/>
                <w:szCs w:val="21"/>
                <w:lang w:bidi="ar"/>
              </w:rPr>
              <w:t>单位：dB（A）</w:t>
            </w:r>
          </w:p>
          <w:tbl>
            <w:tblPr>
              <w:tblStyle w:val="29"/>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1995"/>
              <w:gridCol w:w="1980"/>
              <w:gridCol w:w="198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outlineLvl w:val="0"/>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
                      <w:bCs w:val="0"/>
                      <w:color w:val="auto"/>
                      <w:kern w:val="2"/>
                      <w:sz w:val="21"/>
                      <w:szCs w:val="21"/>
                      <w:lang w:val="en-US" w:eastAsia="zh-CN" w:bidi="ar"/>
                    </w:rPr>
                    <w:t>采样时间</w:t>
                  </w:r>
                </w:p>
              </w:tc>
              <w:tc>
                <w:tcPr>
                  <w:tcW w:w="7095" w:type="dxa"/>
                  <w:gridSpan w:val="4"/>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Cs/>
                      <w:color w:val="auto"/>
                      <w:kern w:val="2"/>
                      <w:sz w:val="21"/>
                      <w:szCs w:val="21"/>
                      <w:lang w:val="en-US" w:eastAsia="zh-CN" w:bidi="ar"/>
                    </w:rPr>
                    <w:t>2020年11月21日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outlineLvl w:val="0"/>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
                      <w:bCs w:val="0"/>
                      <w:color w:val="auto"/>
                      <w:kern w:val="2"/>
                      <w:sz w:val="21"/>
                      <w:szCs w:val="21"/>
                      <w:lang w:val="en-US" w:eastAsia="zh-CN" w:bidi="ar"/>
                    </w:rPr>
                    <w:t>检测项目</w:t>
                  </w:r>
                </w:p>
              </w:tc>
              <w:tc>
                <w:tcPr>
                  <w:tcW w:w="5955" w:type="dxa"/>
                  <w:gridSpan w:val="3"/>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
                      <w:bCs w:val="0"/>
                      <w:color w:val="auto"/>
                      <w:kern w:val="2"/>
                      <w:sz w:val="21"/>
                      <w:szCs w:val="21"/>
                      <w:lang w:val="en-US" w:eastAsia="zh-CN" w:bidi="ar"/>
                    </w:rPr>
                    <w:t>检测结果</w:t>
                  </w:r>
                  <w:r>
                    <w:rPr>
                      <w:rFonts w:hint="default" w:ascii="Times New Roman" w:hAnsi="Times New Roman" w:eastAsia="宋体" w:cs="Times New Roman"/>
                      <w:b/>
                      <w:color w:val="auto"/>
                      <w:kern w:val="2"/>
                      <w:sz w:val="21"/>
                      <w:szCs w:val="21"/>
                      <w:lang w:val="en-US" w:eastAsia="zh-CN" w:bidi="ar"/>
                    </w:rPr>
                    <w:t>（mg/L）</w:t>
                  </w:r>
                </w:p>
              </w:tc>
              <w:tc>
                <w:tcPr>
                  <w:tcW w:w="114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
                      <w:bCs w:val="0"/>
                      <w:color w:val="auto"/>
                      <w:kern w:val="2"/>
                      <w:sz w:val="21"/>
                      <w:szCs w:val="2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vMerge w:val="continue"/>
                  <w:noWrap w:val="0"/>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rPr>
                  </w:pP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3#</w:t>
                  </w:r>
                </w:p>
              </w:tc>
              <w:tc>
                <w:tcPr>
                  <w:tcW w:w="1140" w:type="dxa"/>
                  <w:vMerge w:val="continue"/>
                  <w:noWrap w:val="0"/>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Cs/>
                      <w:color w:val="auto"/>
                      <w:kern w:val="2"/>
                      <w:sz w:val="21"/>
                      <w:szCs w:val="21"/>
                      <w:lang w:val="en-US" w:eastAsia="zh-CN" w:bidi="ar"/>
                    </w:rPr>
                    <w:t>钾</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0.47</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0.45</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0.49</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Cs/>
                      <w:color w:val="auto"/>
                      <w:kern w:val="2"/>
                      <w:sz w:val="21"/>
                      <w:szCs w:val="21"/>
                      <w:lang w:val="en-US" w:eastAsia="zh-CN" w:bidi="ar"/>
                    </w:rPr>
                    <w:t>钠</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13.0</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13.4</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13.6</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bCs/>
                      <w:color w:val="auto"/>
                      <w:kern w:val="2"/>
                      <w:sz w:val="21"/>
                      <w:szCs w:val="21"/>
                      <w:lang w:val="en-US" w:eastAsia="zh-CN" w:bidi="ar"/>
                    </w:rPr>
                    <w:t>钙</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31.9</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34.7</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33.2</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镁</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21.9</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24.0</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23.1</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碳酸根</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碳酸氢根</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190</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190</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191</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硫酸盐</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25.4</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27.8</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28.8</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硝酸盐</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2.22</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2.32</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2.24</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亚硝酸盐</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2"/>
                      <w:sz w:val="21"/>
                      <w:szCs w:val="21"/>
                      <w:lang w:val="en-US" w:eastAsia="zh-CN" w:bidi="ar"/>
                    </w:rPr>
                    <w:t>氯化物</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4.84</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3.68</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4.52</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pH（无量纲）</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7.03</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7.01</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7.05</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氨氮</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六价铬</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未检出</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溶解性总固体</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207</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216</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213</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6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val="0"/>
                      <w:color w:val="auto"/>
                      <w:sz w:val="21"/>
                      <w:szCs w:val="21"/>
                      <w:lang w:val="en-US"/>
                    </w:rPr>
                  </w:pPr>
                  <w:r>
                    <w:rPr>
                      <w:rFonts w:hint="default" w:ascii="Times New Roman" w:hAnsi="Times New Roman" w:eastAsia="宋体" w:cs="Times New Roman"/>
                      <w:color w:val="auto"/>
                      <w:kern w:val="2"/>
                      <w:sz w:val="21"/>
                      <w:szCs w:val="21"/>
                      <w:lang w:val="en-US" w:eastAsia="zh-CN" w:bidi="ar"/>
                    </w:rPr>
                    <w:t>耗氧量（COD</w:t>
                  </w:r>
                  <w:r>
                    <w:rPr>
                      <w:rFonts w:hint="default" w:ascii="Times New Roman" w:hAnsi="Times New Roman" w:eastAsia="宋体" w:cs="Times New Roman"/>
                      <w:color w:val="auto"/>
                      <w:kern w:val="2"/>
                      <w:sz w:val="21"/>
                      <w:szCs w:val="21"/>
                      <w:vertAlign w:val="subscript"/>
                      <w:lang w:val="en-US" w:eastAsia="zh-CN" w:bidi="ar"/>
                    </w:rPr>
                    <w:t>Mn</w:t>
                  </w:r>
                  <w:r>
                    <w:rPr>
                      <w:rFonts w:hint="default" w:ascii="Times New Roman" w:hAnsi="Times New Roman" w:eastAsia="宋体" w:cs="Times New Roman"/>
                      <w:color w:val="auto"/>
                      <w:kern w:val="2"/>
                      <w:sz w:val="21"/>
                      <w:szCs w:val="21"/>
                      <w:lang w:val="en-US" w:eastAsia="zh-CN" w:bidi="ar"/>
                    </w:rPr>
                    <w:t>法，以O</w:t>
                  </w:r>
                  <w:r>
                    <w:rPr>
                      <w:rFonts w:hint="default" w:ascii="Times New Roman" w:hAnsi="Times New Roman" w:eastAsia="宋体" w:cs="Times New Roman"/>
                      <w:color w:val="auto"/>
                      <w:kern w:val="2"/>
                      <w:sz w:val="21"/>
                      <w:szCs w:val="21"/>
                      <w:vertAlign w:val="subscript"/>
                      <w:lang w:val="en-US" w:eastAsia="zh-CN" w:bidi="ar"/>
                    </w:rPr>
                    <w:t>2</w:t>
                  </w:r>
                  <w:r>
                    <w:rPr>
                      <w:rFonts w:hint="default" w:ascii="Times New Roman" w:hAnsi="Times New Roman" w:eastAsia="宋体" w:cs="Times New Roman"/>
                      <w:color w:val="auto"/>
                      <w:kern w:val="2"/>
                      <w:sz w:val="21"/>
                      <w:szCs w:val="21"/>
                      <w:lang w:val="en-US" w:eastAsia="zh-CN" w:bidi="ar"/>
                    </w:rPr>
                    <w:t>计）</w:t>
                  </w:r>
                </w:p>
              </w:tc>
              <w:tc>
                <w:tcPr>
                  <w:tcW w:w="19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0.7</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0.6</w:t>
                  </w:r>
                </w:p>
              </w:tc>
              <w:tc>
                <w:tcPr>
                  <w:tcW w:w="19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0.5</w:t>
                  </w:r>
                </w:p>
              </w:tc>
              <w:tc>
                <w:tcPr>
                  <w:tcW w:w="1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Cs/>
                      <w:color w:val="auto"/>
                      <w:sz w:val="21"/>
                      <w:szCs w:val="21"/>
                      <w:lang w:val="en-US"/>
                    </w:rPr>
                  </w:pPr>
                  <w:r>
                    <w:rPr>
                      <w:rFonts w:hint="default" w:ascii="Times New Roman" w:hAnsi="Times New Roman" w:eastAsia="宋体" w:cs="Times New Roman"/>
                      <w:bCs/>
                      <w:color w:val="auto"/>
                      <w:kern w:val="2"/>
                      <w:sz w:val="21"/>
                      <w:szCs w:val="21"/>
                      <w:lang w:val="en-US" w:eastAsia="zh-CN" w:bidi="ar"/>
                    </w:rPr>
                    <w:t>/</w:t>
                  </w:r>
                </w:p>
              </w:tc>
            </w:tr>
          </w:tbl>
          <w:p>
            <w:pPr>
              <w:tabs>
                <w:tab w:val="left" w:pos="2790"/>
              </w:tabs>
              <w:adjustRightInd w:val="0"/>
              <w:snapToGrid w:val="0"/>
              <w:spacing w:before="120" w:beforeLines="50" w:line="360" w:lineRule="auto"/>
              <w:ind w:firstLine="482" w:firstLineChars="200"/>
              <w:jc w:val="left"/>
              <w:rPr>
                <w:rFonts w:hint="default" w:ascii="Times New Roman" w:hAnsi="Times New Roman" w:cs="Times New Roman"/>
                <w:b/>
                <w:bCs/>
                <w:color w:val="auto"/>
                <w:sz w:val="24"/>
              </w:rPr>
            </w:pPr>
            <w:r>
              <w:rPr>
                <w:rFonts w:hint="eastAsia" w:ascii="Times New Roman" w:hAnsi="Times New Roman" w:cs="Times New Roman"/>
                <w:b/>
                <w:bCs/>
                <w:color w:val="auto"/>
                <w:lang w:val="en-US" w:eastAsia="zh-CN"/>
              </w:rPr>
              <w:t>5.</w:t>
            </w:r>
            <w:r>
              <w:rPr>
                <w:rFonts w:hint="eastAsia" w:ascii="Times New Roman" w:hAnsi="Times New Roman" w:cs="Times New Roman"/>
                <w:b/>
                <w:bCs/>
                <w:color w:val="auto"/>
                <w:sz w:val="24"/>
                <w:lang w:val="en-US" w:eastAsia="zh-CN"/>
              </w:rPr>
              <w:t>地下水环境质量</w:t>
            </w:r>
            <w:r>
              <w:rPr>
                <w:rFonts w:hint="default" w:ascii="Times New Roman" w:hAnsi="Times New Roman" w:cs="Times New Roman"/>
                <w:b/>
                <w:bCs/>
                <w:color w:val="auto"/>
                <w:sz w:val="24"/>
              </w:rPr>
              <w:t>评价标准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黑体"/>
                <w:bCs/>
                <w:color w:val="auto"/>
              </w:rPr>
            </w:pPr>
            <w:r>
              <w:rPr>
                <w:rFonts w:hint="default" w:ascii="Times New Roman" w:hAnsi="Times New Roman" w:cs="Times New Roman"/>
                <w:color w:val="auto"/>
                <w:sz w:val="24"/>
              </w:rPr>
              <w:t>项目区域地下水执行《地下水质量标准》（GB/T1484-2017）中的Ⅲ类标准，</w:t>
            </w:r>
            <w:r>
              <w:rPr>
                <w:rFonts w:hint="default" w:ascii="Times New Roman" w:hAnsi="Times New Roman" w:cs="Times New Roman"/>
                <w:color w:val="auto"/>
                <w:kern w:val="0"/>
                <w:sz w:val="24"/>
              </w:rPr>
              <w:t>具体标准限值见下表</w:t>
            </w:r>
            <w:r>
              <w:rPr>
                <w:rFonts w:hint="eastAsia" w:ascii="Times New Roman" w:hAnsi="Times New Roman" w:cs="Times New Roman"/>
                <w:color w:val="auto"/>
                <w:kern w:val="0"/>
                <w:sz w:val="24"/>
                <w:lang w:val="en-US" w:eastAsia="zh-CN"/>
              </w:rPr>
              <w:t>3-12</w:t>
            </w:r>
            <w:r>
              <w:rPr>
                <w:rFonts w:hint="default" w:ascii="Times New Roman" w:hAnsi="Times New Roman" w:cs="Times New Roman"/>
                <w:color w:val="auto"/>
                <w:kern w:val="0"/>
                <w:sz w:val="24"/>
              </w:rPr>
              <w:t>：</w:t>
            </w:r>
          </w:p>
          <w:p>
            <w:pPr>
              <w:adjustRightInd w:val="0"/>
              <w:snapToGrid w:val="0"/>
              <w:spacing w:line="360" w:lineRule="auto"/>
              <w:jc w:val="center"/>
              <w:rPr>
                <w:rFonts w:hint="default" w:eastAsia="黑体"/>
                <w:bCs/>
                <w:color w:val="auto"/>
              </w:rPr>
            </w:pPr>
            <w:r>
              <w:rPr>
                <w:rFonts w:hint="default" w:eastAsia="黑体"/>
                <w:bCs/>
                <w:color w:val="auto"/>
              </w:rPr>
              <w:t>表</w:t>
            </w:r>
            <w:r>
              <w:rPr>
                <w:rFonts w:hint="eastAsia" w:eastAsia="黑体"/>
                <w:bCs/>
                <w:color w:val="auto"/>
                <w:lang w:val="en-US" w:eastAsia="zh-CN"/>
              </w:rPr>
              <w:t xml:space="preserve">3-12  </w:t>
            </w:r>
            <w:r>
              <w:rPr>
                <w:rFonts w:hint="default" w:eastAsia="黑体"/>
                <w:bCs/>
                <w:color w:val="auto"/>
              </w:rPr>
              <w:t>地下水质量现状评价标准</w:t>
            </w:r>
          </w:p>
          <w:tbl>
            <w:tblPr>
              <w:tblStyle w:val="28"/>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91"/>
              <w:gridCol w:w="1758"/>
              <w:gridCol w:w="2103"/>
              <w:gridCol w:w="25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top w:val="single" w:color="auto" w:sz="6" w:space="0"/>
                    <w:left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项目</w:t>
                  </w:r>
                </w:p>
              </w:tc>
              <w:tc>
                <w:tcPr>
                  <w:tcW w:w="965" w:type="pct"/>
                  <w:tcBorders>
                    <w:top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单位</w:t>
                  </w:r>
                </w:p>
              </w:tc>
              <w:tc>
                <w:tcPr>
                  <w:tcW w:w="1154" w:type="pct"/>
                  <w:tcBorders>
                    <w:top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评价标准值</w:t>
                  </w:r>
                </w:p>
              </w:tc>
              <w:tc>
                <w:tcPr>
                  <w:tcW w:w="1376" w:type="pct"/>
                  <w:tcBorders>
                    <w:top w:val="single" w:color="auto" w:sz="6" w:space="0"/>
                    <w:right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来源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bCs/>
                      <w:color w:val="auto"/>
                      <w:kern w:val="2"/>
                      <w:sz w:val="21"/>
                      <w:szCs w:val="21"/>
                      <w:lang w:val="en-US" w:eastAsia="zh-CN" w:bidi="ar"/>
                    </w:rPr>
                    <w:t>钾</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w:t>
                  </w:r>
                </w:p>
              </w:tc>
              <w:tc>
                <w:tcPr>
                  <w:tcW w:w="1376" w:type="pct"/>
                  <w:tcBorders>
                    <w:right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bCs/>
                      <w:color w:val="auto"/>
                      <w:kern w:val="2"/>
                      <w:sz w:val="21"/>
                      <w:szCs w:val="21"/>
                      <w:lang w:val="en-US" w:eastAsia="zh-CN" w:bidi="ar"/>
                    </w:rPr>
                    <w:t>钠</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200</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b/>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90"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bCs/>
                      <w:color w:val="auto"/>
                      <w:kern w:val="2"/>
                      <w:sz w:val="21"/>
                      <w:szCs w:val="21"/>
                      <w:lang w:val="en-US" w:eastAsia="zh-CN" w:bidi="ar"/>
                    </w:rPr>
                    <w:t>钙</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c>
                <w:tcPr>
                  <w:tcW w:w="1376" w:type="pct"/>
                  <w:tcBorders>
                    <w:right w:val="single" w:color="auto" w:sz="6" w:space="0"/>
                  </w:tcBorders>
                  <w:noWrap w:val="0"/>
                  <w:vAlign w:val="center"/>
                </w:tcPr>
                <w:p>
                  <w:pPr>
                    <w:widowControl/>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2"/>
                      <w:sz w:val="21"/>
                      <w:szCs w:val="21"/>
                      <w:lang w:val="en-US" w:eastAsia="zh-CN" w:bidi="ar"/>
                    </w:rPr>
                    <w:t>镁</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2"/>
                      <w:sz w:val="21"/>
                      <w:szCs w:val="21"/>
                      <w:lang w:val="en-US" w:eastAsia="zh-CN" w:bidi="ar"/>
                    </w:rPr>
                    <w:t>碳酸根</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2"/>
                      <w:sz w:val="21"/>
                      <w:szCs w:val="21"/>
                      <w:lang w:val="en-US" w:eastAsia="zh-CN" w:bidi="ar"/>
                    </w:rPr>
                    <w:t>碳酸氢根</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eastAsia" w:ascii="Times New Roman" w:hAnsi="Times New Roman" w:cs="Times New Roman"/>
                      <w:color w:val="auto"/>
                      <w:kern w:val="0"/>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color w:val="auto"/>
                      <w:kern w:val="2"/>
                      <w:sz w:val="21"/>
                      <w:szCs w:val="21"/>
                      <w:lang w:val="en-US" w:eastAsia="zh-CN" w:bidi="ar"/>
                    </w:rPr>
                    <w:t>硫酸盐</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250</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硝酸盐</w:t>
                  </w:r>
                </w:p>
              </w:tc>
              <w:tc>
                <w:tcPr>
                  <w:tcW w:w="965" w:type="pct"/>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20</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45" w:hRule="atLeast"/>
                <w:jc w:val="center"/>
              </w:trPr>
              <w:tc>
                <w:tcPr>
                  <w:tcW w:w="1477" w:type="pct"/>
                  <w:tcBorders>
                    <w:left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亚硝酸盐</w:t>
                  </w:r>
                </w:p>
              </w:tc>
              <w:tc>
                <w:tcPr>
                  <w:tcW w:w="965"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mg/L</w:t>
                  </w:r>
                </w:p>
              </w:tc>
              <w:tc>
                <w:tcPr>
                  <w:tcW w:w="1154" w:type="pct"/>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lang w:val="en-US"/>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1.00</w:t>
                  </w:r>
                </w:p>
              </w:tc>
              <w:tc>
                <w:tcPr>
                  <w:tcW w:w="1376" w:type="pct"/>
                  <w:tcBorders>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6"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氯化物</w:t>
                  </w:r>
                </w:p>
              </w:tc>
              <w:tc>
                <w:tcPr>
                  <w:tcW w:w="965" w:type="pct"/>
                  <w:tcBorders>
                    <w:bottom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yellow"/>
                    </w:rPr>
                  </w:pPr>
                  <w:r>
                    <w:rPr>
                      <w:rFonts w:hint="default" w:ascii="Times New Roman" w:hAnsi="Times New Roman" w:cs="Times New Roman"/>
                      <w:color w:val="auto"/>
                      <w:kern w:val="0"/>
                      <w:sz w:val="21"/>
                      <w:szCs w:val="21"/>
                      <w:highlight w:val="none"/>
                    </w:rPr>
                    <w:t>mg/L</w:t>
                  </w:r>
                </w:p>
              </w:tc>
              <w:tc>
                <w:tcPr>
                  <w:tcW w:w="1154" w:type="pct"/>
                  <w:tcBorders>
                    <w:bottom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yellow"/>
                      <w:lang w:val="en-US"/>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250</w:t>
                  </w:r>
                </w:p>
              </w:tc>
              <w:tc>
                <w:tcPr>
                  <w:tcW w:w="1376" w:type="pct"/>
                  <w:tcBorders>
                    <w:bottom w:val="single" w:color="auto" w:sz="6" w:space="0"/>
                    <w:right w:val="single" w:color="auto" w:sz="6" w:space="0"/>
                  </w:tcBorders>
                  <w:noWrap w:val="0"/>
                  <w:vAlign w:val="center"/>
                </w:tcPr>
                <w:p>
                  <w:pPr>
                    <w:adjustRightInd w:val="0"/>
                    <w:snapToGrid w:val="0"/>
                    <w:spacing w:line="288" w:lineRule="auto"/>
                    <w:jc w:val="center"/>
                    <w:rPr>
                      <w:rFonts w:hint="default" w:ascii="Times New Roman" w:hAnsi="Times New Roman" w:cs="Times New Roman"/>
                      <w:color w:val="auto"/>
                      <w:kern w:val="0"/>
                      <w:sz w:val="21"/>
                      <w:szCs w:val="21"/>
                      <w:highlight w:val="yellow"/>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01"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pH（无量纲）</w:t>
                  </w:r>
                </w:p>
              </w:tc>
              <w:tc>
                <w:tcPr>
                  <w:tcW w:w="965"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无量纲</w:t>
                  </w:r>
                </w:p>
              </w:tc>
              <w:tc>
                <w:tcPr>
                  <w:tcW w:w="1154"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6.5~8.5</w:t>
                  </w:r>
                </w:p>
              </w:tc>
              <w:tc>
                <w:tcPr>
                  <w:tcW w:w="1376" w:type="pct"/>
                  <w:tcBorders>
                    <w:bottom w:val="single" w:color="auto" w:sz="6" w:space="0"/>
                    <w:right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6"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2"/>
                      <w:sz w:val="21"/>
                      <w:szCs w:val="21"/>
                      <w:lang w:val="en-US" w:eastAsia="zh-CN" w:bidi="ar"/>
                    </w:rPr>
                    <w:t>氨氮</w:t>
                  </w:r>
                </w:p>
              </w:tc>
              <w:tc>
                <w:tcPr>
                  <w:tcW w:w="965"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rPr>
                    <w:t>mg/L</w:t>
                  </w:r>
                </w:p>
              </w:tc>
              <w:tc>
                <w:tcPr>
                  <w:tcW w:w="1154" w:type="pct"/>
                  <w:tcBorders>
                    <w:bottom w:val="single" w:color="auto" w:sz="6" w:space="0"/>
                  </w:tcBorders>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0.5</w:t>
                  </w:r>
                </w:p>
              </w:tc>
              <w:tc>
                <w:tcPr>
                  <w:tcW w:w="1376" w:type="pct"/>
                  <w:tcBorders>
                    <w:bottom w:val="single" w:color="auto" w:sz="6" w:space="0"/>
                    <w:right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6"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color w:val="auto"/>
                      <w:kern w:val="2"/>
                      <w:sz w:val="21"/>
                      <w:szCs w:val="21"/>
                      <w:lang w:val="en-US" w:eastAsia="zh-CN" w:bidi="ar"/>
                    </w:rPr>
                    <w:t>六价铬</w:t>
                  </w:r>
                </w:p>
              </w:tc>
              <w:tc>
                <w:tcPr>
                  <w:tcW w:w="965"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rPr>
                    <w:t>mg/L</w:t>
                  </w:r>
                </w:p>
              </w:tc>
              <w:tc>
                <w:tcPr>
                  <w:tcW w:w="1154"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0.05</w:t>
                  </w:r>
                </w:p>
              </w:tc>
              <w:tc>
                <w:tcPr>
                  <w:tcW w:w="1376" w:type="pct"/>
                  <w:tcBorders>
                    <w:bottom w:val="single" w:color="auto" w:sz="6" w:space="0"/>
                    <w:right w:val="single" w:color="auto" w:sz="6" w:space="0"/>
                  </w:tcBorders>
                  <w:noWrap w:val="0"/>
                  <w:vAlign w:val="center"/>
                </w:tcPr>
                <w:p>
                  <w:pPr>
                    <w:widowControl/>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6"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溶解性总固体</w:t>
                  </w:r>
                </w:p>
              </w:tc>
              <w:tc>
                <w:tcPr>
                  <w:tcW w:w="965"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mg/L</w:t>
                  </w:r>
                </w:p>
              </w:tc>
              <w:tc>
                <w:tcPr>
                  <w:tcW w:w="1154" w:type="pct"/>
                  <w:tcBorders>
                    <w:bottom w:val="single" w:color="auto" w:sz="6" w:space="0"/>
                  </w:tcBorders>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1000</w:t>
                  </w:r>
                </w:p>
              </w:tc>
              <w:tc>
                <w:tcPr>
                  <w:tcW w:w="1376" w:type="pct"/>
                  <w:tcBorders>
                    <w:bottom w:val="single" w:color="auto" w:sz="6" w:space="0"/>
                    <w:right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GB/T14848-2017表1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12" w:type="pct"/>
                <w:wAfter w:w="12" w:type="pct"/>
                <w:trHeight w:val="36" w:hRule="atLeast"/>
                <w:jc w:val="center"/>
              </w:trPr>
              <w:tc>
                <w:tcPr>
                  <w:tcW w:w="1477" w:type="pct"/>
                  <w:tcBorders>
                    <w:left w:val="single" w:color="auto" w:sz="6" w:space="0"/>
                    <w:bottom w:val="single" w:color="auto" w:sz="6"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kern w:val="0"/>
                      <w:sz w:val="21"/>
                      <w:szCs w:val="21"/>
                      <w:highlight w:val="yellow"/>
                      <w:lang w:val="en-US" w:eastAsia="zh-CN"/>
                    </w:rPr>
                  </w:pPr>
                  <w:r>
                    <w:rPr>
                      <w:rFonts w:hint="default" w:ascii="Times New Roman" w:hAnsi="Times New Roman" w:eastAsia="宋体" w:cs="Times New Roman"/>
                      <w:color w:val="auto"/>
                      <w:kern w:val="2"/>
                      <w:sz w:val="21"/>
                      <w:szCs w:val="21"/>
                      <w:lang w:val="en-US" w:eastAsia="zh-CN" w:bidi="ar"/>
                    </w:rPr>
                    <w:t>耗氧量（COD</w:t>
                  </w:r>
                  <w:r>
                    <w:rPr>
                      <w:rFonts w:hint="default" w:ascii="Times New Roman" w:hAnsi="Times New Roman" w:eastAsia="宋体" w:cs="Times New Roman"/>
                      <w:color w:val="auto"/>
                      <w:kern w:val="2"/>
                      <w:sz w:val="21"/>
                      <w:szCs w:val="21"/>
                      <w:vertAlign w:val="subscript"/>
                      <w:lang w:val="en-US" w:eastAsia="zh-CN" w:bidi="ar"/>
                    </w:rPr>
                    <w:t>Mn</w:t>
                  </w:r>
                  <w:r>
                    <w:rPr>
                      <w:rFonts w:hint="default" w:ascii="Times New Roman" w:hAnsi="Times New Roman" w:eastAsia="宋体" w:cs="Times New Roman"/>
                      <w:color w:val="auto"/>
                      <w:kern w:val="2"/>
                      <w:sz w:val="21"/>
                      <w:szCs w:val="21"/>
                      <w:lang w:val="en-US" w:eastAsia="zh-CN" w:bidi="ar"/>
                    </w:rPr>
                    <w:t>法，以O</w:t>
                  </w:r>
                  <w:r>
                    <w:rPr>
                      <w:rFonts w:hint="default" w:ascii="Times New Roman" w:hAnsi="Times New Roman" w:eastAsia="宋体" w:cs="Times New Roman"/>
                      <w:color w:val="auto"/>
                      <w:kern w:val="2"/>
                      <w:sz w:val="21"/>
                      <w:szCs w:val="21"/>
                      <w:vertAlign w:val="subscript"/>
                      <w:lang w:val="en-US" w:eastAsia="zh-CN" w:bidi="ar"/>
                    </w:rPr>
                    <w:t>2</w:t>
                  </w:r>
                  <w:r>
                    <w:rPr>
                      <w:rFonts w:hint="default" w:ascii="Times New Roman" w:hAnsi="Times New Roman" w:eastAsia="宋体" w:cs="Times New Roman"/>
                      <w:color w:val="auto"/>
                      <w:kern w:val="2"/>
                      <w:sz w:val="21"/>
                      <w:szCs w:val="21"/>
                      <w:lang w:val="en-US" w:eastAsia="zh-CN" w:bidi="ar"/>
                    </w:rPr>
                    <w:t>计）</w:t>
                  </w:r>
                </w:p>
              </w:tc>
              <w:tc>
                <w:tcPr>
                  <w:tcW w:w="965" w:type="pct"/>
                  <w:tcBorders>
                    <w:bottom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mg/L</w:t>
                  </w:r>
                </w:p>
              </w:tc>
              <w:tc>
                <w:tcPr>
                  <w:tcW w:w="1154" w:type="pct"/>
                  <w:tcBorders>
                    <w:bottom w:val="single" w:color="auto" w:sz="6" w:space="0"/>
                  </w:tcBorders>
                  <w:noWrap w:val="0"/>
                  <w:vAlign w:val="center"/>
                </w:tcPr>
                <w:p>
                  <w:pPr>
                    <w:adjustRightInd w:val="0"/>
                    <w:snapToGrid w:val="0"/>
                    <w:spacing w:line="288" w:lineRule="auto"/>
                    <w:jc w:val="center"/>
                    <w:rPr>
                      <w:rFonts w:hint="default" w:ascii="Times New Roman" w:hAnsi="Times New Roman" w:eastAsia="宋体"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w:t>
                  </w:r>
                  <w:r>
                    <w:rPr>
                      <w:rFonts w:hint="eastAsia" w:ascii="Times New Roman" w:hAnsi="Times New Roman" w:cs="Times New Roman"/>
                      <w:color w:val="auto"/>
                      <w:kern w:val="0"/>
                      <w:sz w:val="21"/>
                      <w:szCs w:val="21"/>
                      <w:highlight w:val="none"/>
                      <w:lang w:val="en-US" w:eastAsia="zh-CN"/>
                    </w:rPr>
                    <w:t>3.0</w:t>
                  </w:r>
                </w:p>
              </w:tc>
              <w:tc>
                <w:tcPr>
                  <w:tcW w:w="1376" w:type="pct"/>
                  <w:tcBorders>
                    <w:bottom w:val="single" w:color="auto" w:sz="6" w:space="0"/>
                    <w:right w:val="single" w:color="auto" w:sz="6" w:space="0"/>
                  </w:tcBorders>
                  <w:noWrap w:val="0"/>
                  <w:vAlign w:val="center"/>
                </w:tcPr>
                <w:p>
                  <w:pPr>
                    <w:adjustRightInd w:val="0"/>
                    <w:snapToGrid w:val="0"/>
                    <w:spacing w:line="288" w:lineRule="auto"/>
                    <w:jc w:val="center"/>
                    <w:rPr>
                      <w:rFonts w:hint="eastAsia" w:ascii="Times New Roman" w:hAnsi="Times New Roman" w:cs="Times New Roman"/>
                      <w:color w:val="auto"/>
                      <w:kern w:val="0"/>
                      <w:sz w:val="21"/>
                      <w:szCs w:val="21"/>
                      <w:highlight w:val="yellow"/>
                      <w:lang w:val="en-US" w:eastAsia="zh-CN"/>
                    </w:rPr>
                  </w:pPr>
                  <w:r>
                    <w:rPr>
                      <w:rFonts w:hint="default" w:ascii="Times New Roman" w:hAnsi="Times New Roman" w:cs="Times New Roman"/>
                      <w:color w:val="auto"/>
                      <w:kern w:val="0"/>
                      <w:sz w:val="21"/>
                      <w:szCs w:val="21"/>
                      <w:highlight w:val="none"/>
                    </w:rPr>
                    <w:t>GB/T14848-2017表1</w:t>
                  </w:r>
                </w:p>
              </w:tc>
            </w:tr>
          </w:tbl>
          <w:p>
            <w:pPr>
              <w:adjustRightInd w:val="0"/>
              <w:snapToGrid w:val="0"/>
              <w:spacing w:line="360" w:lineRule="auto"/>
              <w:jc w:val="center"/>
              <w:rPr>
                <w:rFonts w:hint="default" w:eastAsia="黑体"/>
                <w:bCs/>
                <w:color w:val="auto"/>
              </w:rPr>
            </w:pPr>
            <w:r>
              <w:rPr>
                <w:rFonts w:hint="default" w:eastAsia="黑体"/>
                <w:bCs/>
                <w:color w:val="auto"/>
              </w:rPr>
              <w:t>表</w:t>
            </w:r>
            <w:r>
              <w:rPr>
                <w:rFonts w:hint="eastAsia" w:eastAsia="黑体"/>
                <w:bCs/>
                <w:color w:val="auto"/>
                <w:lang w:val="en-US" w:eastAsia="zh-CN"/>
              </w:rPr>
              <w:t xml:space="preserve">3-13  </w:t>
            </w:r>
            <w:r>
              <w:rPr>
                <w:rFonts w:hint="eastAsia" w:eastAsia="黑体"/>
                <w:bCs/>
                <w:color w:val="auto"/>
                <w:lang w:eastAsia="zh-CN"/>
              </w:rPr>
              <w:t>水位检测结果</w:t>
            </w:r>
          </w:p>
          <w:tbl>
            <w:tblPr>
              <w:tblStyle w:val="2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4"/>
              <w:gridCol w:w="3395"/>
              <w:gridCol w:w="3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检测类别</w:t>
                  </w: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名称</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水位高程（m）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地下水</w:t>
                  </w: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1#：项目东南侧1000m处地下水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4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2#：项目东南侧900m处地下水</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597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3#：项目东南侧700m处地下水</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4#：项目东南侧200m处地下水</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5#：项目东西侧1000m处地下水</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p>
              </w:tc>
              <w:tc>
                <w:tcPr>
                  <w:tcW w:w="187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6#：项目东南侧1200m处地下水</w:t>
                  </w:r>
                </w:p>
              </w:tc>
              <w:tc>
                <w:tcPr>
                  <w:tcW w:w="166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ascii="Times New Roman" w:hAnsi="Times New Roman" w:eastAsia="宋体" w:cs="Times New Roman"/>
                      <w:bCs/>
                      <w:color w:val="auto"/>
                      <w:kern w:val="2"/>
                      <w:sz w:val="21"/>
                      <w:szCs w:val="21"/>
                      <w:lang w:val="en-US" w:eastAsia="zh-CN" w:bidi="ar"/>
                    </w:rPr>
                    <w:t>583</w:t>
                  </w:r>
                </w:p>
              </w:tc>
            </w:tr>
          </w:tbl>
          <w:p>
            <w:pPr>
              <w:pStyle w:val="3"/>
              <w:snapToGrid w:val="0"/>
              <w:spacing w:after="0" w:line="360" w:lineRule="auto"/>
              <w:ind w:left="0" w:leftChars="0" w:firstLine="482" w:firstLineChars="200"/>
              <w:rPr>
                <w:rFonts w:hint="default" w:ascii="Times New Roman" w:hAnsi="Times New Roman" w:cs="Times New Roman"/>
                <w:b/>
                <w:bCs/>
                <w:color w:val="auto"/>
                <w:sz w:val="24"/>
              </w:rPr>
            </w:pPr>
            <w:r>
              <w:rPr>
                <w:rFonts w:hint="eastAsia" w:ascii="Times New Roman" w:hAnsi="Times New Roman" w:cs="Times New Roman"/>
                <w:b/>
                <w:bCs/>
                <w:color w:val="auto"/>
                <w:sz w:val="24"/>
                <w:lang w:val="en-US" w:eastAsia="zh-CN"/>
              </w:rPr>
              <w:t>6.</w:t>
            </w:r>
            <w:r>
              <w:rPr>
                <w:rFonts w:hint="default" w:ascii="Times New Roman" w:hAnsi="Times New Roman" w:cs="Times New Roman"/>
                <w:b/>
                <w:bCs/>
                <w:color w:val="auto"/>
                <w:sz w:val="24"/>
              </w:rPr>
              <w:t>评价方法</w:t>
            </w:r>
          </w:p>
          <w:p>
            <w:pPr>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rPr>
              <w:t>为了能直观反映水质现状，科学的评判水体中污染物是否超标，评价采用</w:t>
            </w:r>
            <w:r>
              <w:rPr>
                <w:rFonts w:hint="eastAsia" w:ascii="Times New Roman" w:hAnsi="Times New Roman" w:cs="Times New Roman"/>
                <w:color w:val="auto"/>
                <w:sz w:val="24"/>
                <w:lang w:val="en-US" w:eastAsia="zh-CN"/>
              </w:rPr>
              <w:t>标准指数法</w:t>
            </w:r>
            <w:r>
              <w:rPr>
                <w:rFonts w:hint="default" w:ascii="Times New Roman" w:hAnsi="Times New Roman" w:cs="Times New Roman"/>
                <w:color w:val="auto"/>
                <w:sz w:val="24"/>
              </w:rPr>
              <w:t xml:space="preserve">。 </w:t>
            </w:r>
            <w:r>
              <w:rPr>
                <w:rFonts w:hint="eastAsia" w:ascii="Times New Roman" w:hAnsi="Times New Roman" w:cs="Times New Roman"/>
                <w:color w:val="auto"/>
                <w:sz w:val="24"/>
                <w:lang w:val="en-US" w:eastAsia="zh-CN"/>
              </w:rPr>
              <w:t>标准指数法</w:t>
            </w:r>
            <w:r>
              <w:rPr>
                <w:rFonts w:hint="default" w:ascii="Times New Roman" w:hAnsi="Times New Roman" w:cs="Times New Roman"/>
                <w:color w:val="auto"/>
                <w:sz w:val="24"/>
              </w:rPr>
              <w:t>数学模式如下：</w:t>
            </w:r>
            <w:r>
              <w:rPr>
                <w:rFonts w:hint="default" w:ascii="Times New Roman" w:hAnsi="Times New Roman" w:cs="Times New Roman"/>
                <w:color w:val="auto"/>
                <w:sz w:val="24"/>
                <w:highlight w:val="none"/>
              </w:rPr>
              <w:t xml:space="preserve"> </w:t>
            </w:r>
          </w:p>
          <w:p>
            <w:pPr>
              <w:snapToGrid w:val="0"/>
              <w:spacing w:line="360" w:lineRule="auto"/>
              <w:ind w:firstLine="480" w:firstLineChars="200"/>
              <w:rPr>
                <w:rFonts w:hint="default" w:ascii="Times New Roman" w:hAnsi="Times New Roman" w:cs="Times New Roman"/>
                <w:snapToGrid w:val="0"/>
                <w:color w:val="auto"/>
                <w:sz w:val="24"/>
              </w:rPr>
            </w:pPr>
            <w:r>
              <w:rPr>
                <w:rFonts w:hint="default" w:ascii="Times New Roman" w:hAnsi="Times New Roman" w:cs="Times New Roman"/>
                <w:color w:val="auto"/>
                <w:sz w:val="24"/>
              </w:rPr>
              <w:t>① 对于</w:t>
            </w:r>
            <w:r>
              <w:rPr>
                <w:rFonts w:hint="eastAsia" w:ascii="Times New Roman" w:hAnsi="Times New Roman" w:cs="Times New Roman"/>
                <w:color w:val="auto"/>
                <w:sz w:val="24"/>
                <w:lang w:val="en-US" w:eastAsia="zh-CN"/>
              </w:rPr>
              <w:t>评价标准为定值的水质因子，其标准指数计算方法见下公式</w:t>
            </w:r>
            <w:r>
              <w:rPr>
                <w:rFonts w:hint="default" w:ascii="Times New Roman" w:hAnsi="Times New Roman" w:cs="Times New Roman"/>
                <w:color w:val="auto"/>
                <w:sz w:val="24"/>
              </w:rPr>
              <w:t>：</w:t>
            </w:r>
          </w:p>
          <w:p>
            <w:pPr>
              <w:snapToGrid w:val="0"/>
              <w:spacing w:line="360" w:lineRule="auto"/>
              <w:ind w:firstLine="1920" w:firstLineChars="800"/>
              <w:rPr>
                <w:rFonts w:hint="default" w:ascii="Times New Roman" w:hAnsi="Times New Roman" w:cs="Times New Roman"/>
                <w:snapToGrid w:val="0"/>
                <w:color w:val="auto"/>
                <w:sz w:val="24"/>
              </w:rPr>
            </w:pPr>
            <w:r>
              <w:rPr>
                <w:rFonts w:hint="default" w:ascii="Times New Roman" w:hAnsi="Times New Roman" w:cs="Times New Roman"/>
                <w:snapToGrid w:val="0"/>
                <w:color w:val="auto"/>
                <w:position w:val="-30"/>
                <w:sz w:val="24"/>
              </w:rPr>
              <w:object>
                <v:shape id="_x0000_i1054" o:spt="75" type="#_x0000_t75" style="height:30.5pt;width:37.65pt;" o:ole="t" filled="f" o:preferrelative="t" stroked="f" coordsize="21600,21600">
                  <v:path/>
                  <v:fill on="f" focussize="0,0"/>
                  <v:stroke on="f"/>
                  <v:imagedata r:id="rId23" o:title=""/>
                  <o:lock v:ext="edit" aspectratio="t"/>
                  <w10:wrap type="none"/>
                  <w10:anchorlock/>
                </v:shape>
                <o:OLEObject Type="Embed" ProgID="Equation.3" ShapeID="_x0000_i1054" DrawAspect="Content" ObjectID="_1468075730" r:id="rId22">
                  <o:LockedField>false</o:LockedField>
                </o:OLEObject>
              </w:object>
            </w:r>
          </w:p>
          <w:p>
            <w:pPr>
              <w:snapToGrid w:val="0"/>
              <w:spacing w:line="360" w:lineRule="auto"/>
              <w:ind w:firstLine="480" w:firstLineChars="2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式中：</w:t>
            </w:r>
            <w:r>
              <w:rPr>
                <w:rFonts w:hint="eastAsia" w:ascii="Times New Roman" w:hAnsi="Times New Roman" w:cs="Times New Roman"/>
                <w:snapToGrid w:val="0"/>
                <w:color w:val="auto"/>
                <w:sz w:val="24"/>
                <w:lang w:val="en-US" w:eastAsia="zh-CN"/>
              </w:rPr>
              <w:t>P</w:t>
            </w:r>
            <w:r>
              <w:rPr>
                <w:rFonts w:hint="default" w:ascii="Times New Roman" w:hAnsi="Times New Roman" w:cs="Times New Roman"/>
                <w:snapToGrid w:val="0"/>
                <w:color w:val="auto"/>
                <w:sz w:val="24"/>
                <w:vertAlign w:val="subscript"/>
              </w:rPr>
              <w:t>ij</w:t>
            </w:r>
            <w:r>
              <w:rPr>
                <w:rFonts w:hint="default" w:ascii="Times New Roman" w:hAnsi="Times New Roman" w:cs="Times New Roman"/>
                <w:snapToGrid w:val="0"/>
                <w:color w:val="auto"/>
                <w:sz w:val="24"/>
              </w:rPr>
              <w:t>——</w:t>
            </w:r>
            <w:r>
              <w:rPr>
                <w:rFonts w:hint="eastAsia" w:ascii="Times New Roman" w:hAnsi="Times New Roman" w:cs="Times New Roman"/>
                <w:snapToGrid w:val="0"/>
                <w:color w:val="auto"/>
                <w:sz w:val="24"/>
                <w:lang w:val="en-US" w:eastAsia="zh-CN"/>
              </w:rPr>
              <w:t>第</w:t>
            </w:r>
            <w:r>
              <w:rPr>
                <w:rFonts w:hint="default" w:ascii="Times New Roman" w:hAnsi="Times New Roman" w:cs="Times New Roman"/>
                <w:snapToGrid w:val="0"/>
                <w:color w:val="auto"/>
                <w:sz w:val="24"/>
              </w:rPr>
              <w:t>i</w:t>
            </w:r>
            <w:r>
              <w:rPr>
                <w:rFonts w:hint="eastAsia" w:ascii="Times New Roman" w:hAnsi="Times New Roman" w:cs="Times New Roman"/>
                <w:snapToGrid w:val="0"/>
                <w:color w:val="auto"/>
                <w:sz w:val="24"/>
                <w:lang w:val="en-US" w:eastAsia="zh-CN"/>
              </w:rPr>
              <w:t>个水质因子</w:t>
            </w:r>
            <w:r>
              <w:rPr>
                <w:rFonts w:hint="default" w:ascii="Times New Roman" w:hAnsi="Times New Roman" w:cs="Times New Roman"/>
                <w:snapToGrid w:val="0"/>
                <w:color w:val="auto"/>
                <w:sz w:val="24"/>
              </w:rPr>
              <w:t>的标准指数</w:t>
            </w:r>
            <w:r>
              <w:rPr>
                <w:rFonts w:hint="eastAsia" w:ascii="Times New Roman" w:hAnsi="Times New Roman" w:cs="Times New Roman"/>
                <w:snapToGrid w:val="0"/>
                <w:color w:val="auto"/>
                <w:sz w:val="24"/>
                <w:lang w:eastAsia="zh-CN"/>
              </w:rPr>
              <w:t>，</w:t>
            </w:r>
            <w:r>
              <w:rPr>
                <w:rFonts w:hint="eastAsia" w:ascii="Times New Roman" w:hAnsi="Times New Roman" w:cs="Times New Roman"/>
                <w:snapToGrid w:val="0"/>
                <w:color w:val="auto"/>
                <w:sz w:val="24"/>
                <w:lang w:val="en-US" w:eastAsia="zh-CN"/>
              </w:rPr>
              <w:t>无量纲</w:t>
            </w:r>
            <w:r>
              <w:rPr>
                <w:rFonts w:hint="default" w:ascii="Times New Roman" w:hAnsi="Times New Roman" w:cs="Times New Roman"/>
                <w:snapToGrid w:val="0"/>
                <w:color w:val="auto"/>
                <w:sz w:val="24"/>
              </w:rPr>
              <w:t>；</w:t>
            </w:r>
          </w:p>
          <w:p>
            <w:pPr>
              <w:snapToGrid w:val="0"/>
              <w:spacing w:line="360" w:lineRule="auto"/>
              <w:ind w:firstLine="1200" w:firstLineChars="5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C</w:t>
            </w:r>
            <w:r>
              <w:rPr>
                <w:rFonts w:hint="default" w:ascii="Times New Roman" w:hAnsi="Times New Roman" w:cs="Times New Roman"/>
                <w:snapToGrid w:val="0"/>
                <w:color w:val="auto"/>
                <w:sz w:val="24"/>
                <w:vertAlign w:val="subscript"/>
              </w:rPr>
              <w:t>i</w:t>
            </w:r>
            <w:r>
              <w:rPr>
                <w:rFonts w:hint="default" w:ascii="Times New Roman" w:hAnsi="Times New Roman" w:cs="Times New Roman"/>
                <w:snapToGrid w:val="0"/>
                <w:color w:val="auto"/>
                <w:sz w:val="24"/>
              </w:rPr>
              <w:t>——</w:t>
            </w:r>
            <w:r>
              <w:rPr>
                <w:rFonts w:hint="eastAsia" w:ascii="Times New Roman" w:hAnsi="Times New Roman" w:cs="Times New Roman"/>
                <w:snapToGrid w:val="0"/>
                <w:color w:val="auto"/>
                <w:sz w:val="24"/>
                <w:lang w:val="en-US" w:eastAsia="zh-CN"/>
              </w:rPr>
              <w:t>第</w:t>
            </w:r>
            <w:r>
              <w:rPr>
                <w:rFonts w:hint="default" w:ascii="Times New Roman" w:hAnsi="Times New Roman" w:cs="Times New Roman"/>
                <w:snapToGrid w:val="0"/>
                <w:color w:val="auto"/>
                <w:sz w:val="24"/>
              </w:rPr>
              <w:t>i</w:t>
            </w:r>
            <w:r>
              <w:rPr>
                <w:rFonts w:hint="eastAsia" w:ascii="Times New Roman" w:hAnsi="Times New Roman" w:cs="Times New Roman"/>
                <w:snapToGrid w:val="0"/>
                <w:color w:val="auto"/>
                <w:sz w:val="24"/>
                <w:lang w:val="en-US" w:eastAsia="zh-CN"/>
              </w:rPr>
              <w:t>个水质因子</w:t>
            </w:r>
            <w:r>
              <w:rPr>
                <w:rFonts w:hint="default" w:ascii="Times New Roman" w:hAnsi="Times New Roman" w:cs="Times New Roman"/>
                <w:snapToGrid w:val="0"/>
                <w:color w:val="auto"/>
                <w:sz w:val="24"/>
              </w:rPr>
              <w:t>的</w:t>
            </w:r>
            <w:r>
              <w:rPr>
                <w:rFonts w:hint="eastAsia" w:ascii="Times New Roman" w:hAnsi="Times New Roman" w:cs="Times New Roman"/>
                <w:snapToGrid w:val="0"/>
                <w:color w:val="auto"/>
                <w:sz w:val="24"/>
                <w:lang w:val="en-US" w:eastAsia="zh-CN"/>
              </w:rPr>
              <w:t>监测浓度值</w:t>
            </w:r>
            <w:r>
              <w:rPr>
                <w:rFonts w:hint="default" w:ascii="Times New Roman" w:hAnsi="Times New Roman" w:cs="Times New Roman"/>
                <w:snapToGrid w:val="0"/>
                <w:color w:val="auto"/>
                <w:sz w:val="24"/>
              </w:rPr>
              <w:t>，mg/L；</w:t>
            </w:r>
          </w:p>
          <w:p>
            <w:pPr>
              <w:snapToGrid w:val="0"/>
              <w:spacing w:line="360" w:lineRule="auto"/>
              <w:ind w:firstLine="1200" w:firstLineChars="5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C</w:t>
            </w:r>
            <w:r>
              <w:rPr>
                <w:rFonts w:hint="default" w:ascii="Times New Roman" w:hAnsi="Times New Roman" w:cs="Times New Roman"/>
                <w:snapToGrid w:val="0"/>
                <w:color w:val="auto"/>
                <w:sz w:val="24"/>
                <w:vertAlign w:val="subscript"/>
              </w:rPr>
              <w:t>si</w:t>
            </w:r>
            <w:r>
              <w:rPr>
                <w:rFonts w:hint="default" w:ascii="Times New Roman" w:hAnsi="Times New Roman" w:cs="Times New Roman"/>
                <w:snapToGrid w:val="0"/>
                <w:color w:val="auto"/>
                <w:sz w:val="24"/>
              </w:rPr>
              <w:t>——</w:t>
            </w:r>
            <w:r>
              <w:rPr>
                <w:rFonts w:hint="eastAsia" w:ascii="Times New Roman" w:hAnsi="Times New Roman" w:cs="Times New Roman"/>
                <w:snapToGrid w:val="0"/>
                <w:color w:val="auto"/>
                <w:sz w:val="24"/>
                <w:lang w:val="en-US" w:eastAsia="zh-CN"/>
              </w:rPr>
              <w:t>第</w:t>
            </w:r>
            <w:r>
              <w:rPr>
                <w:rFonts w:hint="default" w:ascii="Times New Roman" w:hAnsi="Times New Roman" w:cs="Times New Roman"/>
                <w:snapToGrid w:val="0"/>
                <w:color w:val="auto"/>
                <w:sz w:val="24"/>
              </w:rPr>
              <w:t>i</w:t>
            </w:r>
            <w:r>
              <w:rPr>
                <w:rFonts w:hint="eastAsia" w:ascii="Times New Roman" w:hAnsi="Times New Roman" w:cs="Times New Roman"/>
                <w:snapToGrid w:val="0"/>
                <w:color w:val="auto"/>
                <w:sz w:val="24"/>
                <w:lang w:val="en-US" w:eastAsia="zh-CN"/>
              </w:rPr>
              <w:t>个水质因子</w:t>
            </w:r>
            <w:r>
              <w:rPr>
                <w:rFonts w:hint="default" w:ascii="Times New Roman" w:hAnsi="Times New Roman" w:cs="Times New Roman"/>
                <w:snapToGrid w:val="0"/>
                <w:color w:val="auto"/>
                <w:sz w:val="24"/>
              </w:rPr>
              <w:t>的</w:t>
            </w:r>
            <w:r>
              <w:rPr>
                <w:rFonts w:hint="eastAsia" w:ascii="Times New Roman" w:hAnsi="Times New Roman" w:cs="Times New Roman"/>
                <w:snapToGrid w:val="0"/>
                <w:color w:val="auto"/>
                <w:sz w:val="24"/>
                <w:lang w:val="en-US" w:eastAsia="zh-CN"/>
              </w:rPr>
              <w:t>标准浓度值</w:t>
            </w:r>
            <w:r>
              <w:rPr>
                <w:rFonts w:hint="default" w:ascii="Times New Roman" w:hAnsi="Times New Roman" w:cs="Times New Roman"/>
                <w:snapToGrid w:val="0"/>
                <w:color w:val="auto"/>
                <w:sz w:val="24"/>
              </w:rPr>
              <w:t>，mg/L；</w:t>
            </w:r>
          </w:p>
          <w:p>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 xml:space="preserve">② </w:t>
            </w:r>
            <w:r>
              <w:rPr>
                <w:rFonts w:hint="eastAsia" w:ascii="Times New Roman" w:hAnsi="Times New Roman" w:cs="Times New Roman"/>
                <w:color w:val="auto"/>
                <w:sz w:val="24"/>
                <w:lang w:val="en-US" w:eastAsia="zh-CN"/>
              </w:rPr>
              <w:t>对于评价标准为区间值的水质因子（如</w:t>
            </w:r>
            <w:r>
              <w:rPr>
                <w:rFonts w:hint="default" w:ascii="Times New Roman" w:hAnsi="Times New Roman" w:cs="Times New Roman"/>
                <w:color w:val="auto"/>
                <w:sz w:val="24"/>
              </w:rPr>
              <w:t>pH</w:t>
            </w:r>
            <w:r>
              <w:rPr>
                <w:rFonts w:hint="eastAsia" w:ascii="Times New Roman" w:hAnsi="Times New Roman" w:cs="Times New Roman"/>
                <w:color w:val="auto"/>
                <w:sz w:val="24"/>
                <w:lang w:val="en-US" w:eastAsia="zh-CN"/>
              </w:rPr>
              <w:t>值）</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其标准指数计算方法</w:t>
            </w:r>
            <w:r>
              <w:rPr>
                <w:rFonts w:hint="default" w:ascii="Times New Roman" w:hAnsi="Times New Roman" w:cs="Times New Roman"/>
                <w:color w:val="auto"/>
                <w:sz w:val="24"/>
              </w:rPr>
              <w:t>为：</w:t>
            </w:r>
          </w:p>
          <w:p>
            <w:pPr>
              <w:snapToGrid w:val="0"/>
              <w:spacing w:line="360" w:lineRule="auto"/>
              <w:ind w:firstLine="1920" w:firstLineChars="800"/>
              <w:rPr>
                <w:rFonts w:hint="eastAsia" w:ascii="Times New Roman" w:hAnsi="Times New Roman" w:eastAsia="宋体" w:cs="Times New Roman"/>
                <w:snapToGrid w:val="0"/>
                <w:color w:val="auto"/>
                <w:sz w:val="24"/>
                <w:lang w:val="en-US" w:eastAsia="zh-CN"/>
              </w:rPr>
            </w:pPr>
            <w:r>
              <w:rPr>
                <w:rFonts w:hint="default" w:ascii="Times New Roman" w:hAnsi="Times New Roman" w:cs="Times New Roman"/>
                <w:snapToGrid w:val="0"/>
                <w:color w:val="auto"/>
                <w:position w:val="-30"/>
                <w:sz w:val="24"/>
              </w:rPr>
              <w:object>
                <v:shape id="_x0000_i1057" o:spt="75" type="#_x0000_t75" style="height:33.75pt;width:72.3pt;" o:ole="t" filled="f" o:preferrelative="t" stroked="f" coordsize="21600,21600">
                  <v:path/>
                  <v:fill on="f" focussize="0,0"/>
                  <v:stroke on="f"/>
                  <v:imagedata r:id="rId25" o:title=""/>
                  <o:lock v:ext="edit" aspectratio="t"/>
                  <w10:wrap type="none"/>
                  <w10:anchorlock/>
                </v:shape>
                <o:OLEObject Type="Embed" ProgID="Equation.3" ShapeID="_x0000_i1057" DrawAspect="Content" ObjectID="_1468075731" r:id="rId24">
                  <o:LockedField>false</o:LockedField>
                </o:OLEObject>
              </w:object>
            </w:r>
            <w:r>
              <w:rPr>
                <w:rFonts w:hint="default" w:ascii="Times New Roman" w:hAnsi="Times New Roman" w:cs="Times New Roman"/>
                <w:snapToGrid w:val="0"/>
                <w:color w:val="auto"/>
                <w:sz w:val="24"/>
              </w:rPr>
              <w:t xml:space="preserve">       pH</w:t>
            </w:r>
            <w:r>
              <w:rPr>
                <w:rFonts w:hint="default" w:ascii="Times New Roman" w:hAnsi="Times New Roman" w:cs="Times New Roman"/>
                <w:snapToGrid w:val="0"/>
                <w:color w:val="auto"/>
                <w:sz w:val="24"/>
                <w:vertAlign w:val="subscript"/>
              </w:rPr>
              <w:t>j</w:t>
            </w:r>
            <w:r>
              <w:rPr>
                <w:rFonts w:hint="default" w:ascii="Times New Roman" w:hAnsi="Times New Roman" w:cs="Times New Roman"/>
                <w:snapToGrid w:val="0"/>
                <w:color w:val="auto"/>
                <w:sz w:val="24"/>
              </w:rPr>
              <w:t>≤7.0</w:t>
            </w:r>
            <w:r>
              <w:rPr>
                <w:rFonts w:hint="eastAsia" w:ascii="Times New Roman" w:hAnsi="Times New Roman" w:cs="Times New Roman"/>
                <w:snapToGrid w:val="0"/>
                <w:color w:val="auto"/>
                <w:sz w:val="24"/>
                <w:lang w:val="en-US" w:eastAsia="zh-CN"/>
              </w:rPr>
              <w:t>时</w:t>
            </w:r>
          </w:p>
          <w:p>
            <w:pPr>
              <w:snapToGrid w:val="0"/>
              <w:spacing w:line="360" w:lineRule="auto"/>
              <w:ind w:firstLine="1920" w:firstLineChars="800"/>
              <w:rPr>
                <w:rFonts w:hint="eastAsia" w:ascii="Times New Roman" w:hAnsi="Times New Roman" w:eastAsia="宋体" w:cs="Times New Roman"/>
                <w:snapToGrid w:val="0"/>
                <w:color w:val="auto"/>
                <w:sz w:val="24"/>
                <w:lang w:val="en-US" w:eastAsia="zh-CN"/>
              </w:rPr>
            </w:pPr>
            <w:r>
              <w:rPr>
                <w:rFonts w:hint="default" w:ascii="Times New Roman" w:hAnsi="Times New Roman" w:cs="Times New Roman"/>
                <w:snapToGrid w:val="0"/>
                <w:color w:val="auto"/>
                <w:position w:val="-30"/>
                <w:sz w:val="24"/>
              </w:rPr>
              <w:object>
                <v:shape id="_x0000_i1056" o:spt="75" type="#_x0000_t75" style="height:31.9pt;width:72.3pt;" o:ole="t" filled="f" o:preferrelative="t" stroked="f" coordsize="21600,21600">
                  <v:path/>
                  <v:fill on="f" focussize="0,0"/>
                  <v:stroke on="f"/>
                  <v:imagedata r:id="rId27" o:title=""/>
                  <o:lock v:ext="edit" aspectratio="t"/>
                  <w10:wrap type="none"/>
                  <w10:anchorlock/>
                </v:shape>
                <o:OLEObject Type="Embed" ProgID="Equation.3" ShapeID="_x0000_i1056" DrawAspect="Content" ObjectID="_1468075732" r:id="rId26">
                  <o:LockedField>false</o:LockedField>
                </o:OLEObject>
              </w:object>
            </w:r>
            <w:r>
              <w:rPr>
                <w:rFonts w:hint="default" w:ascii="Times New Roman" w:hAnsi="Times New Roman" w:cs="Times New Roman"/>
                <w:snapToGrid w:val="0"/>
                <w:color w:val="auto"/>
                <w:sz w:val="24"/>
              </w:rPr>
              <w:t xml:space="preserve">       pH</w:t>
            </w:r>
            <w:r>
              <w:rPr>
                <w:rFonts w:hint="default" w:ascii="Times New Roman" w:hAnsi="Times New Roman" w:cs="Times New Roman"/>
                <w:snapToGrid w:val="0"/>
                <w:color w:val="auto"/>
                <w:sz w:val="24"/>
                <w:vertAlign w:val="subscript"/>
              </w:rPr>
              <w:t>j</w:t>
            </w:r>
            <w:r>
              <w:rPr>
                <w:rFonts w:hint="default" w:ascii="Times New Roman" w:hAnsi="Times New Roman" w:cs="Times New Roman"/>
                <w:snapToGrid w:val="0"/>
                <w:color w:val="auto"/>
                <w:sz w:val="24"/>
              </w:rPr>
              <w:t>≥7.0</w:t>
            </w:r>
            <w:r>
              <w:rPr>
                <w:rFonts w:hint="eastAsia" w:ascii="Times New Roman" w:hAnsi="Times New Roman" w:cs="Times New Roman"/>
                <w:snapToGrid w:val="0"/>
                <w:color w:val="auto"/>
                <w:sz w:val="24"/>
                <w:lang w:val="en-US" w:eastAsia="zh-CN"/>
              </w:rPr>
              <w:t>时</w:t>
            </w:r>
          </w:p>
          <w:p>
            <w:pPr>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rPr>
              <w:t>式中：</w:t>
            </w:r>
            <w:r>
              <w:rPr>
                <w:rFonts w:hint="eastAsia" w:ascii="Times New Roman" w:hAnsi="Times New Roman" w:cs="Times New Roman"/>
                <w:color w:val="auto"/>
                <w:sz w:val="24"/>
                <w:lang w:val="en-US" w:eastAsia="zh-CN"/>
              </w:rPr>
              <w:t>P</w:t>
            </w:r>
            <w:r>
              <w:rPr>
                <w:rFonts w:hint="eastAsia" w:ascii="Times New Roman" w:hAnsi="Times New Roman" w:cs="Times New Roman"/>
                <w:color w:val="auto"/>
                <w:sz w:val="24"/>
                <w:vertAlign w:val="subscript"/>
                <w:lang w:val="en-US" w:eastAsia="zh-CN"/>
              </w:rPr>
              <w:t>pH</w:t>
            </w:r>
            <w:r>
              <w:rPr>
                <w:rFonts w:hint="default" w:ascii="Times New Roman" w:hAnsi="Times New Roman" w:cs="Times New Roman"/>
                <w:snapToGrid w:val="0"/>
                <w:color w:val="auto"/>
                <w:sz w:val="24"/>
              </w:rPr>
              <w:t>——pH</w:t>
            </w:r>
            <w:r>
              <w:rPr>
                <w:rFonts w:hint="eastAsia" w:ascii="Times New Roman" w:hAnsi="Times New Roman" w:cs="Times New Roman"/>
                <w:snapToGrid w:val="0"/>
                <w:color w:val="auto"/>
                <w:sz w:val="24"/>
                <w:lang w:val="en-US" w:eastAsia="zh-CN"/>
              </w:rPr>
              <w:t>的标准指数，无量纲；</w:t>
            </w:r>
          </w:p>
          <w:p>
            <w:pPr>
              <w:adjustRightInd w:val="0"/>
              <w:snapToGrid w:val="0"/>
              <w:spacing w:line="360" w:lineRule="auto"/>
              <w:ind w:firstLine="1200" w:firstLineChars="5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pH</w:t>
            </w:r>
            <w:r>
              <w:rPr>
                <w:rFonts w:hint="default" w:ascii="Times New Roman" w:hAnsi="Times New Roman" w:cs="Times New Roman"/>
                <w:snapToGrid w:val="0"/>
                <w:color w:val="auto"/>
                <w:sz w:val="24"/>
                <w:vertAlign w:val="subscript"/>
              </w:rPr>
              <w:t xml:space="preserve"> </w:t>
            </w:r>
            <w:r>
              <w:rPr>
                <w:rFonts w:hint="default" w:ascii="Times New Roman" w:hAnsi="Times New Roman" w:cs="Times New Roman"/>
                <w:snapToGrid w:val="0"/>
                <w:color w:val="auto"/>
                <w:sz w:val="24"/>
              </w:rPr>
              <w:t>——pH</w:t>
            </w:r>
            <w:r>
              <w:rPr>
                <w:rFonts w:hint="eastAsia" w:ascii="Times New Roman" w:hAnsi="Times New Roman" w:cs="Times New Roman"/>
                <w:snapToGrid w:val="0"/>
                <w:color w:val="auto"/>
                <w:sz w:val="24"/>
                <w:lang w:val="en-US" w:eastAsia="zh-CN"/>
              </w:rPr>
              <w:t>监测</w:t>
            </w:r>
            <w:r>
              <w:rPr>
                <w:rFonts w:hint="default" w:ascii="Times New Roman" w:hAnsi="Times New Roman" w:cs="Times New Roman"/>
                <w:snapToGrid w:val="0"/>
                <w:color w:val="auto"/>
                <w:sz w:val="24"/>
              </w:rPr>
              <w:t>值；</w:t>
            </w:r>
          </w:p>
          <w:p>
            <w:pPr>
              <w:snapToGrid w:val="0"/>
              <w:spacing w:line="360" w:lineRule="auto"/>
              <w:ind w:firstLine="1200" w:firstLineChars="5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pH</w:t>
            </w:r>
            <w:r>
              <w:rPr>
                <w:rFonts w:hint="default" w:ascii="Times New Roman" w:hAnsi="Times New Roman" w:cs="Times New Roman"/>
                <w:snapToGrid w:val="0"/>
                <w:color w:val="auto"/>
                <w:sz w:val="24"/>
                <w:vertAlign w:val="subscript"/>
              </w:rPr>
              <w:t>sd</w:t>
            </w:r>
            <w:r>
              <w:rPr>
                <w:rFonts w:hint="default" w:ascii="Times New Roman" w:hAnsi="Times New Roman" w:cs="Times New Roman"/>
                <w:snapToGrid w:val="0"/>
                <w:color w:val="auto"/>
                <w:sz w:val="24"/>
              </w:rPr>
              <w:t>——标准</w:t>
            </w:r>
            <w:r>
              <w:rPr>
                <w:rFonts w:hint="eastAsia" w:ascii="Times New Roman" w:hAnsi="Times New Roman" w:cs="Times New Roman"/>
                <w:snapToGrid w:val="0"/>
                <w:color w:val="auto"/>
                <w:sz w:val="24"/>
                <w:lang w:val="en-US" w:eastAsia="zh-CN"/>
              </w:rPr>
              <w:t>中</w:t>
            </w:r>
            <w:r>
              <w:rPr>
                <w:rFonts w:hint="default" w:ascii="Times New Roman" w:hAnsi="Times New Roman" w:cs="Times New Roman"/>
                <w:snapToGrid w:val="0"/>
                <w:color w:val="auto"/>
                <w:sz w:val="24"/>
              </w:rPr>
              <w:t>pH的下限值；</w:t>
            </w:r>
          </w:p>
          <w:p>
            <w:pPr>
              <w:snapToGrid w:val="0"/>
              <w:spacing w:line="360" w:lineRule="auto"/>
              <w:ind w:firstLine="1200" w:firstLineChars="500"/>
              <w:rPr>
                <w:rFonts w:hint="default" w:ascii="Times New Roman" w:hAnsi="Times New Roman" w:cs="Times New Roman"/>
                <w:snapToGrid w:val="0"/>
                <w:color w:val="auto"/>
                <w:sz w:val="24"/>
              </w:rPr>
            </w:pPr>
            <w:r>
              <w:rPr>
                <w:rFonts w:hint="default" w:ascii="Times New Roman" w:hAnsi="Times New Roman" w:cs="Times New Roman"/>
                <w:snapToGrid w:val="0"/>
                <w:color w:val="auto"/>
                <w:sz w:val="24"/>
              </w:rPr>
              <w:t>pH</w:t>
            </w:r>
            <w:r>
              <w:rPr>
                <w:rFonts w:hint="default" w:ascii="Times New Roman" w:hAnsi="Times New Roman" w:cs="Times New Roman"/>
                <w:snapToGrid w:val="0"/>
                <w:color w:val="auto"/>
                <w:sz w:val="24"/>
                <w:vertAlign w:val="subscript"/>
              </w:rPr>
              <w:t>su</w:t>
            </w:r>
            <w:r>
              <w:rPr>
                <w:rFonts w:hint="default" w:ascii="Times New Roman" w:hAnsi="Times New Roman" w:cs="Times New Roman"/>
                <w:snapToGrid w:val="0"/>
                <w:color w:val="auto"/>
                <w:sz w:val="24"/>
              </w:rPr>
              <w:t>——标准</w:t>
            </w:r>
            <w:r>
              <w:rPr>
                <w:rFonts w:hint="eastAsia" w:ascii="Times New Roman" w:hAnsi="Times New Roman" w:cs="Times New Roman"/>
                <w:snapToGrid w:val="0"/>
                <w:color w:val="auto"/>
                <w:sz w:val="24"/>
                <w:lang w:val="en-US" w:eastAsia="zh-CN"/>
              </w:rPr>
              <w:t>中</w:t>
            </w:r>
            <w:r>
              <w:rPr>
                <w:rFonts w:hint="default" w:ascii="Times New Roman" w:hAnsi="Times New Roman" w:cs="Times New Roman"/>
                <w:snapToGrid w:val="0"/>
                <w:color w:val="auto"/>
                <w:sz w:val="24"/>
              </w:rPr>
              <w:t>pH的上限值；</w:t>
            </w:r>
          </w:p>
          <w:p>
            <w:pPr>
              <w:tabs>
                <w:tab w:val="left" w:pos="2790"/>
              </w:tabs>
              <w:adjustRightInd w:val="0"/>
              <w:snapToGrid w:val="0"/>
              <w:spacing w:before="120" w:beforeLines="50" w:line="360" w:lineRule="auto"/>
              <w:ind w:firstLine="482" w:firstLineChars="200"/>
              <w:jc w:val="left"/>
              <w:rPr>
                <w:rFonts w:hint="default" w:ascii="Times New Roman" w:hAnsi="Times New Roman" w:cs="Times New Roman"/>
                <w:b/>
                <w:bCs/>
                <w:color w:val="auto"/>
                <w:sz w:val="24"/>
              </w:rPr>
            </w:pPr>
            <w:r>
              <w:rPr>
                <w:rFonts w:hint="eastAsia" w:ascii="Times New Roman" w:hAnsi="Times New Roman" w:cs="Times New Roman"/>
                <w:b/>
                <w:bCs/>
                <w:color w:val="auto"/>
                <w:sz w:val="24"/>
                <w:lang w:val="en-US" w:eastAsia="zh-CN"/>
              </w:rPr>
              <w:t>7.</w:t>
            </w:r>
            <w:r>
              <w:rPr>
                <w:rFonts w:hint="default" w:ascii="Times New Roman" w:hAnsi="Times New Roman" w:cs="Times New Roman"/>
                <w:b/>
                <w:bCs/>
                <w:color w:val="auto"/>
                <w:sz w:val="24"/>
              </w:rPr>
              <w:t>评价结果</w:t>
            </w:r>
          </w:p>
          <w:p>
            <w:pPr>
              <w:autoSpaceDE w:val="0"/>
              <w:autoSpaceDN w:val="0"/>
              <w:spacing w:line="360" w:lineRule="auto"/>
              <w:ind w:firstLine="480" w:firstLineChars="200"/>
              <w:textAlignment w:val="bottom"/>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其评价结果见下表：</w:t>
            </w:r>
          </w:p>
          <w:p>
            <w:pPr>
              <w:adjustRightInd w:val="0"/>
              <w:snapToGrid w:val="0"/>
              <w:spacing w:line="360" w:lineRule="auto"/>
              <w:jc w:val="center"/>
              <w:rPr>
                <w:rFonts w:hint="default" w:eastAsia="黑体"/>
                <w:bCs/>
                <w:color w:val="auto"/>
              </w:rPr>
            </w:pPr>
            <w:r>
              <w:rPr>
                <w:rFonts w:hint="default" w:eastAsia="黑体"/>
                <w:bCs/>
                <w:color w:val="auto"/>
              </w:rPr>
              <w:t>表</w:t>
            </w:r>
            <w:r>
              <w:rPr>
                <w:rFonts w:hint="eastAsia" w:eastAsia="黑体"/>
                <w:bCs/>
                <w:color w:val="auto"/>
                <w:lang w:val="en-US" w:eastAsia="zh-CN"/>
              </w:rPr>
              <w:t xml:space="preserve">3-14  </w:t>
            </w:r>
            <w:r>
              <w:rPr>
                <w:rFonts w:hint="default" w:eastAsia="黑体"/>
                <w:bCs/>
                <w:color w:val="auto"/>
              </w:rPr>
              <w:t>地下水各检出因子单因子指数表</w:t>
            </w:r>
          </w:p>
          <w:tbl>
            <w:tblPr>
              <w:tblStyle w:val="28"/>
              <w:tblW w:w="4999"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2198"/>
              <w:gridCol w:w="2427"/>
              <w:gridCol w:w="2103"/>
              <w:gridCol w:w="2325"/>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254" w:hRule="atLeast"/>
                <w:tblHeader/>
                <w:jc w:val="center"/>
              </w:trPr>
              <w:tc>
                <w:tcPr>
                  <w:tcW w:w="1214" w:type="pct"/>
                  <w:vMerge w:val="restart"/>
                  <w:tcBorders>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检测项目</w:t>
                  </w:r>
                </w:p>
              </w:tc>
              <w:tc>
                <w:tcPr>
                  <w:tcW w:w="3785" w:type="pct"/>
                  <w:gridSpan w:val="3"/>
                  <w:tcBorders>
                    <w:right w:val="single" w:color="000000" w:sz="6" w:space="0"/>
                    <w:tl2br w:val="nil"/>
                    <w:tr2bl w:val="nil"/>
                  </w:tcBorders>
                  <w:noWrap w:val="0"/>
                  <w:vAlign w:val="center"/>
                </w:tcPr>
                <w:p>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各评价因子单因子指数</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254" w:hRule="atLeast"/>
                <w:tblHeader/>
                <w:jc w:val="center"/>
              </w:trPr>
              <w:tc>
                <w:tcPr>
                  <w:tcW w:w="1214" w:type="pct"/>
                  <w:vMerge w:val="continue"/>
                  <w:tcBorders>
                    <w:tl2br w:val="nil"/>
                    <w:tr2bl w:val="nil"/>
                  </w:tcBorders>
                  <w:noWrap w:val="0"/>
                  <w:vAlign w:val="center"/>
                </w:tcPr>
                <w:p>
                  <w:pPr>
                    <w:jc w:val="center"/>
                    <w:rPr>
                      <w:rFonts w:hint="default" w:ascii="Times New Roman" w:hAnsi="Times New Roman" w:cs="Times New Roman"/>
                      <w:color w:val="auto"/>
                      <w:sz w:val="21"/>
                      <w:szCs w:val="21"/>
                    </w:rPr>
                  </w:pPr>
                </w:p>
              </w:tc>
              <w:tc>
                <w:tcPr>
                  <w:tcW w:w="3785" w:type="pct"/>
                  <w:gridSpan w:val="3"/>
                  <w:tcBorders>
                    <w:right w:val="single" w:color="000000" w:sz="6" w:space="0"/>
                    <w:tl2br w:val="nil"/>
                    <w:tr2bl w:val="nil"/>
                  </w:tcBorders>
                  <w:noWrap w:val="0"/>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r>
                    <w:rPr>
                      <w:rFonts w:hint="eastAsia" w:ascii="Times New Roman" w:hAnsi="Times New Roman" w:cs="Times New Roman"/>
                      <w:color w:val="auto"/>
                      <w:sz w:val="21"/>
                      <w:szCs w:val="21"/>
                      <w:lang w:val="en-US" w:eastAsia="zh-CN"/>
                    </w:rPr>
                    <w:t>20</w:t>
                  </w:r>
                  <w:r>
                    <w:rPr>
                      <w:rFonts w:hint="default" w:ascii="Times New Roman" w:hAnsi="Times New Roman" w:cs="Times New Roman"/>
                      <w:color w:val="auto"/>
                      <w:sz w:val="21"/>
                      <w:szCs w:val="21"/>
                    </w:rPr>
                    <w:t>年3月</w:t>
                  </w:r>
                  <w:r>
                    <w:rPr>
                      <w:rFonts w:hint="eastAsia"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tblHeader/>
                <w:jc w:val="center"/>
              </w:trPr>
              <w:tc>
                <w:tcPr>
                  <w:tcW w:w="1214" w:type="pct"/>
                  <w:vMerge w:val="continue"/>
                  <w:tcBorders>
                    <w:tl2br w:val="nil"/>
                    <w:tr2bl w:val="nil"/>
                  </w:tcBorders>
                  <w:noWrap w:val="0"/>
                  <w:vAlign w:val="center"/>
                </w:tcPr>
                <w:p>
                  <w:pPr>
                    <w:jc w:val="center"/>
                    <w:rPr>
                      <w:rFonts w:hint="default" w:ascii="Times New Roman" w:hAnsi="Times New Roman" w:cs="Times New Roman"/>
                      <w:color w:val="auto"/>
                      <w:sz w:val="21"/>
                      <w:szCs w:val="21"/>
                    </w:rPr>
                  </w:pPr>
                </w:p>
              </w:tc>
              <w:tc>
                <w:tcPr>
                  <w:tcW w:w="134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kern w:val="2"/>
                      <w:sz w:val="21"/>
                      <w:szCs w:val="21"/>
                      <w:lang w:val="en-US" w:eastAsia="zh-CN" w:bidi="ar"/>
                    </w:rPr>
                    <w:t>1#</w:t>
                  </w:r>
                </w:p>
              </w:tc>
              <w:tc>
                <w:tcPr>
                  <w:tcW w:w="116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kern w:val="2"/>
                      <w:sz w:val="21"/>
                      <w:szCs w:val="21"/>
                      <w:lang w:val="en-US" w:eastAsia="zh-CN" w:bidi="ar"/>
                    </w:rPr>
                    <w:t>2#</w:t>
                  </w:r>
                </w:p>
              </w:tc>
              <w:tc>
                <w:tcPr>
                  <w:tcW w:w="1283" w:type="pct"/>
                  <w:tcBorders>
                    <w:right w:val="single" w:color="000000" w:sz="6"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kern w:val="2"/>
                      <w:sz w:val="21"/>
                      <w:szCs w:val="21"/>
                      <w:lang w:val="en-US" w:eastAsia="zh-CN" w:bidi="ar"/>
                    </w:rPr>
                    <w:t>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286" w:hRule="atLeast"/>
                <w:jc w:val="center"/>
              </w:trPr>
              <w:tc>
                <w:tcPr>
                  <w:tcW w:w="121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kern w:val="2"/>
                      <w:sz w:val="21"/>
                      <w:szCs w:val="21"/>
                      <w:lang w:val="en-US" w:eastAsia="zh-CN" w:bidi="ar"/>
                    </w:rPr>
                    <w:t>钾</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01" w:hRule="atLeast"/>
                <w:jc w:val="center"/>
              </w:trPr>
              <w:tc>
                <w:tcPr>
                  <w:tcW w:w="121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Cs/>
                      <w:color w:val="auto"/>
                      <w:kern w:val="2"/>
                      <w:sz w:val="21"/>
                      <w:szCs w:val="21"/>
                      <w:lang w:val="en-US" w:eastAsia="zh-CN" w:bidi="ar"/>
                    </w:rPr>
                    <w:t>钠</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0.065</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0.067</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0.068</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58" w:hRule="atLeast"/>
                <w:jc w:val="center"/>
              </w:trPr>
              <w:tc>
                <w:tcPr>
                  <w:tcW w:w="1214" w:type="pct"/>
                  <w:tcBorders>
                    <w:bottom w:val="single" w:color="000000"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钙</w:t>
                  </w:r>
                </w:p>
              </w:tc>
              <w:tc>
                <w:tcPr>
                  <w:tcW w:w="1340" w:type="pct"/>
                  <w:tcBorders>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61" w:type="pct"/>
                  <w:tcBorders>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83" w:type="pct"/>
                  <w:tcBorders>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10" w:hRule="atLeast"/>
                <w:jc w:val="center"/>
              </w:trPr>
              <w:tc>
                <w:tcPr>
                  <w:tcW w:w="1214" w:type="pct"/>
                  <w:tcBorders>
                    <w:top w:val="single" w:color="000000" w:sz="6" w:space="0"/>
                    <w:bottom w:val="single" w:color="000000" w:sz="6"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lang w:val="en-US" w:eastAsia="zh-CN" w:bidi="ar"/>
                    </w:rPr>
                    <w:t>镁</w:t>
                  </w:r>
                </w:p>
              </w:tc>
              <w:tc>
                <w:tcPr>
                  <w:tcW w:w="1340" w:type="pct"/>
                  <w:tcBorders>
                    <w:top w:val="single" w:color="000000" w:sz="6" w:space="0"/>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61" w:type="pct"/>
                  <w:tcBorders>
                    <w:top w:val="single" w:color="000000" w:sz="6" w:space="0"/>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83" w:type="pct"/>
                  <w:tcBorders>
                    <w:top w:val="single" w:color="000000" w:sz="6" w:space="0"/>
                    <w:bottom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40" w:hRule="atLeast"/>
                <w:jc w:val="center"/>
              </w:trPr>
              <w:tc>
                <w:tcPr>
                  <w:tcW w:w="1214" w:type="pct"/>
                  <w:tcBorders>
                    <w:top w:val="single" w:color="000000" w:sz="6" w:space="0"/>
                    <w:bottom w:val="single" w:color="000000"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
                    </w:rPr>
                    <w:t>碳酸根</w:t>
                  </w:r>
                </w:p>
              </w:tc>
              <w:tc>
                <w:tcPr>
                  <w:tcW w:w="2427" w:type="dxa"/>
                  <w:tcBorders>
                    <w:top w:val="single" w:color="000000" w:sz="6" w:space="0"/>
                    <w:bottom w:val="single" w:color="000000" w:sz="6"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103" w:type="dxa"/>
                  <w:tcBorders>
                    <w:top w:val="single" w:color="000000" w:sz="6" w:space="0"/>
                    <w:bottom w:val="single" w:color="000000" w:sz="6"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325" w:type="dxa"/>
                  <w:tcBorders>
                    <w:top w:val="single" w:color="000000" w:sz="6" w:space="0"/>
                    <w:bottom w:val="single" w:color="000000" w:sz="6"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187" w:hRule="atLeast"/>
                <w:jc w:val="center"/>
              </w:trPr>
              <w:tc>
                <w:tcPr>
                  <w:tcW w:w="1214" w:type="pct"/>
                  <w:tcBorders>
                    <w:top w:val="single" w:color="000000" w:sz="6"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
                    </w:rPr>
                    <w:t>碳酸氢根</w:t>
                  </w:r>
                </w:p>
              </w:tc>
              <w:tc>
                <w:tcPr>
                  <w:tcW w:w="1340" w:type="pct"/>
                  <w:tcBorders>
                    <w:top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161" w:type="pct"/>
                  <w:tcBorders>
                    <w:top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83" w:type="pct"/>
                  <w:tcBorders>
                    <w:top w:val="single" w:color="000000" w:sz="6" w:space="0"/>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0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lang w:val="en-US" w:eastAsia="zh-CN" w:bidi="ar"/>
                    </w:rPr>
                    <w:t>硫酸盐</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0.102</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0.111</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0.115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kern w:val="2"/>
                      <w:sz w:val="21"/>
                      <w:szCs w:val="21"/>
                      <w:lang w:val="en-US" w:eastAsia="zh-CN" w:bidi="ar"/>
                    </w:rPr>
                    <w:t>硝酸盐</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0.111</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0.116</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0.112</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lang w:val="en-US" w:eastAsia="zh-CN" w:bidi="ar"/>
                    </w:rPr>
                    <w:t>亚硝酸盐</w:t>
                  </w:r>
                </w:p>
              </w:tc>
              <w:tc>
                <w:tcPr>
                  <w:tcW w:w="242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10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32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lang w:val="en-US" w:eastAsia="zh-CN" w:bidi="ar"/>
                    </w:rPr>
                    <w:t>氯化物</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0.0179</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0.0147</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0.0181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lang w:val="en-US" w:eastAsia="zh-CN" w:bidi="ar"/>
                    </w:rPr>
                    <w:t>pH（无量纲）</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0.07</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0.33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氨氮</w:t>
                  </w:r>
                </w:p>
              </w:tc>
              <w:tc>
                <w:tcPr>
                  <w:tcW w:w="242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10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32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六价铬</w:t>
                  </w:r>
                </w:p>
              </w:tc>
              <w:tc>
                <w:tcPr>
                  <w:tcW w:w="2427"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10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c>
                <w:tcPr>
                  <w:tcW w:w="2325"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eastAsia="宋体" w:cs="Times New Roman"/>
                      <w:bCs/>
                      <w:color w:val="auto"/>
                      <w:kern w:val="2"/>
                      <w:sz w:val="21"/>
                      <w:szCs w:val="21"/>
                      <w:lang w:val="en-US" w:eastAsia="zh-CN" w:bidi="ar"/>
                    </w:rPr>
                    <w:t>未检出</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溶解性总固体</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0.207</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0.216</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0.213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21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耗氧量（COD</w:t>
                  </w:r>
                  <w:r>
                    <w:rPr>
                      <w:rFonts w:hint="default" w:ascii="Times New Roman" w:hAnsi="Times New Roman" w:eastAsia="宋体" w:cs="Times New Roman"/>
                      <w:color w:val="auto"/>
                      <w:kern w:val="2"/>
                      <w:sz w:val="21"/>
                      <w:szCs w:val="21"/>
                      <w:vertAlign w:val="subscript"/>
                      <w:lang w:val="en-US" w:eastAsia="zh-CN" w:bidi="ar"/>
                    </w:rPr>
                    <w:t>Mn</w:t>
                  </w:r>
                  <w:r>
                    <w:rPr>
                      <w:rFonts w:hint="default" w:ascii="Times New Roman" w:hAnsi="Times New Roman" w:eastAsia="宋体" w:cs="Times New Roman"/>
                      <w:color w:val="auto"/>
                      <w:kern w:val="2"/>
                      <w:sz w:val="21"/>
                      <w:szCs w:val="21"/>
                      <w:lang w:val="en-US" w:eastAsia="zh-CN" w:bidi="ar"/>
                    </w:rPr>
                    <w:t>法，以O</w:t>
                  </w:r>
                  <w:r>
                    <w:rPr>
                      <w:rFonts w:hint="default" w:ascii="Times New Roman" w:hAnsi="Times New Roman" w:eastAsia="宋体" w:cs="Times New Roman"/>
                      <w:color w:val="auto"/>
                      <w:kern w:val="2"/>
                      <w:sz w:val="21"/>
                      <w:szCs w:val="21"/>
                      <w:vertAlign w:val="subscript"/>
                      <w:lang w:val="en-US" w:eastAsia="zh-CN" w:bidi="ar"/>
                    </w:rPr>
                    <w:t>2</w:t>
                  </w:r>
                  <w:r>
                    <w:rPr>
                      <w:rFonts w:hint="default" w:ascii="Times New Roman" w:hAnsi="Times New Roman" w:eastAsia="宋体" w:cs="Times New Roman"/>
                      <w:color w:val="auto"/>
                      <w:kern w:val="2"/>
                      <w:sz w:val="21"/>
                      <w:szCs w:val="21"/>
                      <w:lang w:val="en-US" w:eastAsia="zh-CN" w:bidi="ar"/>
                    </w:rPr>
                    <w:t>计）</w:t>
                  </w:r>
                </w:p>
              </w:tc>
              <w:tc>
                <w:tcPr>
                  <w:tcW w:w="1340"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0.233</w:t>
                  </w:r>
                </w:p>
              </w:tc>
              <w:tc>
                <w:tcPr>
                  <w:tcW w:w="1161"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w:t>
                  </w:r>
                </w:p>
              </w:tc>
              <w:tc>
                <w:tcPr>
                  <w:tcW w:w="1283" w:type="pct"/>
                  <w:tcBorders>
                    <w:tl2br w:val="nil"/>
                    <w:tr2bl w:val="nil"/>
                  </w:tcBorders>
                  <w:noWrap w:val="0"/>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0.167</w:t>
                  </w:r>
                </w:p>
              </w:tc>
            </w:tr>
          </w:tbl>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default" w:ascii="Times New Roman" w:hAnsi="Times New Roman" w:cs="Times New Roman"/>
                <w:color w:val="auto"/>
                <w:kern w:val="0"/>
                <w:sz w:val="24"/>
                <w:szCs w:val="20"/>
                <w:lang w:val="en-US" w:eastAsia="zh-CN" w:bidi="ar"/>
              </w:rPr>
            </w:pPr>
            <w:r>
              <w:rPr>
                <w:rFonts w:hint="default" w:ascii="Times New Roman" w:hAnsi="Times New Roman" w:cs="Times New Roman"/>
                <w:color w:val="auto"/>
                <w:sz w:val="24"/>
              </w:rPr>
              <w:t>根据评价结果，本次取得的</w:t>
            </w:r>
            <w:r>
              <w:rPr>
                <w:rFonts w:hint="eastAsia" w:ascii="Times New Roman" w:hAnsi="Times New Roman" w:cs="Times New Roman"/>
                <w:color w:val="auto"/>
                <w:sz w:val="24"/>
                <w:lang w:val="en-US" w:eastAsia="zh-CN"/>
              </w:rPr>
              <w:t>3</w:t>
            </w:r>
            <w:r>
              <w:rPr>
                <w:rFonts w:hint="default" w:ascii="Times New Roman" w:hAnsi="Times New Roman" w:cs="Times New Roman"/>
                <w:color w:val="auto"/>
                <w:sz w:val="24"/>
              </w:rPr>
              <w:t>个地下水样中，地下水各检测指标均满足《地下水质量标准》（GB/T1484-2017）中的Ⅲ类标准限值，</w:t>
            </w:r>
            <w:r>
              <w:rPr>
                <w:rFonts w:hint="eastAsia" w:ascii="Times New Roman" w:hAnsi="Times New Roman" w:cs="Times New Roman"/>
                <w:color w:val="auto"/>
                <w:sz w:val="24"/>
                <w:lang w:val="en-US" w:eastAsia="zh-CN"/>
              </w:rPr>
              <w:t>表明</w:t>
            </w:r>
            <w:r>
              <w:rPr>
                <w:rFonts w:hint="default" w:ascii="Times New Roman" w:hAnsi="Times New Roman" w:cs="Times New Roman"/>
                <w:color w:val="auto"/>
                <w:sz w:val="24"/>
              </w:rPr>
              <w:t>项目区所在地区域地下水环境</w:t>
            </w:r>
            <w:r>
              <w:rPr>
                <w:rFonts w:hint="eastAsia" w:ascii="Times New Roman" w:hAnsi="Times New Roman" w:cs="Times New Roman"/>
                <w:color w:val="auto"/>
                <w:sz w:val="24"/>
                <w:lang w:val="en-US" w:eastAsia="zh-CN"/>
              </w:rPr>
              <w:t>质量</w:t>
            </w:r>
            <w:r>
              <w:rPr>
                <w:rFonts w:hint="default" w:ascii="Times New Roman" w:hAnsi="Times New Roman" w:cs="Times New Roman"/>
                <w:color w:val="auto"/>
                <w:sz w:val="24"/>
              </w:rPr>
              <w:t>现状</w:t>
            </w:r>
            <w:r>
              <w:rPr>
                <w:rFonts w:hint="default" w:ascii="Times New Roman" w:hAnsi="Times New Roman" w:cs="Times New Roman"/>
                <w:color w:val="auto"/>
                <w:kern w:val="0"/>
                <w:sz w:val="24"/>
                <w:szCs w:val="20"/>
                <w:lang w:val="en-US" w:eastAsia="zh-CN" w:bidi="ar"/>
              </w:rPr>
              <w:t>良好</w:t>
            </w:r>
            <w:r>
              <w:rPr>
                <w:rFonts w:hint="eastAsia" w:ascii="Times New Roman" w:hAnsi="Times New Roman" w:cs="Times New Roman"/>
                <w:color w:val="auto"/>
                <w:sz w:val="24"/>
                <w:lang w:val="en-US" w:eastAsia="zh-CN"/>
              </w:rPr>
              <w:t>。</w:t>
            </w:r>
          </w:p>
          <w:p>
            <w:pPr>
              <w:autoSpaceDE w:val="0"/>
              <w:autoSpaceDN w:val="0"/>
              <w:adjustRightInd w:val="0"/>
              <w:snapToGrid w:val="0"/>
              <w:spacing w:line="360" w:lineRule="auto"/>
              <w:ind w:firstLine="560" w:firstLineChars="200"/>
              <w:textAlignment w:val="center"/>
              <w:rPr>
                <w:color w:val="auto"/>
              </w:rPr>
            </w:pPr>
            <w:r>
              <w:rPr>
                <w:rFonts w:hint="eastAsia" w:eastAsia="黑体"/>
                <w:color w:val="auto"/>
                <w:kern w:val="0"/>
                <w:sz w:val="28"/>
                <w:szCs w:val="28"/>
                <w:lang w:val="en-US" w:eastAsia="zh-CN" w:bidi="ar"/>
              </w:rPr>
              <w:t>五</w:t>
            </w:r>
            <w:r>
              <w:rPr>
                <w:rFonts w:eastAsia="黑体"/>
                <w:color w:val="auto"/>
                <w:kern w:val="0"/>
                <w:sz w:val="28"/>
                <w:szCs w:val="28"/>
                <w:lang w:bidi="ar"/>
              </w:rPr>
              <w:t>、生态环境现状</w:t>
            </w:r>
          </w:p>
          <w:p>
            <w:pPr>
              <w:autoSpaceDE w:val="0"/>
              <w:autoSpaceDN w:val="0"/>
              <w:adjustRightInd w:val="0"/>
              <w:snapToGrid w:val="0"/>
              <w:spacing w:line="360" w:lineRule="auto"/>
              <w:ind w:firstLine="480" w:firstLineChars="200"/>
              <w:jc w:val="left"/>
              <w:textAlignment w:val="center"/>
              <w:rPr>
                <w:rFonts w:eastAsia="黑体"/>
                <w:color w:val="auto"/>
                <w:kern w:val="0"/>
                <w:sz w:val="32"/>
                <w:szCs w:val="32"/>
                <w:lang w:bidi="ar"/>
              </w:rPr>
            </w:pPr>
            <w:r>
              <w:rPr>
                <w:color w:val="auto"/>
                <w:kern w:val="0"/>
                <w:szCs w:val="20"/>
                <w:lang w:bidi="ar"/>
              </w:rPr>
              <w:t>本项目所在区域内自然生态已被人工生态所代替，生态环境评价范围内以人类活动为中心，没有大面积的自然植被及大型野生动物群。区域内植被类型简单，区内无古稀树木及珍稀保护类植物。由于人群活动频繁，树木、草丛中已无大型哺乳动物，仅有鸟类、鼠类、蛇类、蛙类及昆虫类小型动物，区域生态环境质量较好。生态系统具有相对的稳定性和功能完整性，具有一定的抗干扰能力。</w:t>
            </w:r>
          </w:p>
          <w:p>
            <w:pPr>
              <w:autoSpaceDE w:val="0"/>
              <w:autoSpaceDN w:val="0"/>
              <w:adjustRightInd w:val="0"/>
              <w:snapToGrid w:val="0"/>
              <w:spacing w:line="360" w:lineRule="auto"/>
              <w:jc w:val="left"/>
              <w:textAlignment w:val="center"/>
              <w:rPr>
                <w:color w:val="auto"/>
                <w:sz w:val="32"/>
                <w:szCs w:val="32"/>
              </w:rPr>
            </w:pPr>
            <w:r>
              <w:rPr>
                <w:rFonts w:eastAsia="黑体"/>
                <w:color w:val="auto"/>
                <w:kern w:val="0"/>
                <w:sz w:val="32"/>
                <w:szCs w:val="32"/>
                <w:lang w:bidi="ar"/>
              </w:rPr>
              <w:t>主要环境保护目标（列出名单及保护级别）：</w:t>
            </w:r>
          </w:p>
          <w:p>
            <w:pPr>
              <w:autoSpaceDE w:val="0"/>
              <w:autoSpaceDN w:val="0"/>
              <w:adjustRightInd w:val="0"/>
              <w:snapToGrid w:val="0"/>
              <w:spacing w:line="360" w:lineRule="auto"/>
              <w:ind w:firstLine="560" w:firstLineChars="200"/>
              <w:jc w:val="left"/>
              <w:textAlignment w:val="center"/>
              <w:rPr>
                <w:color w:val="auto"/>
                <w:sz w:val="28"/>
                <w:szCs w:val="28"/>
              </w:rPr>
            </w:pPr>
            <w:r>
              <w:rPr>
                <w:rFonts w:eastAsia="黑体"/>
                <w:color w:val="auto"/>
                <w:kern w:val="0"/>
                <w:sz w:val="28"/>
                <w:szCs w:val="28"/>
                <w:lang w:bidi="ar"/>
              </w:rPr>
              <w:t>一、环境保护等级</w:t>
            </w:r>
          </w:p>
          <w:p>
            <w:pPr>
              <w:adjustRightInd w:val="0"/>
              <w:snapToGrid w:val="0"/>
              <w:spacing w:line="360" w:lineRule="auto"/>
              <w:ind w:firstLine="480" w:firstLineChars="200"/>
              <w:rPr>
                <w:bCs/>
                <w:color w:val="auto"/>
              </w:rPr>
            </w:pPr>
            <w:r>
              <w:rPr>
                <w:bCs/>
                <w:color w:val="auto"/>
                <w:szCs w:val="20"/>
                <w:lang w:bidi="ar"/>
              </w:rPr>
              <w:t>项目位于峨边彝族自治县宜坪乡桐花村</w:t>
            </w:r>
            <w:r>
              <w:rPr>
                <w:color w:val="auto"/>
                <w:szCs w:val="20"/>
                <w:lang w:bidi="ar"/>
              </w:rPr>
              <w:t>，</w:t>
            </w:r>
            <w:r>
              <w:rPr>
                <w:bCs/>
                <w:color w:val="auto"/>
                <w:szCs w:val="20"/>
                <w:lang w:bidi="ar"/>
              </w:rPr>
              <w:t>评价区域范围内无名胜古迹、风景名胜区等文物保护和生态保护敏感点等环境保护目标，项目确定环境保护目标为：</w:t>
            </w:r>
          </w:p>
          <w:p>
            <w:pPr>
              <w:pStyle w:val="25"/>
              <w:widowControl w:val="0"/>
              <w:adjustRightInd w:val="0"/>
              <w:spacing w:before="0" w:beforeAutospacing="0" w:after="0" w:afterAutospacing="0" w:line="360" w:lineRule="auto"/>
              <w:ind w:right="113" w:firstLine="482" w:firstLineChars="200"/>
              <w:rPr>
                <w:rFonts w:ascii="Times New Roman" w:hAnsi="Times New Roman" w:cs="Times New Roman"/>
                <w:bCs/>
                <w:color w:val="auto"/>
              </w:rPr>
            </w:pPr>
            <w:r>
              <w:rPr>
                <w:rFonts w:ascii="Times New Roman" w:hAnsi="Times New Roman" w:cs="Times New Roman"/>
                <w:b/>
                <w:color w:val="auto"/>
                <w:szCs w:val="20"/>
                <w:lang w:bidi="ar"/>
              </w:rPr>
              <w:t>1.环境空气</w:t>
            </w:r>
          </w:p>
          <w:p>
            <w:pPr>
              <w:spacing w:line="360" w:lineRule="auto"/>
              <w:ind w:firstLine="480" w:firstLineChars="200"/>
              <w:rPr>
                <w:color w:val="auto"/>
              </w:rPr>
            </w:pPr>
            <w:r>
              <w:rPr>
                <w:color w:val="auto"/>
                <w:kern w:val="0"/>
                <w:szCs w:val="20"/>
                <w:lang w:bidi="ar"/>
              </w:rPr>
              <w:t>项目运营期大气环境保护目标为项目所在区域大气环境，环境空气应符合《环境空气质量标准》（GB3095-2012）二级标准要求</w:t>
            </w:r>
            <w:r>
              <w:rPr>
                <w:color w:val="auto"/>
              </w:rPr>
              <w:t>和《环境影响技术导则大气环境》（HJ2.2-2018）附录D其他污染物空气质量浓度标准</w:t>
            </w:r>
            <w:r>
              <w:rPr>
                <w:color w:val="auto"/>
                <w:kern w:val="0"/>
                <w:szCs w:val="20"/>
                <w:lang w:bidi="ar"/>
              </w:rPr>
              <w:t>。主要保护目标为评价范围内环境空气、项目周围住户，使空气质量不因项目的建设而发生改变。</w:t>
            </w:r>
          </w:p>
          <w:p>
            <w:pPr>
              <w:pStyle w:val="25"/>
              <w:widowControl w:val="0"/>
              <w:adjustRightInd w:val="0"/>
              <w:spacing w:before="0" w:beforeAutospacing="0" w:after="0" w:afterAutospacing="0" w:line="360" w:lineRule="auto"/>
              <w:ind w:right="113" w:firstLine="482" w:firstLineChars="200"/>
              <w:rPr>
                <w:rFonts w:ascii="Times New Roman" w:hAnsi="Times New Roman" w:cs="Times New Roman"/>
                <w:b/>
                <w:color w:val="auto"/>
              </w:rPr>
            </w:pPr>
            <w:r>
              <w:rPr>
                <w:rFonts w:ascii="Times New Roman" w:hAnsi="Times New Roman" w:cs="Times New Roman"/>
                <w:b/>
                <w:color w:val="auto"/>
                <w:szCs w:val="20"/>
                <w:lang w:bidi="ar"/>
              </w:rPr>
              <w:t>2.地表水</w:t>
            </w:r>
          </w:p>
          <w:p>
            <w:pPr>
              <w:pStyle w:val="25"/>
              <w:widowControl w:val="0"/>
              <w:adjustRightInd w:val="0"/>
              <w:spacing w:before="0" w:beforeAutospacing="0" w:after="0" w:afterAutospacing="0" w:line="360" w:lineRule="auto"/>
              <w:ind w:right="113" w:firstLine="480" w:firstLineChars="200"/>
              <w:rPr>
                <w:rFonts w:ascii="Times New Roman" w:hAnsi="Times New Roman" w:cs="Times New Roman"/>
                <w:bCs/>
                <w:color w:val="auto"/>
              </w:rPr>
            </w:pPr>
            <w:r>
              <w:rPr>
                <w:rFonts w:ascii="Times New Roman" w:hAnsi="Times New Roman" w:cs="Times New Roman"/>
                <w:bCs/>
                <w:color w:val="auto"/>
                <w:szCs w:val="20"/>
                <w:lang w:bidi="ar"/>
              </w:rPr>
              <w:t>项目地表水环境保护目标为官料河，其水质应不受本项目建设而改变；受纳水体应使其符合《地表水环境质量标准》（GB3838-2002）</w:t>
            </w:r>
            <w:r>
              <w:rPr>
                <w:rFonts w:ascii="Times New Roman" w:hAnsi="Times New Roman" w:cs="Times New Roman"/>
                <w:bCs/>
                <w:color w:val="auto"/>
                <w:szCs w:val="21"/>
                <w:lang w:bidi="ar"/>
              </w:rPr>
              <w:t>Ⅲ</w:t>
            </w:r>
            <w:r>
              <w:rPr>
                <w:rFonts w:ascii="Times New Roman" w:hAnsi="Times New Roman" w:cs="Times New Roman"/>
                <w:bCs/>
                <w:color w:val="auto"/>
                <w:szCs w:val="20"/>
                <w:lang w:bidi="ar"/>
              </w:rPr>
              <w:t>类水域标准要求。</w:t>
            </w:r>
          </w:p>
          <w:p>
            <w:pPr>
              <w:pStyle w:val="25"/>
              <w:widowControl w:val="0"/>
              <w:adjustRightInd w:val="0"/>
              <w:spacing w:before="0" w:beforeAutospacing="0" w:after="0" w:afterAutospacing="0" w:line="360" w:lineRule="auto"/>
              <w:ind w:right="113" w:firstLine="482" w:firstLineChars="200"/>
              <w:rPr>
                <w:rFonts w:ascii="Times New Roman" w:hAnsi="Times New Roman" w:cs="Times New Roman"/>
                <w:b/>
                <w:color w:val="auto"/>
                <w:szCs w:val="20"/>
                <w:lang w:bidi="ar"/>
              </w:rPr>
            </w:pPr>
            <w:r>
              <w:rPr>
                <w:rFonts w:ascii="Times New Roman" w:hAnsi="Times New Roman" w:cs="Times New Roman"/>
                <w:b/>
                <w:color w:val="auto"/>
                <w:szCs w:val="20"/>
                <w:lang w:bidi="ar"/>
              </w:rPr>
              <w:t>3.声环境</w:t>
            </w:r>
          </w:p>
          <w:p>
            <w:pPr>
              <w:pStyle w:val="25"/>
              <w:widowControl w:val="0"/>
              <w:adjustRightInd w:val="0"/>
              <w:spacing w:before="0" w:beforeAutospacing="0" w:after="0" w:afterAutospacing="0" w:line="360" w:lineRule="auto"/>
              <w:ind w:right="113" w:firstLine="480" w:firstLineChars="200"/>
              <w:rPr>
                <w:rFonts w:ascii="Times New Roman" w:hAnsi="Times New Roman" w:cs="Times New Roman"/>
                <w:bCs/>
                <w:color w:val="auto"/>
                <w:szCs w:val="20"/>
                <w:lang w:bidi="ar"/>
              </w:rPr>
            </w:pPr>
            <w:r>
              <w:rPr>
                <w:rFonts w:ascii="Times New Roman" w:hAnsi="Times New Roman" w:cs="Times New Roman"/>
                <w:bCs/>
                <w:color w:val="auto"/>
                <w:szCs w:val="20"/>
                <w:lang w:bidi="ar"/>
              </w:rPr>
              <w:t>声环境保护目标为项目所在地为中心200m范围内的噪声敏感区，项目所在地声环境质量应符合《声环境质量标准》(GB3096-2008)2类标准要求。使该范围的声环境质量不因项目的建设而发生改变。</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360" w:lineRule="auto"/>
              <w:ind w:right="113" w:rightChars="0" w:firstLine="482" w:firstLineChars="200"/>
              <w:textAlignment w:val="auto"/>
              <w:rPr>
                <w:rFonts w:hint="eastAsia" w:ascii="Times New Roman" w:hAnsi="Times New Roman" w:eastAsia="宋体" w:cs="Times New Roman"/>
                <w:b/>
                <w:color w:val="auto"/>
                <w:szCs w:val="20"/>
                <w:lang w:eastAsia="zh-CN" w:bidi="ar"/>
              </w:rPr>
            </w:pPr>
            <w:r>
              <w:rPr>
                <w:rFonts w:hint="eastAsia" w:ascii="Times New Roman" w:hAnsi="Times New Roman" w:cs="Times New Roman"/>
                <w:b/>
                <w:color w:val="auto"/>
                <w:szCs w:val="20"/>
                <w:lang w:val="en-US" w:eastAsia="zh-CN" w:bidi="ar"/>
              </w:rPr>
              <w:t>4.</w:t>
            </w:r>
            <w:r>
              <w:rPr>
                <w:rFonts w:hint="eastAsia" w:ascii="Times New Roman" w:hAnsi="Times New Roman" w:cs="Times New Roman"/>
                <w:b/>
                <w:color w:val="auto"/>
                <w:szCs w:val="20"/>
                <w:lang w:eastAsia="zh-CN" w:bidi="ar"/>
              </w:rPr>
              <w:t>地下水</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360" w:lineRule="auto"/>
              <w:ind w:right="113" w:rightChars="0" w:firstLine="480" w:firstLineChars="200"/>
              <w:textAlignment w:val="auto"/>
              <w:rPr>
                <w:rFonts w:ascii="Times New Roman" w:hAnsi="Times New Roman" w:eastAsia="黑体" w:cs="Times New Roman"/>
                <w:bCs/>
                <w:color w:val="auto"/>
                <w:sz w:val="28"/>
                <w:szCs w:val="28"/>
                <w:lang w:bidi="ar"/>
              </w:rPr>
            </w:pPr>
            <w:r>
              <w:rPr>
                <w:rFonts w:ascii="Times New Roman" w:hAnsi="Times New Roman" w:cs="Times New Roman"/>
                <w:bCs/>
                <w:color w:val="auto"/>
                <w:szCs w:val="20"/>
                <w:lang w:bidi="ar"/>
              </w:rPr>
              <w:t>项目所在地</w:t>
            </w:r>
            <w:r>
              <w:rPr>
                <w:rFonts w:hint="eastAsia" w:ascii="Times New Roman" w:hAnsi="Times New Roman" w:cs="Times New Roman"/>
                <w:bCs/>
                <w:color w:val="auto"/>
                <w:szCs w:val="20"/>
                <w:lang w:val="en-US" w:eastAsia="zh-CN" w:bidi="ar"/>
              </w:rPr>
              <w:t>地下水</w:t>
            </w:r>
            <w:r>
              <w:rPr>
                <w:rFonts w:ascii="Times New Roman" w:hAnsi="Times New Roman" w:cs="Times New Roman"/>
                <w:bCs/>
                <w:color w:val="auto"/>
                <w:szCs w:val="20"/>
                <w:lang w:bidi="ar"/>
              </w:rPr>
              <w:t>质量应符合</w:t>
            </w:r>
            <w:r>
              <w:rPr>
                <w:rFonts w:hint="default" w:ascii="Times New Roman" w:hAnsi="Times New Roman" w:cs="Times New Roman"/>
                <w:color w:val="auto"/>
                <w:sz w:val="24"/>
              </w:rPr>
              <w:t>《地下水质量标准》（GB/T1484-2017）中的Ⅲ类标准限值</w:t>
            </w:r>
            <w:r>
              <w:rPr>
                <w:rFonts w:hint="eastAsia" w:ascii="Times New Roman" w:hAnsi="Times New Roman" w:cs="Times New Roman"/>
                <w:color w:val="auto"/>
                <w:sz w:val="24"/>
                <w:lang w:eastAsia="zh-CN"/>
              </w:rPr>
              <w:t>要求。</w:t>
            </w:r>
          </w:p>
          <w:p>
            <w:pPr>
              <w:pStyle w:val="25"/>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360" w:lineRule="auto"/>
              <w:ind w:right="113" w:rightChars="0" w:firstLine="560" w:firstLineChars="200"/>
              <w:textAlignment w:val="auto"/>
              <w:rPr>
                <w:rFonts w:ascii="Times New Roman" w:hAnsi="Times New Roman" w:eastAsia="黑体" w:cs="Times New Roman"/>
                <w:bCs/>
                <w:color w:val="auto"/>
                <w:sz w:val="28"/>
                <w:szCs w:val="28"/>
                <w:lang w:bidi="ar"/>
              </w:rPr>
            </w:pPr>
            <w:r>
              <w:rPr>
                <w:rFonts w:ascii="Times New Roman" w:hAnsi="Times New Roman" w:eastAsia="黑体" w:cs="Times New Roman"/>
                <w:bCs/>
                <w:color w:val="auto"/>
                <w:sz w:val="28"/>
                <w:szCs w:val="28"/>
                <w:lang w:bidi="ar"/>
              </w:rPr>
              <w:t>二、场地外环境关系</w:t>
            </w:r>
          </w:p>
          <w:p>
            <w:pPr>
              <w:adjustRightInd w:val="0"/>
              <w:snapToGrid w:val="0"/>
              <w:spacing w:line="360" w:lineRule="auto"/>
              <w:ind w:firstLine="480" w:firstLineChars="200"/>
              <w:rPr>
                <w:rFonts w:eastAsia="黑体"/>
                <w:bCs/>
                <w:color w:val="auto"/>
                <w:sz w:val="28"/>
                <w:szCs w:val="28"/>
                <w:lang w:bidi="ar"/>
              </w:rPr>
            </w:pPr>
            <w:r>
              <w:rPr>
                <w:bCs/>
                <w:color w:val="auto"/>
                <w:lang w:bidi="ar"/>
              </w:rPr>
              <w:t>四川省峨边彝族自治县宜坪乡桐花村农村生活污水治理项目位于峨边彝族自治县宜坪乡桐花村。“化粪池1+MBR一体化设备”所在位置</w:t>
            </w:r>
            <w:r>
              <w:rPr>
                <w:color w:val="auto"/>
              </w:rPr>
              <w:t>地形高程</w:t>
            </w:r>
            <w:bookmarkStart w:id="1" w:name="OLE_LINK7"/>
            <w:bookmarkStart w:id="2" w:name="OLE_LINK8"/>
            <w:r>
              <w:rPr>
                <w:color w:val="auto"/>
              </w:rPr>
              <w:t>约</w:t>
            </w:r>
            <w:bookmarkEnd w:id="1"/>
            <w:bookmarkEnd w:id="2"/>
            <w:r>
              <w:rPr>
                <w:color w:val="auto"/>
              </w:rPr>
              <w:t>613m，“化粪池2+人工湿地”</w:t>
            </w:r>
            <w:r>
              <w:rPr>
                <w:bCs/>
                <w:color w:val="auto"/>
                <w:lang w:bidi="ar"/>
              </w:rPr>
              <w:t>所在位置</w:t>
            </w:r>
            <w:r>
              <w:rPr>
                <w:color w:val="auto"/>
              </w:rPr>
              <w:t>地形高程约671m，“化粪池3+人工湿地”</w:t>
            </w:r>
            <w:r>
              <w:rPr>
                <w:bCs/>
                <w:color w:val="auto"/>
                <w:lang w:bidi="ar"/>
              </w:rPr>
              <w:t>所在位置</w:t>
            </w:r>
            <w:r>
              <w:rPr>
                <w:color w:val="auto"/>
              </w:rPr>
              <w:t>地形高程约669m，地质条件良好，为桐花村较低处</w:t>
            </w:r>
            <w:r>
              <w:rPr>
                <w:bCs/>
                <w:color w:val="auto"/>
                <w:lang w:bidi="ar"/>
              </w:rPr>
              <w:t>。根据项目环境质量现状监测，项目所在地地表水、地下水、大气和声环境质量较好。</w:t>
            </w:r>
          </w:p>
          <w:p>
            <w:pPr>
              <w:adjustRightInd w:val="0"/>
              <w:snapToGrid w:val="0"/>
              <w:spacing w:line="360" w:lineRule="auto"/>
              <w:jc w:val="center"/>
              <w:rPr>
                <w:rFonts w:eastAsia="黑体"/>
                <w:bCs/>
                <w:color w:val="auto"/>
              </w:rPr>
            </w:pPr>
            <w:r>
              <w:rPr>
                <w:rFonts w:eastAsia="黑体"/>
                <w:bCs/>
                <w:color w:val="auto"/>
              </w:rPr>
              <w:t>表3-1</w:t>
            </w:r>
            <w:r>
              <w:rPr>
                <w:rFonts w:hint="eastAsia" w:eastAsia="黑体"/>
                <w:bCs/>
                <w:color w:val="auto"/>
                <w:lang w:val="en-US" w:eastAsia="zh-CN"/>
              </w:rPr>
              <w:t>5</w:t>
            </w:r>
            <w:r>
              <w:rPr>
                <w:rFonts w:eastAsia="黑体"/>
                <w:bCs/>
                <w:color w:val="auto"/>
              </w:rPr>
              <w:t xml:space="preserve">  污水处理项目周围主要环境保护目标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92"/>
              <w:gridCol w:w="1404"/>
              <w:gridCol w:w="1396"/>
              <w:gridCol w:w="1014"/>
              <w:gridCol w:w="1422"/>
              <w:gridCol w:w="846"/>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92" w:type="dxa"/>
                  <w:noWrap w:val="0"/>
                  <w:vAlign w:val="center"/>
                </w:tcPr>
                <w:p>
                  <w:pPr>
                    <w:pStyle w:val="79"/>
                    <w:rPr>
                      <w:b/>
                      <w:bCs/>
                      <w:color w:val="auto"/>
                    </w:rPr>
                  </w:pPr>
                  <w:r>
                    <w:rPr>
                      <w:b/>
                      <w:bCs/>
                      <w:color w:val="auto"/>
                    </w:rPr>
                    <w:t>环境要素</w:t>
                  </w:r>
                </w:p>
              </w:tc>
              <w:tc>
                <w:tcPr>
                  <w:tcW w:w="1404" w:type="dxa"/>
                  <w:noWrap w:val="0"/>
                  <w:vAlign w:val="center"/>
                </w:tcPr>
                <w:p>
                  <w:pPr>
                    <w:pStyle w:val="79"/>
                    <w:rPr>
                      <w:b/>
                      <w:bCs/>
                      <w:color w:val="auto"/>
                    </w:rPr>
                  </w:pPr>
                  <w:r>
                    <w:rPr>
                      <w:b/>
                      <w:bCs/>
                      <w:color w:val="auto"/>
                    </w:rPr>
                    <w:t>污水治理项目</w:t>
                  </w:r>
                </w:p>
              </w:tc>
              <w:tc>
                <w:tcPr>
                  <w:tcW w:w="1396" w:type="dxa"/>
                  <w:noWrap w:val="0"/>
                  <w:vAlign w:val="center"/>
                </w:tcPr>
                <w:p>
                  <w:pPr>
                    <w:pStyle w:val="79"/>
                    <w:rPr>
                      <w:b/>
                      <w:bCs/>
                      <w:color w:val="auto"/>
                    </w:rPr>
                  </w:pPr>
                  <w:r>
                    <w:rPr>
                      <w:b/>
                      <w:bCs/>
                      <w:color w:val="auto"/>
                    </w:rPr>
                    <w:t>保护目标名称</w:t>
                  </w:r>
                </w:p>
              </w:tc>
              <w:tc>
                <w:tcPr>
                  <w:tcW w:w="1014" w:type="dxa"/>
                  <w:noWrap w:val="0"/>
                  <w:vAlign w:val="center"/>
                </w:tcPr>
                <w:p>
                  <w:pPr>
                    <w:pStyle w:val="79"/>
                    <w:rPr>
                      <w:b/>
                      <w:bCs/>
                      <w:color w:val="auto"/>
                    </w:rPr>
                  </w:pPr>
                  <w:r>
                    <w:rPr>
                      <w:b/>
                      <w:bCs/>
                      <w:color w:val="auto"/>
                    </w:rPr>
                    <w:t>方位</w:t>
                  </w:r>
                </w:p>
              </w:tc>
              <w:tc>
                <w:tcPr>
                  <w:tcW w:w="1422" w:type="dxa"/>
                  <w:noWrap w:val="0"/>
                  <w:vAlign w:val="center"/>
                </w:tcPr>
                <w:p>
                  <w:pPr>
                    <w:pStyle w:val="79"/>
                    <w:rPr>
                      <w:b/>
                      <w:bCs/>
                      <w:color w:val="auto"/>
                    </w:rPr>
                  </w:pPr>
                  <w:r>
                    <w:rPr>
                      <w:b/>
                      <w:bCs/>
                      <w:color w:val="auto"/>
                    </w:rPr>
                    <w:t>距离/高差</w:t>
                  </w:r>
                </w:p>
              </w:tc>
              <w:tc>
                <w:tcPr>
                  <w:tcW w:w="846" w:type="dxa"/>
                  <w:noWrap w:val="0"/>
                  <w:vAlign w:val="center"/>
                </w:tcPr>
                <w:p>
                  <w:pPr>
                    <w:pStyle w:val="79"/>
                    <w:rPr>
                      <w:b/>
                      <w:bCs/>
                      <w:color w:val="auto"/>
                    </w:rPr>
                  </w:pPr>
                  <w:r>
                    <w:rPr>
                      <w:b/>
                      <w:bCs/>
                      <w:color w:val="auto"/>
                    </w:rPr>
                    <w:t>规模</w:t>
                  </w:r>
                </w:p>
              </w:tc>
              <w:tc>
                <w:tcPr>
                  <w:tcW w:w="1981" w:type="dxa"/>
                  <w:noWrap w:val="0"/>
                  <w:vAlign w:val="center"/>
                </w:tcPr>
                <w:p>
                  <w:pPr>
                    <w:pStyle w:val="79"/>
                    <w:rPr>
                      <w:b/>
                      <w:bCs/>
                      <w:color w:val="auto"/>
                    </w:rPr>
                  </w:pPr>
                  <w:r>
                    <w:rPr>
                      <w:b/>
                      <w:bCs/>
                      <w:color w:val="auto"/>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2" w:type="dxa"/>
                  <w:vMerge w:val="restart"/>
                  <w:noWrap w:val="0"/>
                  <w:vAlign w:val="center"/>
                </w:tcPr>
                <w:p>
                  <w:pPr>
                    <w:pStyle w:val="79"/>
                    <w:rPr>
                      <w:color w:val="auto"/>
                      <w:szCs w:val="21"/>
                    </w:rPr>
                  </w:pPr>
                  <w:r>
                    <w:rPr>
                      <w:color w:val="auto"/>
                      <w:szCs w:val="21"/>
                    </w:rPr>
                    <w:t>大气环境</w:t>
                  </w:r>
                </w:p>
              </w:tc>
              <w:tc>
                <w:tcPr>
                  <w:tcW w:w="1404" w:type="dxa"/>
                  <w:tcBorders>
                    <w:top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6" w:type="dxa"/>
                  <w:tcBorders>
                    <w:top w:val="single" w:color="000000" w:sz="4" w:space="0"/>
                  </w:tcBorders>
                  <w:noWrap w:val="0"/>
                  <w:vAlign w:val="center"/>
                </w:tcPr>
                <w:p>
                  <w:pPr>
                    <w:jc w:val="center"/>
                    <w:rPr>
                      <w:color w:val="auto"/>
                      <w:sz w:val="21"/>
                      <w:szCs w:val="21"/>
                    </w:rPr>
                  </w:pPr>
                  <w:r>
                    <w:rPr>
                      <w:bCs/>
                      <w:color w:val="auto"/>
                      <w:sz w:val="21"/>
                      <w:szCs w:val="21"/>
                      <w:lang w:bidi="ar"/>
                    </w:rPr>
                    <w:t>宜坪乡桐花村</w:t>
                  </w:r>
                  <w:r>
                    <w:rPr>
                      <w:color w:val="auto"/>
                      <w:sz w:val="21"/>
                      <w:szCs w:val="21"/>
                    </w:rPr>
                    <w:t>农户</w:t>
                  </w:r>
                </w:p>
              </w:tc>
              <w:tc>
                <w:tcPr>
                  <w:tcW w:w="1014" w:type="dxa"/>
                  <w:tcBorders>
                    <w:top w:val="single" w:color="000000" w:sz="4" w:space="0"/>
                  </w:tcBorders>
                  <w:noWrap w:val="0"/>
                  <w:vAlign w:val="center"/>
                </w:tcPr>
                <w:p>
                  <w:pPr>
                    <w:pStyle w:val="79"/>
                    <w:rPr>
                      <w:color w:val="auto"/>
                      <w:szCs w:val="21"/>
                    </w:rPr>
                  </w:pPr>
                  <w:r>
                    <w:rPr>
                      <w:color w:val="auto"/>
                      <w:szCs w:val="21"/>
                    </w:rPr>
                    <w:t>北面</w:t>
                  </w:r>
                </w:p>
              </w:tc>
              <w:tc>
                <w:tcPr>
                  <w:tcW w:w="1422" w:type="dxa"/>
                  <w:tcBorders>
                    <w:top w:val="single" w:color="000000" w:sz="4" w:space="0"/>
                  </w:tcBorders>
                  <w:noWrap w:val="0"/>
                  <w:vAlign w:val="center"/>
                </w:tcPr>
                <w:p>
                  <w:pPr>
                    <w:pStyle w:val="79"/>
                    <w:rPr>
                      <w:color w:val="auto"/>
                      <w:szCs w:val="21"/>
                    </w:rPr>
                  </w:pPr>
                  <w:r>
                    <w:rPr>
                      <w:color w:val="auto"/>
                      <w:szCs w:val="21"/>
                    </w:rPr>
                    <w:t>100m；50m</w:t>
                  </w:r>
                </w:p>
              </w:tc>
              <w:tc>
                <w:tcPr>
                  <w:tcW w:w="846" w:type="dxa"/>
                  <w:vMerge w:val="restart"/>
                  <w:tcBorders>
                    <w:top w:val="single" w:color="000000" w:sz="4" w:space="0"/>
                  </w:tcBorders>
                  <w:noWrap w:val="0"/>
                  <w:vAlign w:val="center"/>
                </w:tcPr>
                <w:p>
                  <w:pPr>
                    <w:pStyle w:val="79"/>
                    <w:rPr>
                      <w:color w:val="auto"/>
                      <w:szCs w:val="21"/>
                    </w:rPr>
                  </w:pPr>
                  <w:r>
                    <w:rPr>
                      <w:color w:val="auto"/>
                      <w:szCs w:val="21"/>
                    </w:rPr>
                    <w:t>132户，450人</w:t>
                  </w:r>
                </w:p>
              </w:tc>
              <w:tc>
                <w:tcPr>
                  <w:tcW w:w="1981" w:type="dxa"/>
                  <w:vMerge w:val="restart"/>
                  <w:noWrap w:val="0"/>
                  <w:vAlign w:val="center"/>
                </w:tcPr>
                <w:p>
                  <w:pPr>
                    <w:pStyle w:val="79"/>
                    <w:rPr>
                      <w:color w:val="auto"/>
                      <w:szCs w:val="21"/>
                    </w:rPr>
                  </w:pPr>
                  <w:r>
                    <w:rPr>
                      <w:color w:val="auto"/>
                      <w:szCs w:val="21"/>
                    </w:rPr>
                    <w:t>《环境空气质量标准》（GB3095-2012）中二级标准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color w:val="auto"/>
                    </w:rPr>
                  </w:pPr>
                </w:p>
              </w:tc>
              <w:tc>
                <w:tcPr>
                  <w:tcW w:w="1404" w:type="dxa"/>
                  <w:vMerge w:val="restart"/>
                  <w:tcBorders>
                    <w:top w:val="single" w:color="000000" w:sz="4" w:space="0"/>
                  </w:tcBorders>
                  <w:noWrap w:val="0"/>
                  <w:vAlign w:val="center"/>
                </w:tcPr>
                <w:p>
                  <w:pPr>
                    <w:pStyle w:val="79"/>
                    <w:rPr>
                      <w:bCs/>
                      <w:color w:val="auto"/>
                      <w:szCs w:val="21"/>
                      <w:lang w:bidi="ar"/>
                    </w:rPr>
                  </w:pPr>
                  <w:r>
                    <w:rPr>
                      <w:color w:val="auto"/>
                    </w:rPr>
                    <w:t>“化粪池2+人工湿地”</w:t>
                  </w:r>
                </w:p>
              </w:tc>
              <w:tc>
                <w:tcPr>
                  <w:tcW w:w="1396" w:type="dxa"/>
                  <w:vMerge w:val="restart"/>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4" w:type="dxa"/>
                  <w:noWrap w:val="0"/>
                  <w:vAlign w:val="center"/>
                </w:tcPr>
                <w:p>
                  <w:pPr>
                    <w:pStyle w:val="79"/>
                    <w:rPr>
                      <w:bCs/>
                      <w:color w:val="auto"/>
                      <w:szCs w:val="21"/>
                      <w:lang w:bidi="ar"/>
                    </w:rPr>
                  </w:pPr>
                  <w:r>
                    <w:rPr>
                      <w:color w:val="auto"/>
                    </w:rPr>
                    <w:t>东侧</w:t>
                  </w:r>
                </w:p>
              </w:tc>
              <w:tc>
                <w:tcPr>
                  <w:tcW w:w="1422" w:type="dxa"/>
                  <w:noWrap w:val="0"/>
                  <w:vAlign w:val="center"/>
                </w:tcPr>
                <w:p>
                  <w:pPr>
                    <w:pStyle w:val="79"/>
                    <w:rPr>
                      <w:bCs/>
                      <w:color w:val="auto"/>
                      <w:szCs w:val="21"/>
                      <w:lang w:bidi="ar"/>
                    </w:rPr>
                  </w:pPr>
                  <w:r>
                    <w:rPr>
                      <w:color w:val="auto"/>
                    </w:rPr>
                    <w:t>25m；3m</w:t>
                  </w:r>
                </w:p>
              </w:tc>
              <w:tc>
                <w:tcPr>
                  <w:tcW w:w="846"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color w:val="auto"/>
                    </w:rPr>
                  </w:pPr>
                </w:p>
              </w:tc>
              <w:tc>
                <w:tcPr>
                  <w:tcW w:w="1404" w:type="dxa"/>
                  <w:vMerge w:val="continue"/>
                  <w:noWrap w:val="0"/>
                  <w:vAlign w:val="center"/>
                </w:tcPr>
                <w:p>
                  <w:pPr>
                    <w:pStyle w:val="79"/>
                    <w:rPr>
                      <w:color w:val="auto"/>
                    </w:rPr>
                  </w:pPr>
                </w:p>
              </w:tc>
              <w:tc>
                <w:tcPr>
                  <w:tcW w:w="1396" w:type="dxa"/>
                  <w:vMerge w:val="continue"/>
                  <w:noWrap w:val="0"/>
                  <w:vAlign w:val="center"/>
                </w:tcPr>
                <w:p>
                  <w:pPr>
                    <w:pStyle w:val="79"/>
                    <w:rPr>
                      <w:color w:val="auto"/>
                    </w:rPr>
                  </w:pPr>
                </w:p>
              </w:tc>
              <w:tc>
                <w:tcPr>
                  <w:tcW w:w="1014" w:type="dxa"/>
                  <w:noWrap w:val="0"/>
                  <w:vAlign w:val="center"/>
                </w:tcPr>
                <w:p>
                  <w:pPr>
                    <w:pStyle w:val="79"/>
                    <w:rPr>
                      <w:color w:val="auto"/>
                    </w:rPr>
                  </w:pPr>
                  <w:r>
                    <w:rPr>
                      <w:color w:val="auto"/>
                    </w:rPr>
                    <w:t>西侧</w:t>
                  </w:r>
                </w:p>
              </w:tc>
              <w:tc>
                <w:tcPr>
                  <w:tcW w:w="1422" w:type="dxa"/>
                  <w:noWrap w:val="0"/>
                  <w:vAlign w:val="center"/>
                </w:tcPr>
                <w:p>
                  <w:pPr>
                    <w:pStyle w:val="79"/>
                    <w:rPr>
                      <w:color w:val="auto"/>
                    </w:rPr>
                  </w:pPr>
                  <w:r>
                    <w:rPr>
                      <w:color w:val="auto"/>
                    </w:rPr>
                    <w:t>20m；-5m</w:t>
                  </w:r>
                </w:p>
              </w:tc>
              <w:tc>
                <w:tcPr>
                  <w:tcW w:w="846" w:type="dxa"/>
                  <w:vMerge w:val="continue"/>
                  <w:noWrap w:val="0"/>
                  <w:vAlign w:val="center"/>
                </w:tcPr>
                <w:p>
                  <w:pPr>
                    <w:pStyle w:val="79"/>
                    <w:rPr>
                      <w:color w:val="auto"/>
                    </w:rPr>
                  </w:pPr>
                </w:p>
              </w:tc>
              <w:tc>
                <w:tcPr>
                  <w:tcW w:w="1981" w:type="dxa"/>
                  <w:vMerge w:val="continue"/>
                  <w:noWrap w:val="0"/>
                  <w:vAlign w:val="center"/>
                </w:tcPr>
                <w:p>
                  <w:pPr>
                    <w:pStyle w:val="79"/>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color w:val="auto"/>
                    </w:rPr>
                  </w:pPr>
                </w:p>
              </w:tc>
              <w:tc>
                <w:tcPr>
                  <w:tcW w:w="1404" w:type="dxa"/>
                  <w:vMerge w:val="continue"/>
                  <w:noWrap w:val="0"/>
                  <w:vAlign w:val="center"/>
                </w:tcPr>
                <w:p>
                  <w:pPr>
                    <w:pStyle w:val="79"/>
                    <w:rPr>
                      <w:color w:val="auto"/>
                    </w:rPr>
                  </w:pPr>
                </w:p>
              </w:tc>
              <w:tc>
                <w:tcPr>
                  <w:tcW w:w="1396" w:type="dxa"/>
                  <w:vMerge w:val="continue"/>
                  <w:noWrap w:val="0"/>
                  <w:vAlign w:val="center"/>
                </w:tcPr>
                <w:p>
                  <w:pPr>
                    <w:pStyle w:val="79"/>
                    <w:rPr>
                      <w:color w:val="auto"/>
                    </w:rPr>
                  </w:pPr>
                </w:p>
              </w:tc>
              <w:tc>
                <w:tcPr>
                  <w:tcW w:w="1014" w:type="dxa"/>
                  <w:noWrap w:val="0"/>
                  <w:vAlign w:val="center"/>
                </w:tcPr>
                <w:p>
                  <w:pPr>
                    <w:pStyle w:val="79"/>
                    <w:rPr>
                      <w:color w:val="auto"/>
                    </w:rPr>
                  </w:pPr>
                  <w:r>
                    <w:rPr>
                      <w:color w:val="auto"/>
                    </w:rPr>
                    <w:t>北侧</w:t>
                  </w:r>
                </w:p>
              </w:tc>
              <w:tc>
                <w:tcPr>
                  <w:tcW w:w="1422" w:type="dxa"/>
                  <w:noWrap w:val="0"/>
                  <w:vAlign w:val="center"/>
                </w:tcPr>
                <w:p>
                  <w:pPr>
                    <w:pStyle w:val="79"/>
                    <w:rPr>
                      <w:color w:val="auto"/>
                    </w:rPr>
                  </w:pPr>
                  <w:r>
                    <w:rPr>
                      <w:color w:val="auto"/>
                    </w:rPr>
                    <w:t>5m；6m</w:t>
                  </w:r>
                </w:p>
              </w:tc>
              <w:tc>
                <w:tcPr>
                  <w:tcW w:w="846" w:type="dxa"/>
                  <w:vMerge w:val="continue"/>
                  <w:noWrap w:val="0"/>
                  <w:vAlign w:val="center"/>
                </w:tcPr>
                <w:p>
                  <w:pPr>
                    <w:pStyle w:val="79"/>
                    <w:rPr>
                      <w:color w:val="auto"/>
                    </w:rPr>
                  </w:pPr>
                </w:p>
              </w:tc>
              <w:tc>
                <w:tcPr>
                  <w:tcW w:w="1981" w:type="dxa"/>
                  <w:vMerge w:val="continue"/>
                  <w:noWrap w:val="0"/>
                  <w:vAlign w:val="center"/>
                </w:tcPr>
                <w:p>
                  <w:pPr>
                    <w:pStyle w:val="79"/>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2" w:type="dxa"/>
                  <w:vMerge w:val="continue"/>
                  <w:noWrap w:val="0"/>
                  <w:vAlign w:val="center"/>
                </w:tcPr>
                <w:p>
                  <w:pPr>
                    <w:pStyle w:val="79"/>
                    <w:rPr>
                      <w:bCs/>
                      <w:color w:val="auto"/>
                      <w:szCs w:val="21"/>
                      <w:lang w:bidi="ar"/>
                    </w:rPr>
                  </w:pPr>
                </w:p>
              </w:tc>
              <w:tc>
                <w:tcPr>
                  <w:tcW w:w="1404" w:type="dxa"/>
                  <w:tcBorders>
                    <w:top w:val="single" w:color="000000" w:sz="4" w:space="0"/>
                  </w:tcBorders>
                  <w:noWrap w:val="0"/>
                  <w:vAlign w:val="center"/>
                </w:tcPr>
                <w:p>
                  <w:pPr>
                    <w:pStyle w:val="79"/>
                    <w:rPr>
                      <w:bCs/>
                      <w:color w:val="auto"/>
                      <w:szCs w:val="21"/>
                      <w:lang w:bidi="ar"/>
                    </w:rPr>
                  </w:pPr>
                  <w:r>
                    <w:rPr>
                      <w:color w:val="auto"/>
                    </w:rPr>
                    <w:t>“化粪池3+人工湿地”</w:t>
                  </w:r>
                </w:p>
              </w:tc>
              <w:tc>
                <w:tcPr>
                  <w:tcW w:w="1396" w:type="dxa"/>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4" w:type="dxa"/>
                  <w:noWrap w:val="0"/>
                  <w:vAlign w:val="center"/>
                </w:tcPr>
                <w:p>
                  <w:pPr>
                    <w:pStyle w:val="79"/>
                    <w:rPr>
                      <w:bCs/>
                      <w:color w:val="auto"/>
                      <w:szCs w:val="21"/>
                      <w:lang w:bidi="ar"/>
                    </w:rPr>
                  </w:pPr>
                  <w:r>
                    <w:rPr>
                      <w:color w:val="auto"/>
                    </w:rPr>
                    <w:t>东侧</w:t>
                  </w:r>
                </w:p>
              </w:tc>
              <w:tc>
                <w:tcPr>
                  <w:tcW w:w="1422" w:type="dxa"/>
                  <w:noWrap w:val="0"/>
                  <w:vAlign w:val="center"/>
                </w:tcPr>
                <w:p>
                  <w:pPr>
                    <w:pStyle w:val="79"/>
                    <w:rPr>
                      <w:bCs/>
                      <w:color w:val="auto"/>
                      <w:szCs w:val="21"/>
                      <w:lang w:bidi="ar"/>
                    </w:rPr>
                  </w:pPr>
                  <w:r>
                    <w:rPr>
                      <w:color w:val="auto"/>
                    </w:rPr>
                    <w:t>120m，9m</w:t>
                  </w:r>
                </w:p>
              </w:tc>
              <w:tc>
                <w:tcPr>
                  <w:tcW w:w="846"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2" w:type="dxa"/>
                  <w:vMerge w:val="restart"/>
                  <w:noWrap w:val="0"/>
                  <w:vAlign w:val="center"/>
                </w:tcPr>
                <w:p>
                  <w:pPr>
                    <w:pStyle w:val="79"/>
                    <w:rPr>
                      <w:color w:val="auto"/>
                      <w:szCs w:val="21"/>
                    </w:rPr>
                  </w:pPr>
                  <w:r>
                    <w:rPr>
                      <w:color w:val="auto"/>
                      <w:szCs w:val="21"/>
                    </w:rPr>
                    <w:t>声环境</w:t>
                  </w:r>
                </w:p>
              </w:tc>
              <w:tc>
                <w:tcPr>
                  <w:tcW w:w="1404" w:type="dxa"/>
                  <w:tcBorders>
                    <w:top w:val="single" w:color="000000" w:sz="4" w:space="0"/>
                    <w:bottom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6" w:type="dxa"/>
                  <w:tcBorders>
                    <w:top w:val="single" w:color="000000" w:sz="4" w:space="0"/>
                    <w:bottom w:val="single" w:color="000000" w:sz="4" w:space="0"/>
                  </w:tcBorders>
                  <w:noWrap w:val="0"/>
                  <w:vAlign w:val="center"/>
                </w:tcPr>
                <w:p>
                  <w:pPr>
                    <w:jc w:val="center"/>
                    <w:rPr>
                      <w:color w:val="auto"/>
                      <w:sz w:val="21"/>
                      <w:szCs w:val="21"/>
                    </w:rPr>
                  </w:pPr>
                  <w:r>
                    <w:rPr>
                      <w:bCs/>
                      <w:color w:val="auto"/>
                      <w:sz w:val="21"/>
                      <w:szCs w:val="21"/>
                      <w:lang w:bidi="ar"/>
                    </w:rPr>
                    <w:t>宜坪乡桐花村</w:t>
                  </w:r>
                  <w:r>
                    <w:rPr>
                      <w:color w:val="auto"/>
                      <w:sz w:val="21"/>
                      <w:szCs w:val="21"/>
                    </w:rPr>
                    <w:t>农户</w:t>
                  </w:r>
                </w:p>
              </w:tc>
              <w:tc>
                <w:tcPr>
                  <w:tcW w:w="1014" w:type="dxa"/>
                  <w:tcBorders>
                    <w:top w:val="single" w:color="000000" w:sz="4" w:space="0"/>
                    <w:bottom w:val="single" w:color="000000" w:sz="4" w:space="0"/>
                  </w:tcBorders>
                  <w:noWrap w:val="0"/>
                  <w:vAlign w:val="center"/>
                </w:tcPr>
                <w:p>
                  <w:pPr>
                    <w:pStyle w:val="79"/>
                    <w:rPr>
                      <w:color w:val="auto"/>
                      <w:szCs w:val="21"/>
                    </w:rPr>
                  </w:pPr>
                  <w:r>
                    <w:rPr>
                      <w:color w:val="auto"/>
                      <w:szCs w:val="21"/>
                    </w:rPr>
                    <w:t>北面</w:t>
                  </w:r>
                </w:p>
              </w:tc>
              <w:tc>
                <w:tcPr>
                  <w:tcW w:w="1422" w:type="dxa"/>
                  <w:tcBorders>
                    <w:top w:val="single" w:color="000000" w:sz="4" w:space="0"/>
                    <w:bottom w:val="single" w:color="000000" w:sz="4" w:space="0"/>
                  </w:tcBorders>
                  <w:noWrap w:val="0"/>
                  <w:vAlign w:val="center"/>
                </w:tcPr>
                <w:p>
                  <w:pPr>
                    <w:pStyle w:val="79"/>
                    <w:rPr>
                      <w:color w:val="auto"/>
                      <w:szCs w:val="21"/>
                    </w:rPr>
                  </w:pPr>
                  <w:r>
                    <w:rPr>
                      <w:color w:val="auto"/>
                      <w:szCs w:val="21"/>
                    </w:rPr>
                    <w:t>100m；50m</w:t>
                  </w:r>
                </w:p>
              </w:tc>
              <w:tc>
                <w:tcPr>
                  <w:tcW w:w="846" w:type="dxa"/>
                  <w:vMerge w:val="restart"/>
                  <w:tcBorders>
                    <w:top w:val="single" w:color="000000" w:sz="4" w:space="0"/>
                  </w:tcBorders>
                  <w:noWrap w:val="0"/>
                  <w:vAlign w:val="center"/>
                </w:tcPr>
                <w:p>
                  <w:pPr>
                    <w:pStyle w:val="79"/>
                    <w:rPr>
                      <w:color w:val="auto"/>
                      <w:szCs w:val="21"/>
                    </w:rPr>
                  </w:pPr>
                  <w:r>
                    <w:rPr>
                      <w:color w:val="auto"/>
                      <w:szCs w:val="21"/>
                    </w:rPr>
                    <w:t>132户，450人</w:t>
                  </w:r>
                </w:p>
              </w:tc>
              <w:tc>
                <w:tcPr>
                  <w:tcW w:w="1981" w:type="dxa"/>
                  <w:vMerge w:val="restart"/>
                  <w:noWrap w:val="0"/>
                  <w:vAlign w:val="center"/>
                </w:tcPr>
                <w:p>
                  <w:pPr>
                    <w:pStyle w:val="79"/>
                    <w:rPr>
                      <w:color w:val="auto"/>
                      <w:szCs w:val="21"/>
                    </w:rPr>
                  </w:pPr>
                  <w:r>
                    <w:rPr>
                      <w:color w:val="auto"/>
                      <w:szCs w:val="21"/>
                    </w:rPr>
                    <w:t>《声环境质量标准》（GB3096-2008）中2类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color w:val="auto"/>
                    </w:rPr>
                  </w:pPr>
                </w:p>
              </w:tc>
              <w:tc>
                <w:tcPr>
                  <w:tcW w:w="1404" w:type="dxa"/>
                  <w:vMerge w:val="restart"/>
                  <w:tcBorders>
                    <w:top w:val="single" w:color="000000" w:sz="4" w:space="0"/>
                  </w:tcBorders>
                  <w:noWrap w:val="0"/>
                  <w:vAlign w:val="center"/>
                </w:tcPr>
                <w:p>
                  <w:pPr>
                    <w:pStyle w:val="79"/>
                    <w:rPr>
                      <w:bCs/>
                      <w:color w:val="auto"/>
                      <w:szCs w:val="21"/>
                      <w:lang w:bidi="ar"/>
                    </w:rPr>
                  </w:pPr>
                  <w:r>
                    <w:rPr>
                      <w:color w:val="auto"/>
                    </w:rPr>
                    <w:t>“化粪池2+人工湿地”</w:t>
                  </w:r>
                </w:p>
              </w:tc>
              <w:tc>
                <w:tcPr>
                  <w:tcW w:w="1396" w:type="dxa"/>
                  <w:vMerge w:val="restart"/>
                  <w:tcBorders>
                    <w:top w:val="single" w:color="000000" w:sz="4" w:space="0"/>
                  </w:tcBorders>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4" w:type="dxa"/>
                  <w:tcBorders>
                    <w:top w:val="single" w:color="000000" w:sz="4" w:space="0"/>
                    <w:bottom w:val="single" w:color="000000" w:sz="4" w:space="0"/>
                  </w:tcBorders>
                  <w:noWrap w:val="0"/>
                  <w:vAlign w:val="center"/>
                </w:tcPr>
                <w:p>
                  <w:pPr>
                    <w:pStyle w:val="79"/>
                    <w:rPr>
                      <w:bCs/>
                      <w:color w:val="auto"/>
                      <w:szCs w:val="21"/>
                      <w:lang w:bidi="ar"/>
                    </w:rPr>
                  </w:pPr>
                  <w:r>
                    <w:rPr>
                      <w:color w:val="auto"/>
                    </w:rPr>
                    <w:t>东侧</w:t>
                  </w:r>
                </w:p>
              </w:tc>
              <w:tc>
                <w:tcPr>
                  <w:tcW w:w="1422" w:type="dxa"/>
                  <w:tcBorders>
                    <w:top w:val="single" w:color="000000" w:sz="4" w:space="0"/>
                    <w:bottom w:val="single" w:color="000000" w:sz="4" w:space="0"/>
                  </w:tcBorders>
                  <w:noWrap w:val="0"/>
                  <w:vAlign w:val="center"/>
                </w:tcPr>
                <w:p>
                  <w:pPr>
                    <w:pStyle w:val="79"/>
                    <w:rPr>
                      <w:bCs/>
                      <w:color w:val="auto"/>
                      <w:szCs w:val="21"/>
                      <w:lang w:bidi="ar"/>
                    </w:rPr>
                  </w:pPr>
                  <w:r>
                    <w:rPr>
                      <w:color w:val="auto"/>
                    </w:rPr>
                    <w:t>25m；3m</w:t>
                  </w:r>
                </w:p>
              </w:tc>
              <w:tc>
                <w:tcPr>
                  <w:tcW w:w="846"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color w:val="auto"/>
                    </w:rPr>
                  </w:pPr>
                </w:p>
              </w:tc>
              <w:tc>
                <w:tcPr>
                  <w:tcW w:w="1404" w:type="dxa"/>
                  <w:vMerge w:val="continue"/>
                  <w:noWrap w:val="0"/>
                  <w:vAlign w:val="center"/>
                </w:tcPr>
                <w:p>
                  <w:pPr>
                    <w:pStyle w:val="79"/>
                    <w:rPr>
                      <w:color w:val="auto"/>
                    </w:rPr>
                  </w:pPr>
                </w:p>
              </w:tc>
              <w:tc>
                <w:tcPr>
                  <w:tcW w:w="1396" w:type="dxa"/>
                  <w:vMerge w:val="continue"/>
                  <w:noWrap w:val="0"/>
                  <w:vAlign w:val="center"/>
                </w:tcPr>
                <w:p>
                  <w:pPr>
                    <w:pStyle w:val="79"/>
                    <w:rPr>
                      <w:color w:val="auto"/>
                    </w:rPr>
                  </w:pPr>
                </w:p>
              </w:tc>
              <w:tc>
                <w:tcPr>
                  <w:tcW w:w="1014" w:type="dxa"/>
                  <w:tcBorders>
                    <w:top w:val="single" w:color="000000" w:sz="4" w:space="0"/>
                    <w:bottom w:val="single" w:color="000000" w:sz="4" w:space="0"/>
                  </w:tcBorders>
                  <w:noWrap w:val="0"/>
                  <w:vAlign w:val="center"/>
                </w:tcPr>
                <w:p>
                  <w:pPr>
                    <w:pStyle w:val="79"/>
                    <w:rPr>
                      <w:bCs/>
                      <w:color w:val="auto"/>
                      <w:szCs w:val="21"/>
                      <w:lang w:bidi="ar"/>
                    </w:rPr>
                  </w:pPr>
                  <w:r>
                    <w:rPr>
                      <w:color w:val="auto"/>
                    </w:rPr>
                    <w:t>西侧</w:t>
                  </w:r>
                </w:p>
              </w:tc>
              <w:tc>
                <w:tcPr>
                  <w:tcW w:w="1422" w:type="dxa"/>
                  <w:tcBorders>
                    <w:top w:val="single" w:color="000000" w:sz="4" w:space="0"/>
                    <w:bottom w:val="single" w:color="000000" w:sz="4" w:space="0"/>
                  </w:tcBorders>
                  <w:noWrap w:val="0"/>
                  <w:vAlign w:val="center"/>
                </w:tcPr>
                <w:p>
                  <w:pPr>
                    <w:pStyle w:val="79"/>
                    <w:rPr>
                      <w:color w:val="auto"/>
                    </w:rPr>
                  </w:pPr>
                  <w:r>
                    <w:rPr>
                      <w:color w:val="auto"/>
                    </w:rPr>
                    <w:t>20m；-5m</w:t>
                  </w:r>
                </w:p>
              </w:tc>
              <w:tc>
                <w:tcPr>
                  <w:tcW w:w="846"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2" w:type="dxa"/>
                  <w:vMerge w:val="continue"/>
                  <w:noWrap w:val="0"/>
                  <w:vAlign w:val="center"/>
                </w:tcPr>
                <w:p>
                  <w:pPr>
                    <w:pStyle w:val="79"/>
                    <w:rPr>
                      <w:bCs/>
                      <w:color w:val="auto"/>
                      <w:szCs w:val="21"/>
                      <w:lang w:bidi="ar"/>
                    </w:rPr>
                  </w:pPr>
                </w:p>
              </w:tc>
              <w:tc>
                <w:tcPr>
                  <w:tcW w:w="1404" w:type="dxa"/>
                  <w:vMerge w:val="continue"/>
                  <w:tcBorders>
                    <w:bottom w:val="single" w:color="000000" w:sz="4" w:space="0"/>
                  </w:tcBorders>
                  <w:noWrap w:val="0"/>
                  <w:vAlign w:val="center"/>
                </w:tcPr>
                <w:p>
                  <w:pPr>
                    <w:pStyle w:val="79"/>
                    <w:rPr>
                      <w:bCs/>
                      <w:color w:val="auto"/>
                      <w:szCs w:val="21"/>
                      <w:lang w:bidi="ar"/>
                    </w:rPr>
                  </w:pPr>
                </w:p>
              </w:tc>
              <w:tc>
                <w:tcPr>
                  <w:tcW w:w="1396" w:type="dxa"/>
                  <w:vMerge w:val="continue"/>
                  <w:tcBorders>
                    <w:bottom w:val="single" w:color="000000" w:sz="4" w:space="0"/>
                  </w:tcBorders>
                  <w:noWrap w:val="0"/>
                  <w:vAlign w:val="center"/>
                </w:tcPr>
                <w:p>
                  <w:pPr>
                    <w:pStyle w:val="79"/>
                    <w:rPr>
                      <w:bCs/>
                      <w:color w:val="auto"/>
                      <w:szCs w:val="21"/>
                      <w:lang w:bidi="ar"/>
                    </w:rPr>
                  </w:pPr>
                </w:p>
              </w:tc>
              <w:tc>
                <w:tcPr>
                  <w:tcW w:w="1014" w:type="dxa"/>
                  <w:tcBorders>
                    <w:top w:val="single" w:color="000000" w:sz="4" w:space="0"/>
                    <w:bottom w:val="single" w:color="000000" w:sz="4" w:space="0"/>
                  </w:tcBorders>
                  <w:noWrap w:val="0"/>
                  <w:vAlign w:val="center"/>
                </w:tcPr>
                <w:p>
                  <w:pPr>
                    <w:pStyle w:val="79"/>
                    <w:rPr>
                      <w:bCs/>
                      <w:color w:val="auto"/>
                      <w:szCs w:val="21"/>
                      <w:lang w:bidi="ar"/>
                    </w:rPr>
                  </w:pPr>
                  <w:r>
                    <w:rPr>
                      <w:color w:val="auto"/>
                    </w:rPr>
                    <w:t>北侧</w:t>
                  </w:r>
                </w:p>
              </w:tc>
              <w:tc>
                <w:tcPr>
                  <w:tcW w:w="1422" w:type="dxa"/>
                  <w:tcBorders>
                    <w:top w:val="single" w:color="000000" w:sz="4" w:space="0"/>
                    <w:bottom w:val="single" w:color="000000" w:sz="4" w:space="0"/>
                  </w:tcBorders>
                  <w:noWrap w:val="0"/>
                  <w:vAlign w:val="center"/>
                </w:tcPr>
                <w:p>
                  <w:pPr>
                    <w:pStyle w:val="79"/>
                    <w:rPr>
                      <w:color w:val="auto"/>
                    </w:rPr>
                  </w:pPr>
                  <w:r>
                    <w:rPr>
                      <w:color w:val="auto"/>
                    </w:rPr>
                    <w:t>5m；6m</w:t>
                  </w:r>
                </w:p>
              </w:tc>
              <w:tc>
                <w:tcPr>
                  <w:tcW w:w="846"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2" w:type="dxa"/>
                  <w:vMerge w:val="continue"/>
                  <w:noWrap w:val="0"/>
                  <w:vAlign w:val="center"/>
                </w:tcPr>
                <w:p>
                  <w:pPr>
                    <w:pStyle w:val="79"/>
                    <w:rPr>
                      <w:bCs/>
                      <w:color w:val="auto"/>
                      <w:szCs w:val="21"/>
                      <w:lang w:bidi="ar"/>
                    </w:rPr>
                  </w:pPr>
                </w:p>
              </w:tc>
              <w:tc>
                <w:tcPr>
                  <w:tcW w:w="1404" w:type="dxa"/>
                  <w:tcBorders>
                    <w:top w:val="single" w:color="000000" w:sz="4" w:space="0"/>
                    <w:bottom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6" w:type="dxa"/>
                  <w:tcBorders>
                    <w:top w:val="single" w:color="000000" w:sz="4" w:space="0"/>
                    <w:bottom w:val="single" w:color="000000" w:sz="4" w:space="0"/>
                  </w:tcBorders>
                  <w:noWrap w:val="0"/>
                  <w:vAlign w:val="center"/>
                </w:tcPr>
                <w:p>
                  <w:pPr>
                    <w:jc w:val="center"/>
                    <w:rPr>
                      <w:bCs/>
                      <w:color w:val="auto"/>
                      <w:sz w:val="21"/>
                      <w:szCs w:val="21"/>
                      <w:lang w:bidi="ar"/>
                    </w:rPr>
                  </w:pPr>
                  <w:r>
                    <w:rPr>
                      <w:bCs/>
                      <w:color w:val="auto"/>
                      <w:sz w:val="21"/>
                      <w:szCs w:val="21"/>
                      <w:lang w:bidi="ar"/>
                    </w:rPr>
                    <w:t>宜坪乡桐花村</w:t>
                  </w:r>
                  <w:r>
                    <w:rPr>
                      <w:color w:val="auto"/>
                      <w:sz w:val="21"/>
                      <w:szCs w:val="21"/>
                    </w:rPr>
                    <w:t>农户</w:t>
                  </w:r>
                </w:p>
              </w:tc>
              <w:tc>
                <w:tcPr>
                  <w:tcW w:w="1014" w:type="dxa"/>
                  <w:tcBorders>
                    <w:top w:val="single" w:color="000000" w:sz="4" w:space="0"/>
                    <w:bottom w:val="single" w:color="000000" w:sz="4" w:space="0"/>
                  </w:tcBorders>
                  <w:noWrap w:val="0"/>
                  <w:vAlign w:val="center"/>
                </w:tcPr>
                <w:p>
                  <w:pPr>
                    <w:pStyle w:val="79"/>
                    <w:rPr>
                      <w:bCs/>
                      <w:color w:val="auto"/>
                      <w:szCs w:val="21"/>
                      <w:lang w:bidi="ar"/>
                    </w:rPr>
                  </w:pPr>
                  <w:r>
                    <w:rPr>
                      <w:color w:val="auto"/>
                      <w:szCs w:val="21"/>
                    </w:rPr>
                    <w:t>北面</w:t>
                  </w:r>
                </w:p>
              </w:tc>
              <w:tc>
                <w:tcPr>
                  <w:tcW w:w="1422" w:type="dxa"/>
                  <w:tcBorders>
                    <w:top w:val="single" w:color="000000" w:sz="4" w:space="0"/>
                    <w:bottom w:val="single" w:color="000000" w:sz="4" w:space="0"/>
                  </w:tcBorders>
                  <w:noWrap w:val="0"/>
                  <w:vAlign w:val="center"/>
                </w:tcPr>
                <w:p>
                  <w:pPr>
                    <w:pStyle w:val="79"/>
                    <w:rPr>
                      <w:bCs/>
                      <w:color w:val="auto"/>
                      <w:szCs w:val="21"/>
                      <w:lang w:bidi="ar"/>
                    </w:rPr>
                  </w:pPr>
                  <w:r>
                    <w:rPr>
                      <w:color w:val="auto"/>
                    </w:rPr>
                    <w:t>120m，9m</w:t>
                  </w:r>
                </w:p>
              </w:tc>
              <w:tc>
                <w:tcPr>
                  <w:tcW w:w="846" w:type="dxa"/>
                  <w:vMerge w:val="continue"/>
                  <w:tcBorders>
                    <w:bottom w:val="single" w:color="000000" w:sz="4" w:space="0"/>
                  </w:tcBorders>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2" w:type="dxa"/>
                  <w:noWrap w:val="0"/>
                  <w:vAlign w:val="center"/>
                </w:tcPr>
                <w:p>
                  <w:pPr>
                    <w:pStyle w:val="79"/>
                    <w:rPr>
                      <w:color w:val="auto"/>
                      <w:szCs w:val="21"/>
                    </w:rPr>
                  </w:pPr>
                  <w:r>
                    <w:rPr>
                      <w:color w:val="auto"/>
                      <w:szCs w:val="21"/>
                    </w:rPr>
                    <w:t>地表水</w:t>
                  </w:r>
                </w:p>
              </w:tc>
              <w:tc>
                <w:tcPr>
                  <w:tcW w:w="2800" w:type="dxa"/>
                  <w:gridSpan w:val="2"/>
                  <w:noWrap w:val="0"/>
                  <w:vAlign w:val="center"/>
                </w:tcPr>
                <w:p>
                  <w:pPr>
                    <w:pStyle w:val="79"/>
                    <w:rPr>
                      <w:color w:val="auto"/>
                      <w:szCs w:val="21"/>
                    </w:rPr>
                  </w:pPr>
                  <w:r>
                    <w:rPr>
                      <w:color w:val="auto"/>
                      <w:szCs w:val="21"/>
                    </w:rPr>
                    <w:t>官料河</w:t>
                  </w:r>
                </w:p>
              </w:tc>
              <w:tc>
                <w:tcPr>
                  <w:tcW w:w="1014" w:type="dxa"/>
                  <w:noWrap w:val="0"/>
                  <w:vAlign w:val="center"/>
                </w:tcPr>
                <w:p>
                  <w:pPr>
                    <w:pStyle w:val="79"/>
                    <w:rPr>
                      <w:color w:val="auto"/>
                      <w:szCs w:val="21"/>
                    </w:rPr>
                  </w:pPr>
                  <w:r>
                    <w:rPr>
                      <w:color w:val="auto"/>
                      <w:szCs w:val="21"/>
                    </w:rPr>
                    <w:t>南面</w:t>
                  </w:r>
                </w:p>
              </w:tc>
              <w:tc>
                <w:tcPr>
                  <w:tcW w:w="1422" w:type="dxa"/>
                  <w:noWrap w:val="0"/>
                  <w:vAlign w:val="center"/>
                </w:tcPr>
                <w:p>
                  <w:pPr>
                    <w:pStyle w:val="79"/>
                    <w:rPr>
                      <w:color w:val="auto"/>
                      <w:szCs w:val="21"/>
                    </w:rPr>
                  </w:pPr>
                  <w:r>
                    <w:rPr>
                      <w:color w:val="auto"/>
                      <w:szCs w:val="21"/>
                    </w:rPr>
                    <w:t>20m</w:t>
                  </w:r>
                </w:p>
              </w:tc>
              <w:tc>
                <w:tcPr>
                  <w:tcW w:w="846" w:type="dxa"/>
                  <w:noWrap w:val="0"/>
                  <w:vAlign w:val="center"/>
                </w:tcPr>
                <w:p>
                  <w:pPr>
                    <w:pStyle w:val="79"/>
                    <w:rPr>
                      <w:color w:val="auto"/>
                      <w:szCs w:val="21"/>
                    </w:rPr>
                  </w:pPr>
                  <w:r>
                    <w:rPr>
                      <w:color w:val="auto"/>
                      <w:szCs w:val="21"/>
                    </w:rPr>
                    <w:t>/</w:t>
                  </w:r>
                </w:p>
              </w:tc>
              <w:tc>
                <w:tcPr>
                  <w:tcW w:w="1981" w:type="dxa"/>
                  <w:noWrap w:val="0"/>
                  <w:vAlign w:val="center"/>
                </w:tcPr>
                <w:p>
                  <w:pPr>
                    <w:pStyle w:val="79"/>
                    <w:rPr>
                      <w:color w:val="auto"/>
                      <w:szCs w:val="21"/>
                    </w:rPr>
                  </w:pPr>
                  <w:r>
                    <w:rPr>
                      <w:bCs/>
                      <w:color w:val="auto"/>
                      <w:szCs w:val="21"/>
                      <w:lang w:bidi="ar"/>
                    </w:rPr>
                    <w:t>《地表水环境质量标准》（GB3838-2002）Ⅲ类标准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2" w:type="dxa"/>
                  <w:noWrap w:val="0"/>
                  <w:vAlign w:val="center"/>
                </w:tcPr>
                <w:p>
                  <w:pPr>
                    <w:pStyle w:val="79"/>
                    <w:rPr>
                      <w:color w:val="auto"/>
                      <w:szCs w:val="21"/>
                    </w:rPr>
                  </w:pPr>
                  <w:r>
                    <w:rPr>
                      <w:color w:val="auto"/>
                      <w:szCs w:val="21"/>
                    </w:rPr>
                    <w:t>地下水环境</w:t>
                  </w:r>
                </w:p>
              </w:tc>
              <w:tc>
                <w:tcPr>
                  <w:tcW w:w="2800" w:type="dxa"/>
                  <w:gridSpan w:val="2"/>
                  <w:noWrap w:val="0"/>
                  <w:vAlign w:val="center"/>
                </w:tcPr>
                <w:p>
                  <w:pPr>
                    <w:pStyle w:val="79"/>
                    <w:rPr>
                      <w:color w:val="auto"/>
                      <w:szCs w:val="21"/>
                    </w:rPr>
                  </w:pPr>
                  <w:r>
                    <w:rPr>
                      <w:color w:val="auto"/>
                      <w:szCs w:val="21"/>
                    </w:rPr>
                    <w:t>潜水含水层</w:t>
                  </w:r>
                </w:p>
              </w:tc>
              <w:tc>
                <w:tcPr>
                  <w:tcW w:w="3282" w:type="dxa"/>
                  <w:gridSpan w:val="3"/>
                  <w:noWrap w:val="0"/>
                  <w:vAlign w:val="center"/>
                </w:tcPr>
                <w:p>
                  <w:pPr>
                    <w:pStyle w:val="79"/>
                    <w:rPr>
                      <w:color w:val="auto"/>
                      <w:szCs w:val="21"/>
                    </w:rPr>
                  </w:pPr>
                  <w:r>
                    <w:rPr>
                      <w:color w:val="auto"/>
                      <w:szCs w:val="21"/>
                    </w:rPr>
                    <w:t>位于本项目区下含水层，主要保护第四系松散岩类孔隙含水、红层风化带裂隙水</w:t>
                  </w:r>
                </w:p>
              </w:tc>
              <w:tc>
                <w:tcPr>
                  <w:tcW w:w="1981" w:type="dxa"/>
                  <w:noWrap w:val="0"/>
                  <w:vAlign w:val="center"/>
                </w:tcPr>
                <w:p>
                  <w:pPr>
                    <w:pStyle w:val="79"/>
                    <w:rPr>
                      <w:bCs/>
                      <w:color w:val="auto"/>
                      <w:szCs w:val="21"/>
                      <w:lang w:bidi="ar"/>
                    </w:rPr>
                  </w:pPr>
                  <w:r>
                    <w:rPr>
                      <w:bCs/>
                      <w:color w:val="auto"/>
                      <w:szCs w:val="21"/>
                      <w:lang w:bidi="ar"/>
                    </w:rPr>
                    <w:t>《地下水质量标准》（GB/T14848-2017）Ⅲ类标准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2" w:type="dxa"/>
                  <w:noWrap w:val="0"/>
                  <w:vAlign w:val="center"/>
                </w:tcPr>
                <w:p>
                  <w:pPr>
                    <w:pStyle w:val="79"/>
                    <w:rPr>
                      <w:color w:val="auto"/>
                      <w:szCs w:val="21"/>
                    </w:rPr>
                  </w:pPr>
                  <w:r>
                    <w:rPr>
                      <w:color w:val="auto"/>
                      <w:szCs w:val="21"/>
                    </w:rPr>
                    <w:t>土壤</w:t>
                  </w:r>
                </w:p>
              </w:tc>
              <w:tc>
                <w:tcPr>
                  <w:tcW w:w="6082" w:type="dxa"/>
                  <w:gridSpan w:val="5"/>
                  <w:noWrap w:val="0"/>
                  <w:vAlign w:val="center"/>
                </w:tcPr>
                <w:p>
                  <w:pPr>
                    <w:pStyle w:val="79"/>
                    <w:rPr>
                      <w:color w:val="auto"/>
                      <w:szCs w:val="21"/>
                    </w:rPr>
                  </w:pPr>
                  <w:r>
                    <w:rPr>
                      <w:color w:val="auto"/>
                      <w:szCs w:val="21"/>
                    </w:rPr>
                    <w:t>工程施工期直接影响和间接影响的区域</w:t>
                  </w:r>
                </w:p>
              </w:tc>
              <w:tc>
                <w:tcPr>
                  <w:tcW w:w="1981" w:type="dxa"/>
                  <w:noWrap w:val="0"/>
                  <w:vAlign w:val="center"/>
                </w:tcPr>
                <w:p>
                  <w:pPr>
                    <w:pStyle w:val="79"/>
                    <w:rPr>
                      <w:bCs/>
                      <w:color w:val="auto"/>
                      <w:szCs w:val="21"/>
                      <w:lang w:bidi="ar"/>
                    </w:rPr>
                  </w:pPr>
                  <w:r>
                    <w:rPr>
                      <w:bCs/>
                      <w:color w:val="auto"/>
                      <w:szCs w:val="21"/>
                      <w:lang w:bidi="ar"/>
                    </w:rPr>
                    <w:t>《土壤环境质量  建设用地土壤污染风险管控标准（试行）》（GB36600-2018）筛选值中的“第二类用地”标准限值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2" w:type="dxa"/>
                  <w:noWrap w:val="0"/>
                  <w:vAlign w:val="center"/>
                </w:tcPr>
                <w:p>
                  <w:pPr>
                    <w:pStyle w:val="79"/>
                    <w:rPr>
                      <w:color w:val="auto"/>
                      <w:szCs w:val="21"/>
                    </w:rPr>
                  </w:pPr>
                  <w:r>
                    <w:rPr>
                      <w:color w:val="auto"/>
                      <w:szCs w:val="21"/>
                    </w:rPr>
                    <w:t>生态环境</w:t>
                  </w:r>
                </w:p>
              </w:tc>
              <w:tc>
                <w:tcPr>
                  <w:tcW w:w="6082" w:type="dxa"/>
                  <w:gridSpan w:val="5"/>
                  <w:noWrap w:val="0"/>
                  <w:vAlign w:val="center"/>
                </w:tcPr>
                <w:p>
                  <w:pPr>
                    <w:pStyle w:val="79"/>
                    <w:rPr>
                      <w:color w:val="auto"/>
                      <w:szCs w:val="21"/>
                    </w:rPr>
                  </w:pPr>
                  <w:r>
                    <w:rPr>
                      <w:color w:val="auto"/>
                      <w:szCs w:val="21"/>
                    </w:rPr>
                    <w:t>工程施工期直接影响和间接影响的区域</w:t>
                  </w:r>
                </w:p>
              </w:tc>
              <w:tc>
                <w:tcPr>
                  <w:tcW w:w="1981" w:type="dxa"/>
                  <w:noWrap w:val="0"/>
                  <w:vAlign w:val="center"/>
                </w:tcPr>
                <w:p>
                  <w:pPr>
                    <w:pStyle w:val="79"/>
                    <w:rPr>
                      <w:bCs/>
                      <w:color w:val="auto"/>
                      <w:szCs w:val="21"/>
                      <w:lang w:bidi="ar"/>
                    </w:rPr>
                  </w:pPr>
                  <w:r>
                    <w:rPr>
                      <w:bCs/>
                      <w:color w:val="auto"/>
                      <w:szCs w:val="21"/>
                      <w:lang w:bidi="ar"/>
                    </w:rPr>
                    <w:t>/</w:t>
                  </w:r>
                </w:p>
              </w:tc>
            </w:tr>
          </w:tbl>
          <w:p>
            <w:pPr>
              <w:adjustRightInd w:val="0"/>
              <w:snapToGrid w:val="0"/>
              <w:spacing w:line="360" w:lineRule="auto"/>
              <w:jc w:val="center"/>
              <w:rPr>
                <w:rFonts w:eastAsia="黑体"/>
                <w:bCs/>
                <w:color w:val="auto"/>
              </w:rPr>
            </w:pPr>
            <w:r>
              <w:rPr>
                <w:rFonts w:eastAsia="黑体"/>
                <w:bCs/>
                <w:color w:val="auto"/>
              </w:rPr>
              <w:t>表3-1</w:t>
            </w:r>
            <w:r>
              <w:rPr>
                <w:rFonts w:hint="eastAsia" w:eastAsia="黑体"/>
                <w:bCs/>
                <w:color w:val="auto"/>
                <w:lang w:val="en-US" w:eastAsia="zh-CN"/>
              </w:rPr>
              <w:t>4</w:t>
            </w:r>
            <w:r>
              <w:rPr>
                <w:rFonts w:eastAsia="黑体"/>
                <w:bCs/>
                <w:color w:val="auto"/>
              </w:rPr>
              <w:t xml:space="preserve">  配套管网周围主要环境保护目标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080"/>
              <w:gridCol w:w="2192"/>
              <w:gridCol w:w="894"/>
              <w:gridCol w:w="4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pPr>
                    <w:pStyle w:val="79"/>
                    <w:rPr>
                      <w:b/>
                      <w:bCs/>
                      <w:color w:val="auto"/>
                    </w:rPr>
                  </w:pPr>
                  <w:r>
                    <w:rPr>
                      <w:b/>
                      <w:bCs/>
                      <w:color w:val="auto"/>
                    </w:rPr>
                    <w:t>类别</w:t>
                  </w:r>
                </w:p>
              </w:tc>
              <w:tc>
                <w:tcPr>
                  <w:tcW w:w="1080" w:type="dxa"/>
                  <w:noWrap w:val="0"/>
                  <w:vAlign w:val="center"/>
                </w:tcPr>
                <w:p>
                  <w:pPr>
                    <w:pStyle w:val="79"/>
                    <w:rPr>
                      <w:b/>
                      <w:bCs/>
                      <w:color w:val="auto"/>
                    </w:rPr>
                  </w:pPr>
                  <w:r>
                    <w:rPr>
                      <w:b/>
                      <w:bCs/>
                      <w:color w:val="auto"/>
                    </w:rPr>
                    <w:t>保护目标</w:t>
                  </w:r>
                </w:p>
              </w:tc>
              <w:tc>
                <w:tcPr>
                  <w:tcW w:w="2192" w:type="dxa"/>
                  <w:noWrap w:val="0"/>
                  <w:vAlign w:val="center"/>
                </w:tcPr>
                <w:p>
                  <w:pPr>
                    <w:pStyle w:val="79"/>
                    <w:rPr>
                      <w:b/>
                      <w:bCs/>
                      <w:color w:val="auto"/>
                    </w:rPr>
                  </w:pPr>
                  <w:r>
                    <w:rPr>
                      <w:b/>
                      <w:bCs/>
                      <w:color w:val="auto"/>
                    </w:rPr>
                    <w:t>与管网的距离方位</w:t>
                  </w:r>
                </w:p>
              </w:tc>
              <w:tc>
                <w:tcPr>
                  <w:tcW w:w="894" w:type="dxa"/>
                  <w:noWrap w:val="0"/>
                  <w:vAlign w:val="center"/>
                </w:tcPr>
                <w:p>
                  <w:pPr>
                    <w:pStyle w:val="79"/>
                    <w:rPr>
                      <w:b/>
                      <w:bCs/>
                      <w:color w:val="auto"/>
                    </w:rPr>
                  </w:pPr>
                  <w:r>
                    <w:rPr>
                      <w:b/>
                      <w:bCs/>
                      <w:color w:val="auto"/>
                    </w:rPr>
                    <w:t>人数</w:t>
                  </w:r>
                </w:p>
              </w:tc>
              <w:tc>
                <w:tcPr>
                  <w:tcW w:w="4046" w:type="dxa"/>
                  <w:noWrap w:val="0"/>
                  <w:vAlign w:val="center"/>
                </w:tcPr>
                <w:p>
                  <w:pPr>
                    <w:pStyle w:val="79"/>
                    <w:rPr>
                      <w:b/>
                      <w:bCs/>
                      <w:color w:val="auto"/>
                    </w:rPr>
                  </w:pPr>
                  <w:r>
                    <w:rPr>
                      <w:b/>
                      <w:bCs/>
                      <w:color w:val="auto"/>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0" w:type="dxa"/>
                  <w:noWrap w:val="0"/>
                  <w:vAlign w:val="center"/>
                </w:tcPr>
                <w:p>
                  <w:pPr>
                    <w:pStyle w:val="79"/>
                    <w:rPr>
                      <w:color w:val="auto"/>
                    </w:rPr>
                  </w:pPr>
                  <w:r>
                    <w:rPr>
                      <w:color w:val="auto"/>
                    </w:rPr>
                    <w:t>空气环境和声环境</w:t>
                  </w:r>
                </w:p>
              </w:tc>
              <w:tc>
                <w:tcPr>
                  <w:tcW w:w="1080" w:type="dxa"/>
                  <w:noWrap w:val="0"/>
                  <w:vAlign w:val="center"/>
                </w:tcPr>
                <w:p>
                  <w:pPr>
                    <w:pStyle w:val="79"/>
                    <w:rPr>
                      <w:color w:val="auto"/>
                    </w:rPr>
                  </w:pPr>
                  <w:r>
                    <w:rPr>
                      <w:bCs/>
                      <w:color w:val="auto"/>
                      <w:lang w:bidi="ar"/>
                    </w:rPr>
                    <w:t>宜坪乡桐花村</w:t>
                  </w:r>
                  <w:r>
                    <w:rPr>
                      <w:color w:val="auto"/>
                      <w:szCs w:val="21"/>
                    </w:rPr>
                    <w:t>农户</w:t>
                  </w:r>
                </w:p>
              </w:tc>
              <w:tc>
                <w:tcPr>
                  <w:tcW w:w="2192" w:type="dxa"/>
                  <w:noWrap w:val="0"/>
                  <w:vAlign w:val="center"/>
                </w:tcPr>
                <w:p>
                  <w:pPr>
                    <w:pStyle w:val="79"/>
                    <w:rPr>
                      <w:color w:val="auto"/>
                    </w:rPr>
                  </w:pPr>
                  <w:r>
                    <w:rPr>
                      <w:color w:val="auto"/>
                    </w:rPr>
                    <w:t>交叉分布在管网周围，离管网1～10m</w:t>
                  </w:r>
                </w:p>
              </w:tc>
              <w:tc>
                <w:tcPr>
                  <w:tcW w:w="894" w:type="dxa"/>
                  <w:noWrap w:val="0"/>
                  <w:vAlign w:val="center"/>
                </w:tcPr>
                <w:p>
                  <w:pPr>
                    <w:pStyle w:val="79"/>
                    <w:rPr>
                      <w:color w:val="auto"/>
                    </w:rPr>
                  </w:pPr>
                  <w:r>
                    <w:rPr>
                      <w:color w:val="auto"/>
                    </w:rPr>
                    <w:t>300人</w:t>
                  </w:r>
                </w:p>
              </w:tc>
              <w:tc>
                <w:tcPr>
                  <w:tcW w:w="4046" w:type="dxa"/>
                  <w:noWrap w:val="0"/>
                  <w:vAlign w:val="center"/>
                </w:tcPr>
                <w:p>
                  <w:pPr>
                    <w:pStyle w:val="79"/>
                    <w:rPr>
                      <w:color w:val="auto"/>
                    </w:rPr>
                  </w:pPr>
                  <w:r>
                    <w:rPr>
                      <w:color w:val="auto"/>
                    </w:rPr>
                    <w:t>《环境空气质量标准》（GB3095-2012）二类标准</w:t>
                  </w:r>
                </w:p>
                <w:p>
                  <w:pPr>
                    <w:pStyle w:val="79"/>
                    <w:rPr>
                      <w:color w:val="auto"/>
                    </w:rPr>
                  </w:pPr>
                  <w:r>
                    <w:rPr>
                      <w:color w:val="auto"/>
                    </w:rPr>
                    <w:t>《声环境质量标准》（GB3096-2008）2类标准</w:t>
                  </w:r>
                </w:p>
              </w:tc>
            </w:tr>
          </w:tbl>
          <w:p>
            <w:pPr>
              <w:pStyle w:val="12"/>
              <w:spacing w:line="360" w:lineRule="auto"/>
              <w:rPr>
                <w:color w:val="auto"/>
                <w:highlight w:val="cyan"/>
              </w:rPr>
            </w:pPr>
          </w:p>
        </w:tc>
      </w:tr>
    </w:tbl>
    <w:p>
      <w:pPr>
        <w:outlineLvl w:val="0"/>
        <w:rPr>
          <w:rFonts w:eastAsia="黑体"/>
          <w:color w:val="auto"/>
          <w:sz w:val="32"/>
          <w:szCs w:val="32"/>
        </w:rPr>
      </w:pPr>
      <w:r>
        <w:rPr>
          <w:b/>
          <w:color w:val="auto"/>
          <w:sz w:val="32"/>
          <w:szCs w:val="32"/>
        </w:rPr>
        <w:br w:type="page"/>
      </w:r>
      <w:r>
        <w:rPr>
          <w:rFonts w:eastAsia="黑体"/>
          <w:bCs/>
          <w:color w:val="auto"/>
          <w:sz w:val="32"/>
          <w:szCs w:val="32"/>
        </w:rPr>
        <w:t xml:space="preserve">评价适用标准                                  </w:t>
      </w:r>
      <w:r>
        <w:rPr>
          <w:rFonts w:hint="eastAsia" w:eastAsia="黑体"/>
          <w:bCs/>
          <w:color w:val="auto"/>
          <w:sz w:val="32"/>
          <w:szCs w:val="32"/>
          <w:lang w:val="en-US" w:eastAsia="zh-CN"/>
        </w:rPr>
        <w:t xml:space="preserve"> </w:t>
      </w:r>
      <w:r>
        <w:rPr>
          <w:rFonts w:eastAsia="黑体"/>
          <w:bCs/>
          <w:color w:val="auto"/>
          <w:sz w:val="32"/>
          <w:szCs w:val="32"/>
        </w:rPr>
        <w:t xml:space="preserve">  （表四）</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648" w:type="dxa"/>
            <w:noWrap w:val="0"/>
            <w:vAlign w:val="center"/>
          </w:tcPr>
          <w:p>
            <w:pPr>
              <w:jc w:val="center"/>
              <w:rPr>
                <w:b/>
                <w:bCs/>
                <w:color w:val="auto"/>
              </w:rPr>
            </w:pPr>
            <w:r>
              <w:rPr>
                <w:b/>
                <w:bCs/>
                <w:color w:val="auto"/>
              </w:rPr>
              <w:t>环</w:t>
            </w:r>
          </w:p>
          <w:p>
            <w:pPr>
              <w:jc w:val="center"/>
              <w:rPr>
                <w:b/>
                <w:bCs/>
                <w:color w:val="auto"/>
              </w:rPr>
            </w:pPr>
            <w:r>
              <w:rPr>
                <w:b/>
                <w:bCs/>
                <w:color w:val="auto"/>
              </w:rPr>
              <w:t>境</w:t>
            </w:r>
          </w:p>
          <w:p>
            <w:pPr>
              <w:jc w:val="center"/>
              <w:rPr>
                <w:b/>
                <w:bCs/>
                <w:color w:val="auto"/>
              </w:rPr>
            </w:pPr>
            <w:r>
              <w:rPr>
                <w:b/>
                <w:bCs/>
                <w:color w:val="auto"/>
              </w:rPr>
              <w:t>质</w:t>
            </w:r>
          </w:p>
          <w:p>
            <w:pPr>
              <w:jc w:val="center"/>
              <w:rPr>
                <w:b/>
                <w:bCs/>
                <w:color w:val="auto"/>
              </w:rPr>
            </w:pPr>
            <w:r>
              <w:rPr>
                <w:b/>
                <w:bCs/>
                <w:color w:val="auto"/>
              </w:rPr>
              <w:t>量</w:t>
            </w:r>
          </w:p>
          <w:p>
            <w:pPr>
              <w:jc w:val="center"/>
              <w:rPr>
                <w:b/>
                <w:bCs/>
                <w:color w:val="auto"/>
              </w:rPr>
            </w:pPr>
            <w:r>
              <w:rPr>
                <w:b/>
                <w:bCs/>
                <w:color w:val="auto"/>
              </w:rPr>
              <w:t>标</w:t>
            </w:r>
          </w:p>
          <w:p>
            <w:pPr>
              <w:jc w:val="center"/>
              <w:rPr>
                <w:color w:val="auto"/>
                <w:sz w:val="30"/>
                <w:highlight w:val="cyan"/>
              </w:rPr>
            </w:pPr>
            <w:r>
              <w:rPr>
                <w:b/>
                <w:bCs/>
                <w:color w:val="auto"/>
              </w:rPr>
              <w:t>准</w:t>
            </w:r>
          </w:p>
        </w:tc>
        <w:tc>
          <w:tcPr>
            <w:tcW w:w="8382" w:type="dxa"/>
            <w:noWrap w:val="0"/>
            <w:vAlign w:val="center"/>
          </w:tcPr>
          <w:p>
            <w:pPr>
              <w:adjustRightInd w:val="0"/>
              <w:snapToGrid w:val="0"/>
              <w:spacing w:line="360" w:lineRule="auto"/>
              <w:ind w:firstLine="480" w:firstLineChars="200"/>
              <w:rPr>
                <w:color w:val="auto"/>
              </w:rPr>
            </w:pPr>
            <w:r>
              <w:rPr>
                <w:color w:val="auto"/>
              </w:rPr>
              <w:t>1、环境空气质量执行《环境空气质量标准》（GB3095-2012）中的二级标准。NH</w:t>
            </w:r>
            <w:r>
              <w:rPr>
                <w:color w:val="auto"/>
                <w:vertAlign w:val="subscript"/>
              </w:rPr>
              <w:t>3</w:t>
            </w:r>
            <w:r>
              <w:rPr>
                <w:color w:val="auto"/>
              </w:rPr>
              <w:t>、H</w:t>
            </w:r>
            <w:r>
              <w:rPr>
                <w:color w:val="auto"/>
                <w:vertAlign w:val="subscript"/>
              </w:rPr>
              <w:t>2</w:t>
            </w:r>
            <w:r>
              <w:rPr>
                <w:color w:val="auto"/>
              </w:rPr>
              <w:t>S执行《环境影响技术导则大气环境》（HJ2.2-2018）附录D其他污染物空气质量浓度参考限值。</w:t>
            </w:r>
          </w:p>
          <w:p>
            <w:pPr>
              <w:adjustRightInd w:val="0"/>
              <w:snapToGrid w:val="0"/>
              <w:spacing w:line="360" w:lineRule="auto"/>
              <w:jc w:val="center"/>
              <w:rPr>
                <w:rFonts w:eastAsia="黑体"/>
                <w:color w:val="auto"/>
                <w:spacing w:val="20"/>
                <w:kern w:val="0"/>
              </w:rPr>
            </w:pPr>
            <w:r>
              <w:rPr>
                <w:rFonts w:eastAsia="黑体"/>
                <w:color w:val="auto"/>
                <w:spacing w:val="20"/>
                <w:kern w:val="0"/>
              </w:rPr>
              <w:t>表4-1  空气环境质量评价标准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2250"/>
              <w:gridCol w:w="2281"/>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noWrap w:val="0"/>
                  <w:vAlign w:val="center"/>
                </w:tcPr>
                <w:p>
                  <w:pPr>
                    <w:jc w:val="center"/>
                    <w:rPr>
                      <w:color w:val="auto"/>
                      <w:sz w:val="21"/>
                      <w:szCs w:val="21"/>
                    </w:rPr>
                  </w:pPr>
                  <w:r>
                    <w:rPr>
                      <w:color w:val="auto"/>
                      <w:sz w:val="21"/>
                      <w:szCs w:val="21"/>
                    </w:rPr>
                    <w:t>污染物名称</w:t>
                  </w:r>
                </w:p>
              </w:tc>
              <w:tc>
                <w:tcPr>
                  <w:tcW w:w="2250" w:type="dxa"/>
                  <w:noWrap w:val="0"/>
                  <w:vAlign w:val="center"/>
                </w:tcPr>
                <w:p>
                  <w:pPr>
                    <w:jc w:val="center"/>
                    <w:rPr>
                      <w:color w:val="auto"/>
                      <w:sz w:val="21"/>
                      <w:szCs w:val="21"/>
                    </w:rPr>
                  </w:pPr>
                  <w:r>
                    <w:rPr>
                      <w:color w:val="auto"/>
                      <w:sz w:val="21"/>
                      <w:szCs w:val="21"/>
                    </w:rPr>
                    <w:t>取值时间</w:t>
                  </w:r>
                </w:p>
              </w:tc>
              <w:tc>
                <w:tcPr>
                  <w:tcW w:w="2281" w:type="dxa"/>
                  <w:noWrap w:val="0"/>
                  <w:vAlign w:val="center"/>
                </w:tcPr>
                <w:p>
                  <w:pPr>
                    <w:jc w:val="center"/>
                    <w:rPr>
                      <w:color w:val="auto"/>
                      <w:sz w:val="21"/>
                      <w:szCs w:val="21"/>
                    </w:rPr>
                  </w:pPr>
                  <w:r>
                    <w:rPr>
                      <w:color w:val="auto"/>
                      <w:sz w:val="21"/>
                      <w:szCs w:val="21"/>
                    </w:rPr>
                    <w:t>标准浓度限值（mg/m</w:t>
                  </w:r>
                  <w:r>
                    <w:rPr>
                      <w:color w:val="auto"/>
                      <w:sz w:val="21"/>
                      <w:szCs w:val="21"/>
                      <w:vertAlign w:val="superscript"/>
                    </w:rPr>
                    <w:t>3</w:t>
                  </w:r>
                  <w:r>
                    <w:rPr>
                      <w:color w:val="auto"/>
                      <w:sz w:val="21"/>
                      <w:szCs w:val="21"/>
                    </w:rPr>
                    <w:t>）</w:t>
                  </w:r>
                </w:p>
              </w:tc>
              <w:tc>
                <w:tcPr>
                  <w:tcW w:w="2039" w:type="dxa"/>
                  <w:noWrap w:val="0"/>
                  <w:vAlign w:val="center"/>
                </w:tcPr>
                <w:p>
                  <w:pPr>
                    <w:jc w:val="center"/>
                    <w:rPr>
                      <w:color w:val="auto"/>
                      <w:sz w:val="21"/>
                      <w:szCs w:val="21"/>
                    </w:rPr>
                  </w:pPr>
                  <w:r>
                    <w:rPr>
                      <w:color w:val="auto"/>
                      <w:sz w:val="21"/>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noWrap w:val="0"/>
                  <w:vAlign w:val="center"/>
                </w:tcPr>
                <w:p>
                  <w:pPr>
                    <w:jc w:val="center"/>
                    <w:rPr>
                      <w:color w:val="auto"/>
                      <w:sz w:val="21"/>
                      <w:szCs w:val="21"/>
                    </w:rPr>
                  </w:pPr>
                  <w:r>
                    <w:rPr>
                      <w:color w:val="auto"/>
                      <w:sz w:val="21"/>
                      <w:szCs w:val="21"/>
                    </w:rPr>
                    <w:t>SO</w:t>
                  </w:r>
                  <w:r>
                    <w:rPr>
                      <w:color w:val="auto"/>
                      <w:sz w:val="21"/>
                      <w:szCs w:val="21"/>
                      <w:vertAlign w:val="subscript"/>
                    </w:rPr>
                    <w:t>2</w:t>
                  </w:r>
                </w:p>
              </w:tc>
              <w:tc>
                <w:tcPr>
                  <w:tcW w:w="2250" w:type="dxa"/>
                  <w:noWrap w:val="0"/>
                  <w:vAlign w:val="center"/>
                </w:tcPr>
                <w:p>
                  <w:pPr>
                    <w:jc w:val="center"/>
                    <w:rPr>
                      <w:color w:val="auto"/>
                      <w:sz w:val="21"/>
                      <w:szCs w:val="21"/>
                    </w:rPr>
                  </w:pPr>
                  <w:r>
                    <w:rPr>
                      <w:color w:val="auto"/>
                      <w:sz w:val="21"/>
                      <w:szCs w:val="21"/>
                    </w:rPr>
                    <w:t>年平均</w:t>
                  </w:r>
                </w:p>
              </w:tc>
              <w:tc>
                <w:tcPr>
                  <w:tcW w:w="2281" w:type="dxa"/>
                  <w:noWrap w:val="0"/>
                  <w:vAlign w:val="center"/>
                </w:tcPr>
                <w:p>
                  <w:pPr>
                    <w:jc w:val="center"/>
                    <w:rPr>
                      <w:color w:val="auto"/>
                      <w:sz w:val="21"/>
                      <w:szCs w:val="21"/>
                    </w:rPr>
                  </w:pPr>
                  <w:r>
                    <w:rPr>
                      <w:color w:val="auto"/>
                      <w:sz w:val="21"/>
                      <w:szCs w:val="21"/>
                    </w:rPr>
                    <w:t>0.06</w:t>
                  </w:r>
                </w:p>
              </w:tc>
              <w:tc>
                <w:tcPr>
                  <w:tcW w:w="2039" w:type="dxa"/>
                  <w:vMerge w:val="restart"/>
                  <w:noWrap w:val="0"/>
                  <w:vAlign w:val="center"/>
                </w:tcPr>
                <w:p>
                  <w:pPr>
                    <w:jc w:val="center"/>
                    <w:rPr>
                      <w:color w:val="auto"/>
                      <w:sz w:val="21"/>
                      <w:szCs w:val="21"/>
                    </w:rPr>
                  </w:pPr>
                  <w:r>
                    <w:rPr>
                      <w:color w:val="auto"/>
                      <w:sz w:val="21"/>
                      <w:szCs w:val="21"/>
                    </w:rPr>
                    <w:t>《环境空气质量标准》（GB3095-2012）二级标准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日平均</w:t>
                  </w:r>
                </w:p>
              </w:tc>
              <w:tc>
                <w:tcPr>
                  <w:tcW w:w="2281" w:type="dxa"/>
                  <w:noWrap w:val="0"/>
                  <w:vAlign w:val="center"/>
                </w:tcPr>
                <w:p>
                  <w:pPr>
                    <w:jc w:val="center"/>
                    <w:rPr>
                      <w:color w:val="auto"/>
                      <w:sz w:val="21"/>
                      <w:szCs w:val="21"/>
                    </w:rPr>
                  </w:pPr>
                  <w:r>
                    <w:rPr>
                      <w:color w:val="auto"/>
                      <w:sz w:val="21"/>
                      <w:szCs w:val="21"/>
                    </w:rPr>
                    <w:t>0.15</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0.50</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noWrap w:val="0"/>
                  <w:vAlign w:val="center"/>
                </w:tcPr>
                <w:p>
                  <w:pPr>
                    <w:jc w:val="center"/>
                    <w:rPr>
                      <w:color w:val="auto"/>
                      <w:sz w:val="21"/>
                      <w:szCs w:val="21"/>
                    </w:rPr>
                  </w:pPr>
                  <w:r>
                    <w:rPr>
                      <w:color w:val="auto"/>
                      <w:sz w:val="21"/>
                      <w:szCs w:val="21"/>
                    </w:rPr>
                    <w:t>NO</w:t>
                  </w:r>
                  <w:r>
                    <w:rPr>
                      <w:color w:val="auto"/>
                      <w:sz w:val="21"/>
                      <w:szCs w:val="21"/>
                      <w:vertAlign w:val="subscript"/>
                    </w:rPr>
                    <w:t>2</w:t>
                  </w:r>
                </w:p>
              </w:tc>
              <w:tc>
                <w:tcPr>
                  <w:tcW w:w="2250" w:type="dxa"/>
                  <w:noWrap w:val="0"/>
                  <w:vAlign w:val="center"/>
                </w:tcPr>
                <w:p>
                  <w:pPr>
                    <w:jc w:val="center"/>
                    <w:rPr>
                      <w:color w:val="auto"/>
                      <w:sz w:val="21"/>
                      <w:szCs w:val="21"/>
                    </w:rPr>
                  </w:pPr>
                  <w:r>
                    <w:rPr>
                      <w:color w:val="auto"/>
                      <w:sz w:val="21"/>
                      <w:szCs w:val="21"/>
                    </w:rPr>
                    <w:t>年平均</w:t>
                  </w:r>
                </w:p>
              </w:tc>
              <w:tc>
                <w:tcPr>
                  <w:tcW w:w="2281" w:type="dxa"/>
                  <w:noWrap w:val="0"/>
                  <w:vAlign w:val="center"/>
                </w:tcPr>
                <w:p>
                  <w:pPr>
                    <w:jc w:val="center"/>
                    <w:rPr>
                      <w:color w:val="auto"/>
                      <w:sz w:val="21"/>
                      <w:szCs w:val="21"/>
                    </w:rPr>
                  </w:pPr>
                  <w:r>
                    <w:rPr>
                      <w:color w:val="auto"/>
                      <w:sz w:val="21"/>
                      <w:szCs w:val="21"/>
                    </w:rPr>
                    <w:t>0.04</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日平均</w:t>
                  </w:r>
                </w:p>
              </w:tc>
              <w:tc>
                <w:tcPr>
                  <w:tcW w:w="2281" w:type="dxa"/>
                  <w:noWrap w:val="0"/>
                  <w:vAlign w:val="center"/>
                </w:tcPr>
                <w:p>
                  <w:pPr>
                    <w:jc w:val="center"/>
                    <w:rPr>
                      <w:color w:val="auto"/>
                      <w:sz w:val="21"/>
                      <w:szCs w:val="21"/>
                    </w:rPr>
                  </w:pPr>
                  <w:r>
                    <w:rPr>
                      <w:color w:val="auto"/>
                      <w:sz w:val="21"/>
                      <w:szCs w:val="21"/>
                    </w:rPr>
                    <w:t>0.08</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0.20</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1586" w:type="dxa"/>
                  <w:vMerge w:val="restart"/>
                  <w:noWrap w:val="0"/>
                  <w:vAlign w:val="center"/>
                </w:tcPr>
                <w:p>
                  <w:pPr>
                    <w:jc w:val="center"/>
                    <w:rPr>
                      <w:color w:val="auto"/>
                      <w:sz w:val="21"/>
                      <w:szCs w:val="21"/>
                    </w:rPr>
                  </w:pPr>
                  <w:r>
                    <w:rPr>
                      <w:color w:val="auto"/>
                      <w:sz w:val="21"/>
                      <w:szCs w:val="21"/>
                    </w:rPr>
                    <w:t>CO</w:t>
                  </w:r>
                </w:p>
              </w:tc>
              <w:tc>
                <w:tcPr>
                  <w:tcW w:w="2250" w:type="dxa"/>
                  <w:noWrap w:val="0"/>
                  <w:vAlign w:val="center"/>
                </w:tcPr>
                <w:p>
                  <w:pPr>
                    <w:jc w:val="center"/>
                    <w:rPr>
                      <w:color w:val="auto"/>
                      <w:sz w:val="21"/>
                      <w:szCs w:val="21"/>
                    </w:rPr>
                  </w:pPr>
                  <w:r>
                    <w:rPr>
                      <w:color w:val="auto"/>
                      <w:sz w:val="21"/>
                      <w:szCs w:val="21"/>
                    </w:rPr>
                    <w:t>日平均</w:t>
                  </w:r>
                </w:p>
              </w:tc>
              <w:tc>
                <w:tcPr>
                  <w:tcW w:w="2281" w:type="dxa"/>
                  <w:noWrap w:val="0"/>
                  <w:vAlign w:val="center"/>
                </w:tcPr>
                <w:p>
                  <w:pPr>
                    <w:jc w:val="center"/>
                    <w:rPr>
                      <w:color w:val="auto"/>
                      <w:sz w:val="21"/>
                      <w:szCs w:val="21"/>
                    </w:rPr>
                  </w:pPr>
                  <w:r>
                    <w:rPr>
                      <w:color w:val="auto"/>
                      <w:sz w:val="21"/>
                      <w:szCs w:val="21"/>
                    </w:rPr>
                    <w:t>4</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10</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586" w:type="dxa"/>
                  <w:vMerge w:val="restart"/>
                  <w:noWrap w:val="0"/>
                  <w:vAlign w:val="center"/>
                </w:tcPr>
                <w:p>
                  <w:pPr>
                    <w:jc w:val="center"/>
                    <w:rPr>
                      <w:color w:val="auto"/>
                      <w:sz w:val="21"/>
                      <w:szCs w:val="21"/>
                    </w:rPr>
                  </w:pPr>
                  <w:r>
                    <w:rPr>
                      <w:color w:val="auto"/>
                      <w:sz w:val="21"/>
                      <w:szCs w:val="21"/>
                    </w:rPr>
                    <w:t>O</w:t>
                  </w:r>
                  <w:r>
                    <w:rPr>
                      <w:color w:val="auto"/>
                      <w:sz w:val="21"/>
                      <w:szCs w:val="21"/>
                      <w:vertAlign w:val="subscript"/>
                    </w:rPr>
                    <w:t>3</w:t>
                  </w:r>
                </w:p>
              </w:tc>
              <w:tc>
                <w:tcPr>
                  <w:tcW w:w="2250" w:type="dxa"/>
                  <w:noWrap w:val="0"/>
                  <w:vAlign w:val="center"/>
                </w:tcPr>
                <w:p>
                  <w:pPr>
                    <w:jc w:val="center"/>
                    <w:rPr>
                      <w:color w:val="auto"/>
                      <w:sz w:val="21"/>
                      <w:szCs w:val="21"/>
                    </w:rPr>
                  </w:pPr>
                  <w:r>
                    <w:rPr>
                      <w:color w:val="auto"/>
                      <w:sz w:val="21"/>
                      <w:szCs w:val="21"/>
                    </w:rPr>
                    <w:t>日最大8小时平均</w:t>
                  </w:r>
                </w:p>
              </w:tc>
              <w:tc>
                <w:tcPr>
                  <w:tcW w:w="2281" w:type="dxa"/>
                  <w:noWrap w:val="0"/>
                  <w:vAlign w:val="center"/>
                </w:tcPr>
                <w:p>
                  <w:pPr>
                    <w:jc w:val="center"/>
                    <w:rPr>
                      <w:color w:val="auto"/>
                      <w:sz w:val="21"/>
                      <w:szCs w:val="21"/>
                    </w:rPr>
                  </w:pPr>
                  <w:r>
                    <w:rPr>
                      <w:color w:val="auto"/>
                      <w:sz w:val="21"/>
                      <w:szCs w:val="21"/>
                    </w:rPr>
                    <w:t>0.16</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0.20</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vMerge w:val="restart"/>
                  <w:noWrap w:val="0"/>
                  <w:vAlign w:val="center"/>
                </w:tcPr>
                <w:p>
                  <w:pPr>
                    <w:jc w:val="center"/>
                    <w:rPr>
                      <w:color w:val="auto"/>
                      <w:sz w:val="21"/>
                      <w:szCs w:val="21"/>
                    </w:rPr>
                  </w:pPr>
                  <w:r>
                    <w:rPr>
                      <w:color w:val="auto"/>
                      <w:sz w:val="21"/>
                      <w:szCs w:val="21"/>
                    </w:rPr>
                    <w:t>PM</w:t>
                  </w:r>
                  <w:r>
                    <w:rPr>
                      <w:color w:val="auto"/>
                      <w:sz w:val="21"/>
                      <w:szCs w:val="21"/>
                      <w:vertAlign w:val="subscript"/>
                    </w:rPr>
                    <w:t>10</w:t>
                  </w:r>
                </w:p>
              </w:tc>
              <w:tc>
                <w:tcPr>
                  <w:tcW w:w="2250" w:type="dxa"/>
                  <w:noWrap w:val="0"/>
                  <w:vAlign w:val="center"/>
                </w:tcPr>
                <w:p>
                  <w:pPr>
                    <w:jc w:val="center"/>
                    <w:rPr>
                      <w:color w:val="auto"/>
                      <w:sz w:val="21"/>
                      <w:szCs w:val="21"/>
                    </w:rPr>
                  </w:pPr>
                  <w:r>
                    <w:rPr>
                      <w:color w:val="auto"/>
                      <w:sz w:val="21"/>
                      <w:szCs w:val="21"/>
                    </w:rPr>
                    <w:t>年平均</w:t>
                  </w:r>
                </w:p>
              </w:tc>
              <w:tc>
                <w:tcPr>
                  <w:tcW w:w="2281" w:type="dxa"/>
                  <w:noWrap w:val="0"/>
                  <w:vAlign w:val="center"/>
                </w:tcPr>
                <w:p>
                  <w:pPr>
                    <w:jc w:val="center"/>
                    <w:rPr>
                      <w:color w:val="auto"/>
                      <w:sz w:val="21"/>
                      <w:szCs w:val="21"/>
                    </w:rPr>
                  </w:pPr>
                  <w:r>
                    <w:rPr>
                      <w:color w:val="auto"/>
                      <w:sz w:val="21"/>
                      <w:szCs w:val="21"/>
                    </w:rPr>
                    <w:t>0.07</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日平均</w:t>
                  </w:r>
                </w:p>
              </w:tc>
              <w:tc>
                <w:tcPr>
                  <w:tcW w:w="2281" w:type="dxa"/>
                  <w:noWrap w:val="0"/>
                  <w:vAlign w:val="center"/>
                </w:tcPr>
                <w:p>
                  <w:pPr>
                    <w:jc w:val="center"/>
                    <w:rPr>
                      <w:color w:val="auto"/>
                      <w:sz w:val="21"/>
                      <w:szCs w:val="21"/>
                    </w:rPr>
                  </w:pPr>
                  <w:r>
                    <w:rPr>
                      <w:color w:val="auto"/>
                      <w:sz w:val="21"/>
                      <w:szCs w:val="21"/>
                    </w:rPr>
                    <w:t>0.15</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586" w:type="dxa"/>
                  <w:vMerge w:val="restart"/>
                  <w:noWrap w:val="0"/>
                  <w:vAlign w:val="center"/>
                </w:tcPr>
                <w:p>
                  <w:pPr>
                    <w:jc w:val="center"/>
                    <w:rPr>
                      <w:color w:val="auto"/>
                      <w:sz w:val="21"/>
                      <w:szCs w:val="21"/>
                    </w:rPr>
                  </w:pPr>
                  <w:r>
                    <w:rPr>
                      <w:color w:val="auto"/>
                      <w:sz w:val="21"/>
                      <w:szCs w:val="21"/>
                    </w:rPr>
                    <w:t>PM</w:t>
                  </w:r>
                  <w:r>
                    <w:rPr>
                      <w:color w:val="auto"/>
                      <w:sz w:val="21"/>
                      <w:szCs w:val="21"/>
                      <w:vertAlign w:val="subscript"/>
                    </w:rPr>
                    <w:t>2.5</w:t>
                  </w:r>
                </w:p>
              </w:tc>
              <w:tc>
                <w:tcPr>
                  <w:tcW w:w="2250" w:type="dxa"/>
                  <w:noWrap w:val="0"/>
                  <w:vAlign w:val="center"/>
                </w:tcPr>
                <w:p>
                  <w:pPr>
                    <w:jc w:val="center"/>
                    <w:rPr>
                      <w:color w:val="auto"/>
                      <w:sz w:val="21"/>
                      <w:szCs w:val="21"/>
                    </w:rPr>
                  </w:pPr>
                  <w:r>
                    <w:rPr>
                      <w:color w:val="auto"/>
                      <w:sz w:val="21"/>
                      <w:szCs w:val="21"/>
                    </w:rPr>
                    <w:t>年平均</w:t>
                  </w:r>
                </w:p>
              </w:tc>
              <w:tc>
                <w:tcPr>
                  <w:tcW w:w="2281" w:type="dxa"/>
                  <w:noWrap w:val="0"/>
                  <w:vAlign w:val="center"/>
                </w:tcPr>
                <w:p>
                  <w:pPr>
                    <w:jc w:val="center"/>
                    <w:rPr>
                      <w:color w:val="auto"/>
                      <w:sz w:val="21"/>
                      <w:szCs w:val="21"/>
                    </w:rPr>
                  </w:pPr>
                  <w:r>
                    <w:rPr>
                      <w:color w:val="auto"/>
                      <w:sz w:val="21"/>
                      <w:szCs w:val="21"/>
                    </w:rPr>
                    <w:t>0.035</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586" w:type="dxa"/>
                  <w:vMerge w:val="continue"/>
                  <w:noWrap w:val="0"/>
                  <w:vAlign w:val="center"/>
                </w:tcPr>
                <w:p>
                  <w:pPr>
                    <w:jc w:val="center"/>
                    <w:rPr>
                      <w:color w:val="auto"/>
                      <w:sz w:val="21"/>
                      <w:szCs w:val="21"/>
                    </w:rPr>
                  </w:pPr>
                </w:p>
              </w:tc>
              <w:tc>
                <w:tcPr>
                  <w:tcW w:w="2250" w:type="dxa"/>
                  <w:noWrap w:val="0"/>
                  <w:vAlign w:val="center"/>
                </w:tcPr>
                <w:p>
                  <w:pPr>
                    <w:jc w:val="center"/>
                    <w:rPr>
                      <w:color w:val="auto"/>
                      <w:sz w:val="21"/>
                      <w:szCs w:val="21"/>
                    </w:rPr>
                  </w:pPr>
                  <w:r>
                    <w:rPr>
                      <w:color w:val="auto"/>
                      <w:sz w:val="21"/>
                      <w:szCs w:val="21"/>
                    </w:rPr>
                    <w:t>日平均</w:t>
                  </w:r>
                </w:p>
              </w:tc>
              <w:tc>
                <w:tcPr>
                  <w:tcW w:w="2281" w:type="dxa"/>
                  <w:noWrap w:val="0"/>
                  <w:vAlign w:val="center"/>
                </w:tcPr>
                <w:p>
                  <w:pPr>
                    <w:jc w:val="center"/>
                    <w:rPr>
                      <w:color w:val="auto"/>
                      <w:sz w:val="21"/>
                      <w:szCs w:val="21"/>
                    </w:rPr>
                  </w:pPr>
                  <w:r>
                    <w:rPr>
                      <w:color w:val="auto"/>
                      <w:sz w:val="21"/>
                      <w:szCs w:val="21"/>
                    </w:rPr>
                    <w:t>0.075</w:t>
                  </w:r>
                </w:p>
              </w:tc>
              <w:tc>
                <w:tcPr>
                  <w:tcW w:w="2039"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noWrap w:val="0"/>
                  <w:vAlign w:val="center"/>
                </w:tcPr>
                <w:p>
                  <w:pPr>
                    <w:jc w:val="center"/>
                    <w:rPr>
                      <w:color w:val="auto"/>
                      <w:sz w:val="21"/>
                      <w:szCs w:val="21"/>
                    </w:rPr>
                  </w:pPr>
                  <w:r>
                    <w:rPr>
                      <w:color w:val="auto"/>
                      <w:sz w:val="21"/>
                      <w:szCs w:val="21"/>
                    </w:rPr>
                    <w:t>H</w:t>
                  </w:r>
                  <w:r>
                    <w:rPr>
                      <w:color w:val="auto"/>
                      <w:sz w:val="21"/>
                      <w:szCs w:val="21"/>
                      <w:vertAlign w:val="subscript"/>
                    </w:rPr>
                    <w:t>2</w:t>
                  </w:r>
                  <w:r>
                    <w:rPr>
                      <w:color w:val="auto"/>
                      <w:sz w:val="21"/>
                      <w:szCs w:val="21"/>
                    </w:rPr>
                    <w:t>S</w:t>
                  </w: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0.01</w:t>
                  </w:r>
                </w:p>
              </w:tc>
              <w:tc>
                <w:tcPr>
                  <w:tcW w:w="2039" w:type="dxa"/>
                  <w:vMerge w:val="restart"/>
                  <w:noWrap w:val="0"/>
                  <w:vAlign w:val="center"/>
                </w:tcPr>
                <w:p>
                  <w:pPr>
                    <w:jc w:val="center"/>
                    <w:rPr>
                      <w:color w:val="auto"/>
                      <w:sz w:val="21"/>
                      <w:szCs w:val="21"/>
                    </w:rPr>
                  </w:pPr>
                  <w:r>
                    <w:rPr>
                      <w:color w:val="auto"/>
                      <w:sz w:val="21"/>
                      <w:szCs w:val="21"/>
                    </w:rPr>
                    <w:t>（HJ2.2-2018）附录D其他污染物空气质量浓度标准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86" w:type="dxa"/>
                  <w:noWrap w:val="0"/>
                  <w:vAlign w:val="center"/>
                </w:tcPr>
                <w:p>
                  <w:pPr>
                    <w:jc w:val="center"/>
                    <w:rPr>
                      <w:color w:val="auto"/>
                      <w:sz w:val="21"/>
                      <w:szCs w:val="21"/>
                    </w:rPr>
                  </w:pPr>
                  <w:r>
                    <w:rPr>
                      <w:color w:val="auto"/>
                      <w:sz w:val="21"/>
                      <w:szCs w:val="21"/>
                    </w:rPr>
                    <w:t>NH</w:t>
                  </w:r>
                  <w:r>
                    <w:rPr>
                      <w:color w:val="auto"/>
                      <w:sz w:val="21"/>
                      <w:szCs w:val="21"/>
                      <w:vertAlign w:val="subscript"/>
                    </w:rPr>
                    <w:t>3</w:t>
                  </w:r>
                </w:p>
              </w:tc>
              <w:tc>
                <w:tcPr>
                  <w:tcW w:w="2250" w:type="dxa"/>
                  <w:noWrap w:val="0"/>
                  <w:vAlign w:val="center"/>
                </w:tcPr>
                <w:p>
                  <w:pPr>
                    <w:jc w:val="center"/>
                    <w:rPr>
                      <w:color w:val="auto"/>
                      <w:sz w:val="21"/>
                      <w:szCs w:val="21"/>
                    </w:rPr>
                  </w:pPr>
                  <w:r>
                    <w:rPr>
                      <w:color w:val="auto"/>
                      <w:sz w:val="21"/>
                      <w:szCs w:val="21"/>
                    </w:rPr>
                    <w:t>小时平均</w:t>
                  </w:r>
                </w:p>
              </w:tc>
              <w:tc>
                <w:tcPr>
                  <w:tcW w:w="2281" w:type="dxa"/>
                  <w:noWrap w:val="0"/>
                  <w:vAlign w:val="center"/>
                </w:tcPr>
                <w:p>
                  <w:pPr>
                    <w:jc w:val="center"/>
                    <w:rPr>
                      <w:color w:val="auto"/>
                      <w:sz w:val="21"/>
                      <w:szCs w:val="21"/>
                    </w:rPr>
                  </w:pPr>
                  <w:r>
                    <w:rPr>
                      <w:color w:val="auto"/>
                      <w:sz w:val="21"/>
                      <w:szCs w:val="21"/>
                    </w:rPr>
                    <w:t>0.2</w:t>
                  </w:r>
                </w:p>
              </w:tc>
              <w:tc>
                <w:tcPr>
                  <w:tcW w:w="2039" w:type="dxa"/>
                  <w:vMerge w:val="continue"/>
                  <w:noWrap w:val="0"/>
                  <w:vAlign w:val="center"/>
                </w:tcPr>
                <w:p>
                  <w:pPr>
                    <w:jc w:val="center"/>
                    <w:rPr>
                      <w:color w:val="auto"/>
                      <w:sz w:val="21"/>
                      <w:szCs w:val="21"/>
                    </w:rPr>
                  </w:pPr>
                </w:p>
              </w:tc>
            </w:tr>
          </w:tbl>
          <w:p>
            <w:pPr>
              <w:adjustRightInd w:val="0"/>
              <w:snapToGrid w:val="0"/>
              <w:spacing w:line="360" w:lineRule="auto"/>
              <w:ind w:firstLine="480" w:firstLineChars="200"/>
              <w:rPr>
                <w:color w:val="auto"/>
              </w:rPr>
            </w:pPr>
            <w:r>
              <w:rPr>
                <w:color w:val="auto"/>
              </w:rPr>
              <w:t>2、地表水执行《地表水环境质量标准》（GB3838-2002）中的Ⅲ类水域标准。</w:t>
            </w:r>
          </w:p>
          <w:p>
            <w:pPr>
              <w:adjustRightInd w:val="0"/>
              <w:snapToGrid w:val="0"/>
              <w:spacing w:line="360" w:lineRule="auto"/>
              <w:jc w:val="center"/>
              <w:rPr>
                <w:rFonts w:eastAsia="黑体"/>
                <w:color w:val="auto"/>
                <w:spacing w:val="20"/>
                <w:kern w:val="0"/>
              </w:rPr>
            </w:pPr>
            <w:r>
              <w:rPr>
                <w:rFonts w:eastAsia="黑体"/>
                <w:color w:val="auto"/>
                <w:spacing w:val="20"/>
                <w:kern w:val="0"/>
              </w:rPr>
              <w:t>表4-2  地表水环境质量标准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799"/>
              <w:gridCol w:w="1987"/>
              <w:gridCol w:w="4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799" w:type="dxa"/>
                  <w:noWrap w:val="0"/>
                  <w:vAlign w:val="center"/>
                </w:tcPr>
                <w:p>
                  <w:pPr>
                    <w:adjustRightInd w:val="0"/>
                    <w:snapToGrid w:val="0"/>
                    <w:jc w:val="center"/>
                    <w:rPr>
                      <w:color w:val="auto"/>
                      <w:sz w:val="21"/>
                      <w:szCs w:val="21"/>
                    </w:rPr>
                  </w:pPr>
                  <w:r>
                    <w:rPr>
                      <w:color w:val="auto"/>
                      <w:sz w:val="21"/>
                      <w:szCs w:val="21"/>
                    </w:rPr>
                    <w:t>标准名称</w:t>
                  </w:r>
                </w:p>
              </w:tc>
              <w:tc>
                <w:tcPr>
                  <w:tcW w:w="1987" w:type="dxa"/>
                  <w:noWrap w:val="0"/>
                  <w:vAlign w:val="center"/>
                </w:tcPr>
                <w:p>
                  <w:pPr>
                    <w:adjustRightInd w:val="0"/>
                    <w:snapToGrid w:val="0"/>
                    <w:jc w:val="center"/>
                    <w:rPr>
                      <w:color w:val="auto"/>
                      <w:sz w:val="21"/>
                      <w:szCs w:val="21"/>
                    </w:rPr>
                  </w:pPr>
                  <w:r>
                    <w:rPr>
                      <w:color w:val="auto"/>
                      <w:sz w:val="21"/>
                      <w:szCs w:val="21"/>
                    </w:rPr>
                    <w:t>代码、级别</w:t>
                  </w:r>
                </w:p>
              </w:tc>
              <w:tc>
                <w:tcPr>
                  <w:tcW w:w="4370" w:type="dxa"/>
                  <w:noWrap w:val="0"/>
                  <w:vAlign w:val="center"/>
                </w:tcPr>
                <w:p>
                  <w:pPr>
                    <w:adjustRightInd w:val="0"/>
                    <w:snapToGrid w:val="0"/>
                    <w:jc w:val="center"/>
                    <w:rPr>
                      <w:color w:val="auto"/>
                      <w:sz w:val="21"/>
                      <w:szCs w:val="21"/>
                    </w:rPr>
                  </w:pPr>
                  <w:r>
                    <w:rPr>
                      <w:color w:val="auto"/>
                      <w:sz w:val="21"/>
                      <w:szCs w:val="21"/>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799" w:type="dxa"/>
                  <w:noWrap w:val="0"/>
                  <w:vAlign w:val="center"/>
                </w:tcPr>
                <w:p>
                  <w:pPr>
                    <w:adjustRightInd w:val="0"/>
                    <w:snapToGrid w:val="0"/>
                    <w:jc w:val="center"/>
                    <w:rPr>
                      <w:color w:val="auto"/>
                      <w:sz w:val="21"/>
                      <w:szCs w:val="21"/>
                    </w:rPr>
                  </w:pPr>
                  <w:r>
                    <w:rPr>
                      <w:color w:val="auto"/>
                      <w:sz w:val="21"/>
                      <w:szCs w:val="21"/>
                    </w:rPr>
                    <w:t>《地表水环境质量标准》</w:t>
                  </w:r>
                </w:p>
              </w:tc>
              <w:tc>
                <w:tcPr>
                  <w:tcW w:w="1987" w:type="dxa"/>
                  <w:noWrap w:val="0"/>
                  <w:vAlign w:val="center"/>
                </w:tcPr>
                <w:p>
                  <w:pPr>
                    <w:adjustRightInd w:val="0"/>
                    <w:snapToGrid w:val="0"/>
                    <w:jc w:val="center"/>
                    <w:rPr>
                      <w:color w:val="auto"/>
                      <w:sz w:val="21"/>
                      <w:szCs w:val="21"/>
                    </w:rPr>
                  </w:pPr>
                  <w:r>
                    <w:rPr>
                      <w:color w:val="auto"/>
                      <w:sz w:val="21"/>
                      <w:szCs w:val="21"/>
                    </w:rPr>
                    <w:t>GB3838-2002</w:t>
                  </w:r>
                </w:p>
                <w:p>
                  <w:pPr>
                    <w:adjustRightInd w:val="0"/>
                    <w:snapToGrid w:val="0"/>
                    <w:jc w:val="center"/>
                    <w:rPr>
                      <w:color w:val="auto"/>
                      <w:sz w:val="21"/>
                      <w:szCs w:val="21"/>
                    </w:rPr>
                  </w:pPr>
                  <w:r>
                    <w:rPr>
                      <w:color w:val="auto"/>
                      <w:sz w:val="21"/>
                      <w:szCs w:val="21"/>
                    </w:rPr>
                    <w:t>Ⅲ类标准</w:t>
                  </w:r>
                </w:p>
              </w:tc>
              <w:tc>
                <w:tcPr>
                  <w:tcW w:w="4370" w:type="dxa"/>
                  <w:noWrap w:val="0"/>
                  <w:vAlign w:val="center"/>
                </w:tcPr>
                <w:p>
                  <w:pPr>
                    <w:adjustRightInd w:val="0"/>
                    <w:snapToGrid w:val="0"/>
                    <w:jc w:val="center"/>
                    <w:rPr>
                      <w:color w:val="auto"/>
                      <w:sz w:val="21"/>
                      <w:szCs w:val="21"/>
                    </w:rPr>
                  </w:pPr>
                  <w:r>
                    <w:rPr>
                      <w:color w:val="auto"/>
                      <w:sz w:val="21"/>
                      <w:szCs w:val="21"/>
                    </w:rPr>
                    <w:t>pH：6～9；NH</w:t>
                  </w:r>
                  <w:r>
                    <w:rPr>
                      <w:color w:val="auto"/>
                      <w:sz w:val="21"/>
                      <w:szCs w:val="21"/>
                      <w:vertAlign w:val="subscript"/>
                    </w:rPr>
                    <w:t>3</w:t>
                  </w:r>
                  <w:r>
                    <w:rPr>
                      <w:color w:val="auto"/>
                      <w:sz w:val="21"/>
                      <w:szCs w:val="21"/>
                    </w:rPr>
                    <w:t>-N≤1mg/L；COD</w:t>
                  </w:r>
                  <w:r>
                    <w:rPr>
                      <w:color w:val="auto"/>
                      <w:sz w:val="21"/>
                      <w:szCs w:val="21"/>
                      <w:vertAlign w:val="subscript"/>
                    </w:rPr>
                    <w:t>Cr</w:t>
                  </w:r>
                  <w:r>
                    <w:rPr>
                      <w:color w:val="auto"/>
                      <w:sz w:val="21"/>
                      <w:szCs w:val="21"/>
                    </w:rPr>
                    <w:t>≤20mg/L；BOD</w:t>
                  </w:r>
                  <w:r>
                    <w:rPr>
                      <w:color w:val="auto"/>
                      <w:sz w:val="21"/>
                      <w:szCs w:val="21"/>
                      <w:vertAlign w:val="subscript"/>
                    </w:rPr>
                    <w:t>5</w:t>
                  </w:r>
                  <w:r>
                    <w:rPr>
                      <w:color w:val="auto"/>
                      <w:sz w:val="21"/>
                      <w:szCs w:val="21"/>
                    </w:rPr>
                    <w:t>≤4mg/L；TP≤0.2mg/L；总氮≤1mg/L；大肠菌群≤1×10</w:t>
                  </w:r>
                  <w:r>
                    <w:rPr>
                      <w:color w:val="auto"/>
                      <w:sz w:val="21"/>
                      <w:szCs w:val="21"/>
                      <w:vertAlign w:val="superscript"/>
                    </w:rPr>
                    <w:t>4</w:t>
                  </w:r>
                  <w:r>
                    <w:rPr>
                      <w:color w:val="auto"/>
                      <w:sz w:val="21"/>
                      <w:szCs w:val="21"/>
                    </w:rPr>
                    <w:t>个/L。</w:t>
                  </w:r>
                </w:p>
              </w:tc>
            </w:tr>
          </w:tbl>
          <w:p>
            <w:pPr>
              <w:spacing w:line="360" w:lineRule="auto"/>
              <w:ind w:firstLine="480" w:firstLineChars="200"/>
              <w:rPr>
                <w:color w:val="auto"/>
              </w:rPr>
            </w:pPr>
            <w:r>
              <w:rPr>
                <w:color w:val="auto"/>
              </w:rPr>
              <w:t>3、地下水环境质量执行《地下水质量标准》（GB/T14848-2017）Ⅲ类标准，详见下表。</w:t>
            </w:r>
          </w:p>
          <w:p>
            <w:pPr>
              <w:adjustRightInd w:val="0"/>
              <w:snapToGrid w:val="0"/>
              <w:spacing w:line="360" w:lineRule="auto"/>
              <w:jc w:val="center"/>
              <w:rPr>
                <w:rFonts w:eastAsia="黑体"/>
                <w:color w:val="auto"/>
                <w:spacing w:val="20"/>
                <w:kern w:val="0"/>
              </w:rPr>
            </w:pPr>
            <w:r>
              <w:rPr>
                <w:rFonts w:eastAsia="黑体"/>
                <w:color w:val="auto"/>
                <w:spacing w:val="20"/>
                <w:kern w:val="0"/>
              </w:rPr>
              <w:t>表4-3  地下水质量标准</w:t>
            </w:r>
          </w:p>
          <w:p>
            <w:pPr>
              <w:adjustRightInd w:val="0"/>
              <w:snapToGrid w:val="0"/>
              <w:jc w:val="right"/>
              <w:rPr>
                <w:rFonts w:eastAsia="黑体"/>
                <w:bCs/>
                <w:color w:val="auto"/>
                <w:spacing w:val="20"/>
                <w:kern w:val="24"/>
                <w:sz w:val="21"/>
                <w:szCs w:val="20"/>
              </w:rPr>
            </w:pPr>
            <w:r>
              <w:rPr>
                <w:rFonts w:eastAsia="黑体"/>
                <w:bCs/>
                <w:color w:val="auto"/>
                <w:spacing w:val="20"/>
                <w:kern w:val="24"/>
                <w:sz w:val="21"/>
                <w:szCs w:val="20"/>
              </w:rPr>
              <w:t>单位：mg/L(pH除外)</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282"/>
              <w:gridCol w:w="918"/>
              <w:gridCol w:w="1591"/>
              <w:gridCol w:w="958"/>
              <w:gridCol w:w="905"/>
              <w:gridCol w:w="680"/>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pPr>
                    <w:adjustRightInd w:val="0"/>
                    <w:snapToGrid w:val="0"/>
                    <w:jc w:val="center"/>
                    <w:rPr>
                      <w:color w:val="auto"/>
                      <w:sz w:val="21"/>
                      <w:szCs w:val="21"/>
                    </w:rPr>
                  </w:pPr>
                  <w:r>
                    <w:rPr>
                      <w:color w:val="auto"/>
                      <w:sz w:val="21"/>
                      <w:szCs w:val="21"/>
                    </w:rPr>
                    <w:t>项目</w:t>
                  </w:r>
                </w:p>
              </w:tc>
              <w:tc>
                <w:tcPr>
                  <w:tcW w:w="1282" w:type="dxa"/>
                  <w:noWrap w:val="0"/>
                  <w:vAlign w:val="center"/>
                </w:tcPr>
                <w:p>
                  <w:pPr>
                    <w:adjustRightInd w:val="0"/>
                    <w:snapToGrid w:val="0"/>
                    <w:jc w:val="center"/>
                    <w:rPr>
                      <w:color w:val="auto"/>
                      <w:sz w:val="21"/>
                      <w:szCs w:val="21"/>
                    </w:rPr>
                  </w:pPr>
                  <w:r>
                    <w:rPr>
                      <w:color w:val="auto"/>
                      <w:sz w:val="21"/>
                      <w:szCs w:val="21"/>
                    </w:rPr>
                    <w:t>pH（无量纲）</w:t>
                  </w:r>
                </w:p>
              </w:tc>
              <w:tc>
                <w:tcPr>
                  <w:tcW w:w="918" w:type="dxa"/>
                  <w:noWrap w:val="0"/>
                  <w:vAlign w:val="center"/>
                </w:tcPr>
                <w:p>
                  <w:pPr>
                    <w:adjustRightInd w:val="0"/>
                    <w:snapToGrid w:val="0"/>
                    <w:jc w:val="center"/>
                    <w:rPr>
                      <w:color w:val="auto"/>
                      <w:sz w:val="21"/>
                      <w:szCs w:val="21"/>
                    </w:rPr>
                  </w:pPr>
                  <w:r>
                    <w:rPr>
                      <w:color w:val="auto"/>
                      <w:sz w:val="21"/>
                      <w:szCs w:val="21"/>
                    </w:rPr>
                    <w:t>总硬度</w:t>
                  </w:r>
                </w:p>
              </w:tc>
              <w:tc>
                <w:tcPr>
                  <w:tcW w:w="1591" w:type="dxa"/>
                  <w:noWrap w:val="0"/>
                  <w:vAlign w:val="center"/>
                </w:tcPr>
                <w:p>
                  <w:pPr>
                    <w:adjustRightInd w:val="0"/>
                    <w:snapToGrid w:val="0"/>
                    <w:jc w:val="center"/>
                    <w:rPr>
                      <w:color w:val="auto"/>
                      <w:sz w:val="21"/>
                      <w:szCs w:val="21"/>
                    </w:rPr>
                  </w:pPr>
                  <w:r>
                    <w:rPr>
                      <w:color w:val="auto"/>
                      <w:sz w:val="21"/>
                      <w:szCs w:val="21"/>
                    </w:rPr>
                    <w:t>溶解性总固体</w:t>
                  </w:r>
                </w:p>
              </w:tc>
              <w:tc>
                <w:tcPr>
                  <w:tcW w:w="958" w:type="dxa"/>
                  <w:noWrap w:val="0"/>
                  <w:vAlign w:val="center"/>
                </w:tcPr>
                <w:p>
                  <w:pPr>
                    <w:adjustRightInd w:val="0"/>
                    <w:snapToGrid w:val="0"/>
                    <w:jc w:val="center"/>
                    <w:rPr>
                      <w:color w:val="auto"/>
                      <w:sz w:val="21"/>
                      <w:szCs w:val="21"/>
                    </w:rPr>
                  </w:pPr>
                  <w:r>
                    <w:rPr>
                      <w:color w:val="auto"/>
                      <w:sz w:val="21"/>
                      <w:szCs w:val="21"/>
                    </w:rPr>
                    <w:t>硫酸盐</w:t>
                  </w:r>
                </w:p>
              </w:tc>
              <w:tc>
                <w:tcPr>
                  <w:tcW w:w="905" w:type="dxa"/>
                  <w:noWrap w:val="0"/>
                  <w:vAlign w:val="center"/>
                </w:tcPr>
                <w:p>
                  <w:pPr>
                    <w:adjustRightInd w:val="0"/>
                    <w:snapToGrid w:val="0"/>
                    <w:jc w:val="center"/>
                    <w:rPr>
                      <w:color w:val="auto"/>
                      <w:sz w:val="21"/>
                      <w:szCs w:val="21"/>
                    </w:rPr>
                  </w:pPr>
                  <w:r>
                    <w:rPr>
                      <w:color w:val="auto"/>
                      <w:sz w:val="21"/>
                      <w:szCs w:val="21"/>
                    </w:rPr>
                    <w:t>氯化物</w:t>
                  </w:r>
                </w:p>
              </w:tc>
              <w:tc>
                <w:tcPr>
                  <w:tcW w:w="680" w:type="dxa"/>
                  <w:noWrap w:val="0"/>
                  <w:vAlign w:val="center"/>
                </w:tcPr>
                <w:p>
                  <w:pPr>
                    <w:adjustRightInd w:val="0"/>
                    <w:snapToGrid w:val="0"/>
                    <w:jc w:val="center"/>
                    <w:rPr>
                      <w:color w:val="auto"/>
                      <w:sz w:val="21"/>
                      <w:szCs w:val="21"/>
                    </w:rPr>
                  </w:pPr>
                  <w:r>
                    <w:rPr>
                      <w:color w:val="auto"/>
                      <w:sz w:val="21"/>
                      <w:szCs w:val="21"/>
                    </w:rPr>
                    <w:t>铅</w:t>
                  </w:r>
                </w:p>
              </w:tc>
              <w:tc>
                <w:tcPr>
                  <w:tcW w:w="808" w:type="dxa"/>
                  <w:noWrap w:val="0"/>
                  <w:vAlign w:val="center"/>
                </w:tcPr>
                <w:p>
                  <w:pPr>
                    <w:adjustRightInd w:val="0"/>
                    <w:snapToGrid w:val="0"/>
                    <w:jc w:val="center"/>
                    <w:rPr>
                      <w:color w:val="auto"/>
                      <w:sz w:val="21"/>
                      <w:szCs w:val="21"/>
                    </w:rPr>
                  </w:pPr>
                  <w:r>
                    <w:rPr>
                      <w:color w:val="auto"/>
                      <w:sz w:val="21"/>
                      <w:szCs w:val="21"/>
                    </w:rPr>
                    <w:t>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7" w:type="dxa"/>
                  <w:noWrap w:val="0"/>
                  <w:vAlign w:val="center"/>
                </w:tcPr>
                <w:p>
                  <w:pPr>
                    <w:adjustRightInd w:val="0"/>
                    <w:snapToGrid w:val="0"/>
                    <w:jc w:val="center"/>
                    <w:rPr>
                      <w:color w:val="auto"/>
                      <w:sz w:val="21"/>
                      <w:szCs w:val="21"/>
                    </w:rPr>
                  </w:pPr>
                  <w:r>
                    <w:rPr>
                      <w:color w:val="auto"/>
                      <w:sz w:val="21"/>
                      <w:szCs w:val="21"/>
                    </w:rPr>
                    <w:t>标准值mg/L</w:t>
                  </w:r>
                </w:p>
              </w:tc>
              <w:tc>
                <w:tcPr>
                  <w:tcW w:w="1282" w:type="dxa"/>
                  <w:noWrap w:val="0"/>
                  <w:vAlign w:val="center"/>
                </w:tcPr>
                <w:p>
                  <w:pPr>
                    <w:adjustRightInd w:val="0"/>
                    <w:snapToGrid w:val="0"/>
                    <w:jc w:val="center"/>
                    <w:rPr>
                      <w:color w:val="auto"/>
                      <w:sz w:val="21"/>
                      <w:szCs w:val="21"/>
                    </w:rPr>
                  </w:pPr>
                  <w:r>
                    <w:rPr>
                      <w:color w:val="auto"/>
                      <w:sz w:val="21"/>
                      <w:szCs w:val="21"/>
                    </w:rPr>
                    <w:t>6.5~8.5</w:t>
                  </w:r>
                </w:p>
              </w:tc>
              <w:tc>
                <w:tcPr>
                  <w:tcW w:w="918" w:type="dxa"/>
                  <w:noWrap w:val="0"/>
                  <w:vAlign w:val="center"/>
                </w:tcPr>
                <w:p>
                  <w:pPr>
                    <w:adjustRightInd w:val="0"/>
                    <w:snapToGrid w:val="0"/>
                    <w:jc w:val="center"/>
                    <w:rPr>
                      <w:color w:val="auto"/>
                      <w:sz w:val="21"/>
                      <w:szCs w:val="21"/>
                    </w:rPr>
                  </w:pPr>
                  <w:r>
                    <w:rPr>
                      <w:color w:val="auto"/>
                      <w:sz w:val="21"/>
                      <w:szCs w:val="21"/>
                    </w:rPr>
                    <w:t>≤450</w:t>
                  </w:r>
                </w:p>
              </w:tc>
              <w:tc>
                <w:tcPr>
                  <w:tcW w:w="1591" w:type="dxa"/>
                  <w:noWrap w:val="0"/>
                  <w:vAlign w:val="center"/>
                </w:tcPr>
                <w:p>
                  <w:pPr>
                    <w:adjustRightInd w:val="0"/>
                    <w:snapToGrid w:val="0"/>
                    <w:jc w:val="center"/>
                    <w:rPr>
                      <w:color w:val="auto"/>
                      <w:sz w:val="21"/>
                      <w:szCs w:val="21"/>
                    </w:rPr>
                  </w:pPr>
                  <w:r>
                    <w:rPr>
                      <w:color w:val="auto"/>
                      <w:sz w:val="21"/>
                      <w:szCs w:val="21"/>
                    </w:rPr>
                    <w:t>≤1000</w:t>
                  </w:r>
                </w:p>
              </w:tc>
              <w:tc>
                <w:tcPr>
                  <w:tcW w:w="958" w:type="dxa"/>
                  <w:noWrap w:val="0"/>
                  <w:vAlign w:val="center"/>
                </w:tcPr>
                <w:p>
                  <w:pPr>
                    <w:adjustRightInd w:val="0"/>
                    <w:snapToGrid w:val="0"/>
                    <w:jc w:val="center"/>
                    <w:rPr>
                      <w:color w:val="auto"/>
                      <w:sz w:val="21"/>
                      <w:szCs w:val="21"/>
                    </w:rPr>
                  </w:pPr>
                  <w:r>
                    <w:rPr>
                      <w:color w:val="auto"/>
                      <w:sz w:val="21"/>
                      <w:szCs w:val="21"/>
                    </w:rPr>
                    <w:t>≤250</w:t>
                  </w:r>
                </w:p>
              </w:tc>
              <w:tc>
                <w:tcPr>
                  <w:tcW w:w="905" w:type="dxa"/>
                  <w:noWrap w:val="0"/>
                  <w:vAlign w:val="center"/>
                </w:tcPr>
                <w:p>
                  <w:pPr>
                    <w:adjustRightInd w:val="0"/>
                    <w:snapToGrid w:val="0"/>
                    <w:jc w:val="center"/>
                    <w:rPr>
                      <w:color w:val="auto"/>
                      <w:sz w:val="21"/>
                      <w:szCs w:val="21"/>
                    </w:rPr>
                  </w:pPr>
                  <w:r>
                    <w:rPr>
                      <w:color w:val="auto"/>
                      <w:sz w:val="21"/>
                      <w:szCs w:val="21"/>
                    </w:rPr>
                    <w:t>≤250</w:t>
                  </w:r>
                </w:p>
              </w:tc>
              <w:tc>
                <w:tcPr>
                  <w:tcW w:w="680" w:type="dxa"/>
                  <w:noWrap w:val="0"/>
                  <w:vAlign w:val="center"/>
                </w:tcPr>
                <w:p>
                  <w:pPr>
                    <w:adjustRightInd w:val="0"/>
                    <w:snapToGrid w:val="0"/>
                    <w:jc w:val="center"/>
                    <w:rPr>
                      <w:color w:val="auto"/>
                      <w:sz w:val="21"/>
                      <w:szCs w:val="21"/>
                    </w:rPr>
                  </w:pPr>
                  <w:r>
                    <w:rPr>
                      <w:color w:val="auto"/>
                      <w:sz w:val="21"/>
                      <w:szCs w:val="21"/>
                    </w:rPr>
                    <w:t>0.01</w:t>
                  </w:r>
                </w:p>
              </w:tc>
              <w:tc>
                <w:tcPr>
                  <w:tcW w:w="808" w:type="dxa"/>
                  <w:noWrap w:val="0"/>
                  <w:vAlign w:val="center"/>
                </w:tcPr>
                <w:p>
                  <w:pPr>
                    <w:adjustRightInd w:val="0"/>
                    <w:snapToGrid w:val="0"/>
                    <w:jc w:val="center"/>
                    <w:rPr>
                      <w:color w:val="auto"/>
                      <w:sz w:val="21"/>
                      <w:szCs w:val="21"/>
                    </w:rPr>
                  </w:pPr>
                  <w:r>
                    <w:rPr>
                      <w:color w:val="auto"/>
                      <w:sz w:val="21"/>
                      <w:szCs w:val="21"/>
                    </w:rPr>
                    <w:t>0.001</w:t>
                  </w:r>
                </w:p>
              </w:tc>
            </w:tr>
          </w:tbl>
          <w:p>
            <w:pPr>
              <w:spacing w:line="360" w:lineRule="auto"/>
              <w:ind w:left="480"/>
              <w:rPr>
                <w:color w:val="auto"/>
              </w:rPr>
            </w:pPr>
            <w:r>
              <w:rPr>
                <w:color w:val="auto"/>
              </w:rPr>
              <w:t>4、声环境执行《声环境质量标准》（GB3096-2008）中的2类功能区标准。</w:t>
            </w:r>
          </w:p>
          <w:p>
            <w:pPr>
              <w:adjustRightInd w:val="0"/>
              <w:snapToGrid w:val="0"/>
              <w:spacing w:line="360" w:lineRule="auto"/>
              <w:jc w:val="center"/>
              <w:rPr>
                <w:rFonts w:eastAsia="黑体"/>
                <w:color w:val="auto"/>
                <w:spacing w:val="20"/>
                <w:kern w:val="0"/>
              </w:rPr>
            </w:pPr>
            <w:r>
              <w:rPr>
                <w:rFonts w:eastAsia="黑体"/>
                <w:color w:val="auto"/>
                <w:spacing w:val="20"/>
                <w:kern w:val="0"/>
              </w:rPr>
              <w:t>表4-4  声环境质量标准</w:t>
            </w:r>
          </w:p>
          <w:p>
            <w:pPr>
              <w:pStyle w:val="2"/>
              <w:ind w:left="480" w:firstLine="502"/>
              <w:jc w:val="right"/>
              <w:rPr>
                <w:rFonts w:hint="default" w:ascii="Times New Roman" w:hAnsi="Times New Roman"/>
                <w:color w:val="auto"/>
              </w:rPr>
            </w:pPr>
            <w:r>
              <w:rPr>
                <w:rFonts w:hint="default" w:ascii="Times New Roman" w:hAnsi="Times New Roman" w:eastAsia="黑体"/>
                <w:b/>
                <w:color w:val="auto"/>
                <w:spacing w:val="20"/>
                <w:kern w:val="24"/>
                <w:szCs w:val="20"/>
              </w:rPr>
              <w:t>单位：Leq[dB（A）]</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338"/>
              <w:gridCol w:w="2378"/>
              <w:gridCol w:w="3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338" w:type="dxa"/>
                  <w:noWrap w:val="0"/>
                  <w:vAlign w:val="center"/>
                </w:tcPr>
                <w:p>
                  <w:pPr>
                    <w:adjustRightInd w:val="0"/>
                    <w:snapToGrid w:val="0"/>
                    <w:jc w:val="center"/>
                    <w:rPr>
                      <w:b/>
                      <w:bCs/>
                      <w:color w:val="auto"/>
                      <w:sz w:val="21"/>
                      <w:szCs w:val="21"/>
                    </w:rPr>
                  </w:pPr>
                  <w:r>
                    <w:rPr>
                      <w:b/>
                      <w:bCs/>
                      <w:color w:val="auto"/>
                      <w:kern w:val="0"/>
                      <w:sz w:val="21"/>
                      <w:szCs w:val="21"/>
                      <w:lang w:bidi="ar"/>
                    </w:rPr>
                    <w:t>标准名称</w:t>
                  </w:r>
                </w:p>
              </w:tc>
              <w:tc>
                <w:tcPr>
                  <w:tcW w:w="2378" w:type="dxa"/>
                  <w:noWrap w:val="0"/>
                  <w:vAlign w:val="center"/>
                </w:tcPr>
                <w:p>
                  <w:pPr>
                    <w:adjustRightInd w:val="0"/>
                    <w:snapToGrid w:val="0"/>
                    <w:jc w:val="center"/>
                    <w:rPr>
                      <w:b/>
                      <w:bCs/>
                      <w:color w:val="auto"/>
                      <w:sz w:val="21"/>
                      <w:szCs w:val="21"/>
                    </w:rPr>
                  </w:pPr>
                  <w:r>
                    <w:rPr>
                      <w:b/>
                      <w:bCs/>
                      <w:color w:val="auto"/>
                      <w:kern w:val="0"/>
                      <w:sz w:val="21"/>
                      <w:szCs w:val="21"/>
                      <w:lang w:bidi="ar"/>
                    </w:rPr>
                    <w:t>代码、级别</w:t>
                  </w:r>
                </w:p>
              </w:tc>
              <w:tc>
                <w:tcPr>
                  <w:tcW w:w="3440" w:type="dxa"/>
                  <w:noWrap w:val="0"/>
                  <w:vAlign w:val="center"/>
                </w:tcPr>
                <w:p>
                  <w:pPr>
                    <w:adjustRightInd w:val="0"/>
                    <w:snapToGrid w:val="0"/>
                    <w:jc w:val="center"/>
                    <w:rPr>
                      <w:b/>
                      <w:bCs/>
                      <w:color w:val="auto"/>
                      <w:sz w:val="21"/>
                      <w:szCs w:val="21"/>
                    </w:rPr>
                  </w:pPr>
                  <w:r>
                    <w:rPr>
                      <w:b/>
                      <w:bCs/>
                      <w:color w:val="auto"/>
                      <w:kern w:val="0"/>
                      <w:sz w:val="21"/>
                      <w:szCs w:val="21"/>
                      <w:lang w:bidi="ar"/>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338" w:type="dxa"/>
                  <w:noWrap w:val="0"/>
                  <w:vAlign w:val="center"/>
                </w:tcPr>
                <w:p>
                  <w:pPr>
                    <w:adjustRightInd w:val="0"/>
                    <w:snapToGrid w:val="0"/>
                    <w:jc w:val="center"/>
                    <w:rPr>
                      <w:color w:val="auto"/>
                      <w:sz w:val="21"/>
                      <w:szCs w:val="21"/>
                    </w:rPr>
                  </w:pPr>
                  <w:r>
                    <w:rPr>
                      <w:color w:val="auto"/>
                      <w:kern w:val="0"/>
                      <w:sz w:val="21"/>
                      <w:szCs w:val="21"/>
                      <w:lang w:bidi="ar"/>
                    </w:rPr>
                    <w:t>《声环境质量标准》</w:t>
                  </w:r>
                </w:p>
              </w:tc>
              <w:tc>
                <w:tcPr>
                  <w:tcW w:w="2378" w:type="dxa"/>
                  <w:noWrap w:val="0"/>
                  <w:vAlign w:val="center"/>
                </w:tcPr>
                <w:p>
                  <w:pPr>
                    <w:adjustRightInd w:val="0"/>
                    <w:snapToGrid w:val="0"/>
                    <w:jc w:val="center"/>
                    <w:rPr>
                      <w:color w:val="auto"/>
                      <w:sz w:val="21"/>
                      <w:szCs w:val="21"/>
                    </w:rPr>
                  </w:pPr>
                  <w:r>
                    <w:rPr>
                      <w:color w:val="auto"/>
                      <w:kern w:val="0"/>
                      <w:sz w:val="21"/>
                      <w:szCs w:val="21"/>
                      <w:lang w:bidi="ar"/>
                    </w:rPr>
                    <w:t>GB3096-2008中2类标准</w:t>
                  </w:r>
                </w:p>
              </w:tc>
              <w:tc>
                <w:tcPr>
                  <w:tcW w:w="3440" w:type="dxa"/>
                  <w:noWrap w:val="0"/>
                  <w:vAlign w:val="center"/>
                </w:tcPr>
                <w:p>
                  <w:pPr>
                    <w:adjustRightInd w:val="0"/>
                    <w:snapToGrid w:val="0"/>
                    <w:jc w:val="center"/>
                    <w:rPr>
                      <w:color w:val="auto"/>
                      <w:sz w:val="21"/>
                      <w:szCs w:val="21"/>
                    </w:rPr>
                  </w:pPr>
                  <w:r>
                    <w:rPr>
                      <w:color w:val="auto"/>
                      <w:kern w:val="0"/>
                      <w:sz w:val="21"/>
                      <w:szCs w:val="21"/>
                      <w:lang w:bidi="ar"/>
                    </w:rPr>
                    <w:t>昼间60分贝，夜间50分贝</w:t>
                  </w:r>
                </w:p>
              </w:tc>
            </w:tr>
          </w:tbl>
          <w:p>
            <w:pPr>
              <w:pStyle w:val="2"/>
              <w:ind w:left="0" w:leftChars="0" w:firstLine="0" w:firstLineChars="0"/>
              <w:rPr>
                <w:rFonts w:hint="default" w:ascii="Times New Roman" w:hAnsi="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48" w:type="dxa"/>
            <w:noWrap w:val="0"/>
            <w:vAlign w:val="center"/>
          </w:tcPr>
          <w:p>
            <w:pPr>
              <w:jc w:val="center"/>
              <w:rPr>
                <w:b/>
                <w:bCs/>
                <w:color w:val="auto"/>
              </w:rPr>
            </w:pPr>
            <w:r>
              <w:rPr>
                <w:b/>
                <w:bCs/>
                <w:color w:val="auto"/>
              </w:rPr>
              <w:t>污</w:t>
            </w:r>
          </w:p>
          <w:p>
            <w:pPr>
              <w:jc w:val="center"/>
              <w:rPr>
                <w:b/>
                <w:bCs/>
                <w:color w:val="auto"/>
              </w:rPr>
            </w:pPr>
            <w:r>
              <w:rPr>
                <w:b/>
                <w:bCs/>
                <w:color w:val="auto"/>
              </w:rPr>
              <w:t>染</w:t>
            </w:r>
          </w:p>
          <w:p>
            <w:pPr>
              <w:jc w:val="center"/>
              <w:rPr>
                <w:b/>
                <w:bCs/>
                <w:color w:val="auto"/>
              </w:rPr>
            </w:pPr>
            <w:r>
              <w:rPr>
                <w:b/>
                <w:bCs/>
                <w:color w:val="auto"/>
              </w:rPr>
              <w:t>物</w:t>
            </w:r>
          </w:p>
          <w:p>
            <w:pPr>
              <w:jc w:val="center"/>
              <w:rPr>
                <w:b/>
                <w:bCs/>
                <w:color w:val="auto"/>
              </w:rPr>
            </w:pPr>
            <w:r>
              <w:rPr>
                <w:b/>
                <w:bCs/>
                <w:color w:val="auto"/>
              </w:rPr>
              <w:t>排</w:t>
            </w:r>
          </w:p>
          <w:p>
            <w:pPr>
              <w:jc w:val="center"/>
              <w:rPr>
                <w:b/>
                <w:bCs/>
                <w:color w:val="auto"/>
              </w:rPr>
            </w:pPr>
            <w:r>
              <w:rPr>
                <w:b/>
                <w:bCs/>
                <w:color w:val="auto"/>
              </w:rPr>
              <w:t>放</w:t>
            </w:r>
          </w:p>
          <w:p>
            <w:pPr>
              <w:jc w:val="center"/>
              <w:rPr>
                <w:b/>
                <w:bCs/>
                <w:color w:val="auto"/>
              </w:rPr>
            </w:pPr>
            <w:r>
              <w:rPr>
                <w:b/>
                <w:bCs/>
                <w:color w:val="auto"/>
              </w:rPr>
              <w:t>标</w:t>
            </w:r>
          </w:p>
          <w:p>
            <w:pPr>
              <w:jc w:val="center"/>
              <w:rPr>
                <w:color w:val="auto"/>
                <w:highlight w:val="cyan"/>
              </w:rPr>
            </w:pPr>
            <w:r>
              <w:rPr>
                <w:b/>
                <w:bCs/>
                <w:color w:val="auto"/>
              </w:rPr>
              <w:t>准</w:t>
            </w:r>
          </w:p>
        </w:tc>
        <w:tc>
          <w:tcPr>
            <w:tcW w:w="8382" w:type="dxa"/>
            <w:noWrap w:val="0"/>
            <w:vAlign w:val="top"/>
          </w:tcPr>
          <w:p>
            <w:pPr>
              <w:spacing w:line="360" w:lineRule="auto"/>
              <w:ind w:firstLine="480" w:firstLineChars="200"/>
              <w:rPr>
                <w:color w:val="auto"/>
              </w:rPr>
            </w:pPr>
            <w:r>
              <w:rPr>
                <w:color w:val="auto"/>
              </w:rPr>
              <w:t>1、废气排放：运营过程中无组织废气排放执行</w:t>
            </w:r>
            <w:r>
              <w:rPr>
                <w:rFonts w:hint="eastAsia"/>
                <w:color w:val="auto"/>
              </w:rPr>
              <w:t>《恶臭污染物排放标准》（GB14554-93）二级标准</w:t>
            </w:r>
            <w:r>
              <w:rPr>
                <w:color w:val="auto"/>
              </w:rPr>
              <w:t>。</w:t>
            </w:r>
          </w:p>
          <w:p>
            <w:pPr>
              <w:adjustRightInd w:val="0"/>
              <w:snapToGrid w:val="0"/>
              <w:spacing w:line="360" w:lineRule="auto"/>
              <w:jc w:val="center"/>
              <w:rPr>
                <w:rFonts w:eastAsia="黑体"/>
                <w:color w:val="auto"/>
                <w:spacing w:val="20"/>
                <w:kern w:val="0"/>
              </w:rPr>
            </w:pPr>
            <w:r>
              <w:rPr>
                <w:rFonts w:eastAsia="黑体"/>
                <w:color w:val="auto"/>
                <w:spacing w:val="20"/>
                <w:kern w:val="0"/>
              </w:rPr>
              <w:t>表4-5  废气污染物排放标准限值</w:t>
            </w:r>
          </w:p>
          <w:p>
            <w:pPr>
              <w:adjustRightInd w:val="0"/>
              <w:snapToGrid w:val="0"/>
              <w:jc w:val="right"/>
              <w:rPr>
                <w:rFonts w:eastAsia="黑体"/>
                <w:b/>
                <w:color w:val="auto"/>
                <w:spacing w:val="20"/>
                <w:kern w:val="24"/>
                <w:sz w:val="21"/>
                <w:szCs w:val="20"/>
              </w:rPr>
            </w:pPr>
            <w:r>
              <w:rPr>
                <w:rFonts w:eastAsia="黑体"/>
                <w:b/>
                <w:color w:val="auto"/>
                <w:spacing w:val="20"/>
                <w:kern w:val="24"/>
                <w:sz w:val="21"/>
                <w:szCs w:val="20"/>
              </w:rPr>
              <w:t>单位（mg/m</w:t>
            </w:r>
            <w:r>
              <w:rPr>
                <w:rFonts w:eastAsia="黑体"/>
                <w:b/>
                <w:color w:val="auto"/>
                <w:spacing w:val="20"/>
                <w:kern w:val="24"/>
                <w:sz w:val="21"/>
                <w:szCs w:val="20"/>
                <w:vertAlign w:val="superscript"/>
              </w:rPr>
              <w:t>3</w:t>
            </w:r>
            <w:r>
              <w:rPr>
                <w:rFonts w:eastAsia="黑体"/>
                <w:b/>
                <w:color w:val="auto"/>
                <w:spacing w:val="20"/>
                <w:kern w:val="24"/>
                <w:sz w:val="21"/>
                <w:szCs w:val="20"/>
              </w:rPr>
              <w:t>）</w:t>
            </w:r>
          </w:p>
          <w:tbl>
            <w:tblPr>
              <w:tblStyle w:val="28"/>
              <w:tblW w:w="8147" w:type="dxa"/>
              <w:tblInd w:w="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537"/>
              <w:gridCol w:w="2212"/>
              <w:gridCol w:w="1511"/>
              <w:gridCol w:w="1405"/>
              <w:gridCol w:w="248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37" w:type="dxa"/>
                  <w:noWrap w:val="0"/>
                  <w:vAlign w:val="center"/>
                </w:tcPr>
                <w:p>
                  <w:pPr>
                    <w:autoSpaceDE w:val="0"/>
                    <w:autoSpaceDN w:val="0"/>
                    <w:adjustRightInd w:val="0"/>
                    <w:jc w:val="center"/>
                    <w:rPr>
                      <w:color w:val="auto"/>
                      <w:kern w:val="0"/>
                      <w:sz w:val="21"/>
                      <w:szCs w:val="21"/>
                    </w:rPr>
                  </w:pPr>
                  <w:r>
                    <w:rPr>
                      <w:color w:val="auto"/>
                      <w:kern w:val="0"/>
                      <w:sz w:val="21"/>
                      <w:szCs w:val="21"/>
                    </w:rPr>
                    <w:t>序号</w:t>
                  </w:r>
                </w:p>
              </w:tc>
              <w:tc>
                <w:tcPr>
                  <w:tcW w:w="2212" w:type="dxa"/>
                  <w:noWrap w:val="0"/>
                  <w:vAlign w:val="center"/>
                </w:tcPr>
                <w:p>
                  <w:pPr>
                    <w:autoSpaceDE w:val="0"/>
                    <w:autoSpaceDN w:val="0"/>
                    <w:adjustRightInd w:val="0"/>
                    <w:jc w:val="center"/>
                    <w:rPr>
                      <w:color w:val="auto"/>
                      <w:kern w:val="0"/>
                      <w:sz w:val="21"/>
                      <w:szCs w:val="21"/>
                    </w:rPr>
                  </w:pPr>
                  <w:r>
                    <w:rPr>
                      <w:color w:val="auto"/>
                      <w:kern w:val="0"/>
                      <w:sz w:val="21"/>
                      <w:szCs w:val="21"/>
                    </w:rPr>
                    <w:t>项目</w:t>
                  </w:r>
                </w:p>
              </w:tc>
              <w:tc>
                <w:tcPr>
                  <w:tcW w:w="1511" w:type="dxa"/>
                  <w:noWrap w:val="0"/>
                  <w:vAlign w:val="center"/>
                </w:tcPr>
                <w:p>
                  <w:pPr>
                    <w:autoSpaceDE w:val="0"/>
                    <w:autoSpaceDN w:val="0"/>
                    <w:adjustRightInd w:val="0"/>
                    <w:jc w:val="center"/>
                    <w:rPr>
                      <w:color w:val="auto"/>
                      <w:kern w:val="0"/>
                      <w:sz w:val="21"/>
                      <w:szCs w:val="21"/>
                    </w:rPr>
                  </w:pPr>
                  <w:r>
                    <w:rPr>
                      <w:color w:val="auto"/>
                      <w:kern w:val="0"/>
                      <w:sz w:val="21"/>
                      <w:szCs w:val="21"/>
                    </w:rPr>
                    <w:t>排放类别</w:t>
                  </w:r>
                </w:p>
              </w:tc>
              <w:tc>
                <w:tcPr>
                  <w:tcW w:w="1405" w:type="dxa"/>
                  <w:noWrap w:val="0"/>
                  <w:vAlign w:val="center"/>
                </w:tcPr>
                <w:p>
                  <w:pPr>
                    <w:autoSpaceDE w:val="0"/>
                    <w:autoSpaceDN w:val="0"/>
                    <w:adjustRightInd w:val="0"/>
                    <w:jc w:val="center"/>
                    <w:rPr>
                      <w:color w:val="auto"/>
                      <w:kern w:val="0"/>
                      <w:sz w:val="21"/>
                      <w:szCs w:val="21"/>
                    </w:rPr>
                  </w:pPr>
                  <w:r>
                    <w:rPr>
                      <w:color w:val="auto"/>
                      <w:kern w:val="0"/>
                      <w:sz w:val="21"/>
                      <w:szCs w:val="21"/>
                    </w:rPr>
                    <w:t>标准限值</w:t>
                  </w:r>
                </w:p>
              </w:tc>
              <w:tc>
                <w:tcPr>
                  <w:tcW w:w="2482" w:type="dxa"/>
                  <w:noWrap w:val="0"/>
                  <w:vAlign w:val="center"/>
                </w:tcPr>
                <w:p>
                  <w:pPr>
                    <w:autoSpaceDE w:val="0"/>
                    <w:autoSpaceDN w:val="0"/>
                    <w:adjustRightInd w:val="0"/>
                    <w:jc w:val="center"/>
                    <w:rPr>
                      <w:color w:val="auto"/>
                      <w:kern w:val="0"/>
                      <w:sz w:val="21"/>
                      <w:szCs w:val="21"/>
                    </w:rPr>
                  </w:pPr>
                  <w:r>
                    <w:rPr>
                      <w:color w:val="auto"/>
                      <w:kern w:val="0"/>
                      <w:sz w:val="21"/>
                      <w:szCs w:val="21"/>
                    </w:rPr>
                    <w:t>执行标准</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dxa"/>
                  <w:noWrap w:val="0"/>
                  <w:vAlign w:val="center"/>
                </w:tcPr>
                <w:p>
                  <w:pPr>
                    <w:autoSpaceDE w:val="0"/>
                    <w:autoSpaceDN w:val="0"/>
                    <w:adjustRightInd w:val="0"/>
                    <w:jc w:val="center"/>
                    <w:rPr>
                      <w:color w:val="auto"/>
                      <w:kern w:val="0"/>
                      <w:sz w:val="21"/>
                      <w:szCs w:val="21"/>
                    </w:rPr>
                  </w:pPr>
                  <w:r>
                    <w:rPr>
                      <w:color w:val="auto"/>
                      <w:kern w:val="0"/>
                      <w:sz w:val="21"/>
                      <w:szCs w:val="21"/>
                    </w:rPr>
                    <w:t>1</w:t>
                  </w:r>
                </w:p>
              </w:tc>
              <w:tc>
                <w:tcPr>
                  <w:tcW w:w="2212" w:type="dxa"/>
                  <w:noWrap w:val="0"/>
                  <w:vAlign w:val="center"/>
                </w:tcPr>
                <w:p>
                  <w:pPr>
                    <w:autoSpaceDE w:val="0"/>
                    <w:autoSpaceDN w:val="0"/>
                    <w:adjustRightInd w:val="0"/>
                    <w:jc w:val="center"/>
                    <w:rPr>
                      <w:color w:val="auto"/>
                      <w:kern w:val="0"/>
                      <w:sz w:val="21"/>
                      <w:szCs w:val="21"/>
                    </w:rPr>
                  </w:pPr>
                  <w:r>
                    <w:rPr>
                      <w:color w:val="auto"/>
                      <w:kern w:val="0"/>
                      <w:sz w:val="21"/>
                      <w:szCs w:val="21"/>
                    </w:rPr>
                    <w:t>氨（NH</w:t>
                  </w:r>
                  <w:r>
                    <w:rPr>
                      <w:color w:val="auto"/>
                      <w:kern w:val="0"/>
                      <w:sz w:val="21"/>
                      <w:szCs w:val="21"/>
                      <w:vertAlign w:val="subscript"/>
                    </w:rPr>
                    <w:t>3</w:t>
                  </w:r>
                  <w:r>
                    <w:rPr>
                      <w:color w:val="auto"/>
                      <w:kern w:val="0"/>
                      <w:sz w:val="21"/>
                      <w:szCs w:val="21"/>
                    </w:rPr>
                    <w:t>）</w:t>
                  </w:r>
                </w:p>
              </w:tc>
              <w:tc>
                <w:tcPr>
                  <w:tcW w:w="1511" w:type="dxa"/>
                  <w:vMerge w:val="restart"/>
                  <w:noWrap w:val="0"/>
                  <w:vAlign w:val="center"/>
                </w:tcPr>
                <w:p>
                  <w:pPr>
                    <w:autoSpaceDE w:val="0"/>
                    <w:autoSpaceDN w:val="0"/>
                    <w:adjustRightInd w:val="0"/>
                    <w:jc w:val="center"/>
                    <w:rPr>
                      <w:color w:val="auto"/>
                      <w:kern w:val="0"/>
                      <w:sz w:val="21"/>
                      <w:szCs w:val="21"/>
                    </w:rPr>
                  </w:pPr>
                  <w:r>
                    <w:rPr>
                      <w:color w:val="auto"/>
                      <w:kern w:val="0"/>
                      <w:sz w:val="21"/>
                      <w:szCs w:val="21"/>
                    </w:rPr>
                    <w:t>无组织排放</w:t>
                  </w:r>
                </w:p>
              </w:tc>
              <w:tc>
                <w:tcPr>
                  <w:tcW w:w="1405" w:type="dxa"/>
                  <w:noWrap w:val="0"/>
                  <w:vAlign w:val="center"/>
                </w:tcPr>
                <w:p>
                  <w:pPr>
                    <w:autoSpaceDE w:val="0"/>
                    <w:autoSpaceDN w:val="0"/>
                    <w:adjustRightInd w:val="0"/>
                    <w:jc w:val="center"/>
                    <w:rPr>
                      <w:color w:val="auto"/>
                      <w:kern w:val="0"/>
                      <w:sz w:val="21"/>
                      <w:szCs w:val="21"/>
                    </w:rPr>
                  </w:pPr>
                  <w:r>
                    <w:rPr>
                      <w:color w:val="auto"/>
                      <w:kern w:val="0"/>
                      <w:sz w:val="21"/>
                      <w:szCs w:val="21"/>
                    </w:rPr>
                    <w:t>1.5</w:t>
                  </w:r>
                  <w:r>
                    <w:rPr>
                      <w:color w:val="auto"/>
                      <w:sz w:val="21"/>
                      <w:szCs w:val="21"/>
                    </w:rPr>
                    <w:t>mg/m</w:t>
                  </w:r>
                  <w:r>
                    <w:rPr>
                      <w:color w:val="auto"/>
                      <w:sz w:val="21"/>
                      <w:szCs w:val="21"/>
                      <w:vertAlign w:val="superscript"/>
                    </w:rPr>
                    <w:t>3</w:t>
                  </w:r>
                </w:p>
              </w:tc>
              <w:tc>
                <w:tcPr>
                  <w:tcW w:w="2482" w:type="dxa"/>
                  <w:vMerge w:val="restart"/>
                  <w:noWrap w:val="0"/>
                  <w:vAlign w:val="center"/>
                </w:tcPr>
                <w:p>
                  <w:pPr>
                    <w:autoSpaceDE w:val="0"/>
                    <w:autoSpaceDN w:val="0"/>
                    <w:adjustRightInd w:val="0"/>
                    <w:jc w:val="center"/>
                    <w:rPr>
                      <w:color w:val="auto"/>
                      <w:kern w:val="0"/>
                      <w:sz w:val="21"/>
                      <w:szCs w:val="21"/>
                    </w:rPr>
                  </w:pPr>
                  <w:r>
                    <w:rPr>
                      <w:rFonts w:hint="eastAsia"/>
                      <w:color w:val="auto"/>
                      <w:sz w:val="21"/>
                      <w:szCs w:val="21"/>
                    </w:rPr>
                    <w:t>《恶臭污染物排放标准》（GB14554-93）二级标准</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7" w:type="dxa"/>
                  <w:noWrap w:val="0"/>
                  <w:vAlign w:val="center"/>
                </w:tcPr>
                <w:p>
                  <w:pPr>
                    <w:autoSpaceDE w:val="0"/>
                    <w:autoSpaceDN w:val="0"/>
                    <w:adjustRightInd w:val="0"/>
                    <w:jc w:val="center"/>
                    <w:rPr>
                      <w:color w:val="auto"/>
                      <w:kern w:val="0"/>
                      <w:sz w:val="21"/>
                      <w:szCs w:val="21"/>
                    </w:rPr>
                  </w:pPr>
                  <w:r>
                    <w:rPr>
                      <w:color w:val="auto"/>
                      <w:kern w:val="0"/>
                      <w:sz w:val="21"/>
                      <w:szCs w:val="21"/>
                    </w:rPr>
                    <w:t>2</w:t>
                  </w:r>
                </w:p>
              </w:tc>
              <w:tc>
                <w:tcPr>
                  <w:tcW w:w="2212" w:type="dxa"/>
                  <w:noWrap w:val="0"/>
                  <w:vAlign w:val="center"/>
                </w:tcPr>
                <w:p>
                  <w:pPr>
                    <w:autoSpaceDE w:val="0"/>
                    <w:autoSpaceDN w:val="0"/>
                    <w:adjustRightInd w:val="0"/>
                    <w:jc w:val="center"/>
                    <w:rPr>
                      <w:color w:val="auto"/>
                      <w:kern w:val="0"/>
                      <w:sz w:val="21"/>
                      <w:szCs w:val="21"/>
                    </w:rPr>
                  </w:pPr>
                  <w:r>
                    <w:rPr>
                      <w:color w:val="auto"/>
                      <w:kern w:val="0"/>
                      <w:sz w:val="21"/>
                      <w:szCs w:val="21"/>
                    </w:rPr>
                    <w:t>硫化氢（H</w:t>
                  </w:r>
                  <w:r>
                    <w:rPr>
                      <w:color w:val="auto"/>
                      <w:kern w:val="0"/>
                      <w:sz w:val="21"/>
                      <w:szCs w:val="21"/>
                      <w:vertAlign w:val="subscript"/>
                    </w:rPr>
                    <w:t>2</w:t>
                  </w:r>
                  <w:r>
                    <w:rPr>
                      <w:color w:val="auto"/>
                      <w:kern w:val="0"/>
                      <w:sz w:val="21"/>
                      <w:szCs w:val="21"/>
                    </w:rPr>
                    <w:t>S）</w:t>
                  </w:r>
                </w:p>
              </w:tc>
              <w:tc>
                <w:tcPr>
                  <w:tcW w:w="1511" w:type="dxa"/>
                  <w:vMerge w:val="continue"/>
                  <w:noWrap w:val="0"/>
                  <w:vAlign w:val="center"/>
                </w:tcPr>
                <w:p>
                  <w:pPr>
                    <w:autoSpaceDE w:val="0"/>
                    <w:autoSpaceDN w:val="0"/>
                    <w:adjustRightInd w:val="0"/>
                    <w:jc w:val="center"/>
                    <w:rPr>
                      <w:color w:val="auto"/>
                      <w:kern w:val="0"/>
                      <w:sz w:val="21"/>
                      <w:szCs w:val="21"/>
                    </w:rPr>
                  </w:pPr>
                </w:p>
              </w:tc>
              <w:tc>
                <w:tcPr>
                  <w:tcW w:w="1405" w:type="dxa"/>
                  <w:noWrap w:val="0"/>
                  <w:vAlign w:val="center"/>
                </w:tcPr>
                <w:p>
                  <w:pPr>
                    <w:autoSpaceDE w:val="0"/>
                    <w:autoSpaceDN w:val="0"/>
                    <w:adjustRightInd w:val="0"/>
                    <w:jc w:val="center"/>
                    <w:rPr>
                      <w:color w:val="auto"/>
                      <w:kern w:val="0"/>
                      <w:sz w:val="21"/>
                      <w:szCs w:val="21"/>
                    </w:rPr>
                  </w:pPr>
                  <w:r>
                    <w:rPr>
                      <w:color w:val="auto"/>
                      <w:kern w:val="0"/>
                      <w:sz w:val="21"/>
                      <w:szCs w:val="21"/>
                    </w:rPr>
                    <w:t>0.06</w:t>
                  </w:r>
                  <w:r>
                    <w:rPr>
                      <w:color w:val="auto"/>
                      <w:sz w:val="21"/>
                      <w:szCs w:val="21"/>
                    </w:rPr>
                    <w:t>mg/m</w:t>
                  </w:r>
                  <w:r>
                    <w:rPr>
                      <w:color w:val="auto"/>
                      <w:sz w:val="21"/>
                      <w:szCs w:val="21"/>
                      <w:vertAlign w:val="superscript"/>
                    </w:rPr>
                    <w:t>3</w:t>
                  </w:r>
                </w:p>
              </w:tc>
              <w:tc>
                <w:tcPr>
                  <w:tcW w:w="2482" w:type="dxa"/>
                  <w:vMerge w:val="continue"/>
                  <w:noWrap w:val="0"/>
                  <w:vAlign w:val="center"/>
                </w:tcPr>
                <w:p>
                  <w:pPr>
                    <w:autoSpaceDE w:val="0"/>
                    <w:autoSpaceDN w:val="0"/>
                    <w:adjustRightInd w:val="0"/>
                    <w:jc w:val="center"/>
                    <w:rPr>
                      <w:color w:val="auto"/>
                      <w:kern w:val="0"/>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37" w:type="dxa"/>
                  <w:noWrap w:val="0"/>
                  <w:vAlign w:val="center"/>
                </w:tcPr>
                <w:p>
                  <w:pPr>
                    <w:autoSpaceDE w:val="0"/>
                    <w:autoSpaceDN w:val="0"/>
                    <w:adjustRightInd w:val="0"/>
                    <w:jc w:val="center"/>
                    <w:rPr>
                      <w:color w:val="auto"/>
                      <w:kern w:val="0"/>
                      <w:sz w:val="21"/>
                      <w:szCs w:val="21"/>
                    </w:rPr>
                  </w:pPr>
                  <w:r>
                    <w:rPr>
                      <w:color w:val="auto"/>
                      <w:kern w:val="0"/>
                      <w:sz w:val="21"/>
                      <w:szCs w:val="21"/>
                    </w:rPr>
                    <w:t>3</w:t>
                  </w:r>
                </w:p>
              </w:tc>
              <w:tc>
                <w:tcPr>
                  <w:tcW w:w="2212" w:type="dxa"/>
                  <w:noWrap w:val="0"/>
                  <w:vAlign w:val="center"/>
                </w:tcPr>
                <w:p>
                  <w:pPr>
                    <w:autoSpaceDE w:val="0"/>
                    <w:autoSpaceDN w:val="0"/>
                    <w:adjustRightInd w:val="0"/>
                    <w:jc w:val="center"/>
                    <w:rPr>
                      <w:color w:val="auto"/>
                      <w:kern w:val="0"/>
                      <w:sz w:val="21"/>
                      <w:szCs w:val="21"/>
                    </w:rPr>
                  </w:pPr>
                  <w:r>
                    <w:rPr>
                      <w:color w:val="auto"/>
                      <w:kern w:val="0"/>
                      <w:sz w:val="21"/>
                      <w:szCs w:val="21"/>
                    </w:rPr>
                    <w:t>臭气浓度（无量纲）</w:t>
                  </w:r>
                </w:p>
              </w:tc>
              <w:tc>
                <w:tcPr>
                  <w:tcW w:w="1511" w:type="dxa"/>
                  <w:vMerge w:val="continue"/>
                  <w:noWrap w:val="0"/>
                  <w:vAlign w:val="center"/>
                </w:tcPr>
                <w:p>
                  <w:pPr>
                    <w:autoSpaceDE w:val="0"/>
                    <w:autoSpaceDN w:val="0"/>
                    <w:adjustRightInd w:val="0"/>
                    <w:jc w:val="center"/>
                    <w:rPr>
                      <w:color w:val="auto"/>
                      <w:kern w:val="0"/>
                      <w:sz w:val="21"/>
                      <w:szCs w:val="21"/>
                    </w:rPr>
                  </w:pPr>
                </w:p>
              </w:tc>
              <w:tc>
                <w:tcPr>
                  <w:tcW w:w="1405" w:type="dxa"/>
                  <w:noWrap w:val="0"/>
                  <w:vAlign w:val="center"/>
                </w:tcPr>
                <w:p>
                  <w:pPr>
                    <w:autoSpaceDE w:val="0"/>
                    <w:autoSpaceDN w:val="0"/>
                    <w:adjustRightInd w:val="0"/>
                    <w:jc w:val="center"/>
                    <w:rPr>
                      <w:color w:val="auto"/>
                      <w:kern w:val="0"/>
                      <w:sz w:val="21"/>
                      <w:szCs w:val="21"/>
                    </w:rPr>
                  </w:pPr>
                  <w:r>
                    <w:rPr>
                      <w:color w:val="auto"/>
                      <w:kern w:val="0"/>
                      <w:sz w:val="21"/>
                      <w:szCs w:val="21"/>
                    </w:rPr>
                    <w:t>20</w:t>
                  </w:r>
                </w:p>
              </w:tc>
              <w:tc>
                <w:tcPr>
                  <w:tcW w:w="2482" w:type="dxa"/>
                  <w:vMerge w:val="continue"/>
                  <w:noWrap w:val="0"/>
                  <w:vAlign w:val="center"/>
                </w:tcPr>
                <w:p>
                  <w:pPr>
                    <w:autoSpaceDE w:val="0"/>
                    <w:autoSpaceDN w:val="0"/>
                    <w:adjustRightInd w:val="0"/>
                    <w:jc w:val="center"/>
                    <w:rPr>
                      <w:color w:val="auto"/>
                      <w:kern w:val="0"/>
                      <w:sz w:val="21"/>
                      <w:szCs w:val="21"/>
                    </w:rPr>
                  </w:pPr>
                </w:p>
              </w:tc>
            </w:tr>
          </w:tbl>
          <w:p>
            <w:pPr>
              <w:adjustRightInd w:val="0"/>
              <w:snapToGrid w:val="0"/>
              <w:spacing w:line="360" w:lineRule="auto"/>
              <w:ind w:firstLine="480" w:firstLineChars="200"/>
              <w:rPr>
                <w:color w:val="auto"/>
              </w:rPr>
            </w:pPr>
            <w:r>
              <w:rPr>
                <w:color w:val="auto"/>
              </w:rPr>
              <w:t>2、废水排放：按照四川省《农村生活污水处理设施水污染物排放标准》（DB51/2626-2019）标准进行管理。</w:t>
            </w:r>
          </w:p>
          <w:p>
            <w:pPr>
              <w:adjustRightInd w:val="0"/>
              <w:snapToGrid w:val="0"/>
              <w:spacing w:line="360" w:lineRule="auto"/>
              <w:jc w:val="center"/>
              <w:rPr>
                <w:rFonts w:eastAsia="黑体"/>
                <w:color w:val="auto"/>
                <w:spacing w:val="20"/>
                <w:kern w:val="0"/>
              </w:rPr>
            </w:pPr>
            <w:r>
              <w:rPr>
                <w:rFonts w:eastAsia="黑体"/>
                <w:color w:val="auto"/>
                <w:spacing w:val="20"/>
                <w:kern w:val="0"/>
              </w:rPr>
              <w:t>表4-6  废水污染物排放标准限值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2217"/>
              <w:gridCol w:w="2113"/>
              <w:gridCol w:w="2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b/>
                      <w:bCs/>
                      <w:color w:val="auto"/>
                      <w:sz w:val="21"/>
                      <w:szCs w:val="21"/>
                    </w:rPr>
                  </w:pPr>
                  <w:r>
                    <w:rPr>
                      <w:b/>
                      <w:bCs/>
                      <w:color w:val="auto"/>
                      <w:sz w:val="21"/>
                      <w:szCs w:val="21"/>
                    </w:rPr>
                    <w:t>序号</w:t>
                  </w:r>
                </w:p>
              </w:tc>
              <w:tc>
                <w:tcPr>
                  <w:tcW w:w="2217" w:type="dxa"/>
                  <w:noWrap w:val="0"/>
                  <w:vAlign w:val="center"/>
                </w:tcPr>
                <w:p>
                  <w:pPr>
                    <w:jc w:val="center"/>
                    <w:rPr>
                      <w:b/>
                      <w:bCs/>
                      <w:color w:val="auto"/>
                      <w:sz w:val="21"/>
                      <w:szCs w:val="21"/>
                    </w:rPr>
                  </w:pPr>
                  <w:r>
                    <w:rPr>
                      <w:b/>
                      <w:bCs/>
                      <w:color w:val="auto"/>
                      <w:sz w:val="21"/>
                      <w:szCs w:val="21"/>
                    </w:rPr>
                    <w:t>污染物项目</w:t>
                  </w:r>
                </w:p>
              </w:tc>
              <w:tc>
                <w:tcPr>
                  <w:tcW w:w="2113" w:type="dxa"/>
                  <w:noWrap w:val="0"/>
                  <w:vAlign w:val="center"/>
                </w:tcPr>
                <w:p>
                  <w:pPr>
                    <w:jc w:val="center"/>
                    <w:rPr>
                      <w:b/>
                      <w:bCs/>
                      <w:color w:val="auto"/>
                      <w:sz w:val="21"/>
                      <w:szCs w:val="21"/>
                    </w:rPr>
                  </w:pPr>
                  <w:r>
                    <w:rPr>
                      <w:b/>
                      <w:bCs/>
                      <w:color w:val="auto"/>
                      <w:sz w:val="21"/>
                      <w:szCs w:val="21"/>
                    </w:rPr>
                    <w:t>排放限值（mg/L）</w:t>
                  </w:r>
                </w:p>
              </w:tc>
              <w:tc>
                <w:tcPr>
                  <w:tcW w:w="2390" w:type="dxa"/>
                  <w:noWrap w:val="0"/>
                  <w:vAlign w:val="center"/>
                </w:tcPr>
                <w:p>
                  <w:pPr>
                    <w:jc w:val="center"/>
                    <w:rPr>
                      <w:b/>
                      <w:bCs/>
                      <w:color w:val="auto"/>
                      <w:sz w:val="21"/>
                      <w:szCs w:val="21"/>
                    </w:rPr>
                  </w:pPr>
                  <w:r>
                    <w:rPr>
                      <w:b/>
                      <w:bCs/>
                      <w:color w:val="auto"/>
                      <w:sz w:val="21"/>
                      <w:szCs w:val="21"/>
                    </w:rPr>
                    <w:t>污染物排放监控位置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1</w:t>
                  </w:r>
                </w:p>
              </w:tc>
              <w:tc>
                <w:tcPr>
                  <w:tcW w:w="2217" w:type="dxa"/>
                  <w:noWrap w:val="0"/>
                  <w:vAlign w:val="center"/>
                </w:tcPr>
                <w:p>
                  <w:pPr>
                    <w:jc w:val="center"/>
                    <w:rPr>
                      <w:color w:val="auto"/>
                      <w:sz w:val="21"/>
                      <w:szCs w:val="21"/>
                    </w:rPr>
                  </w:pPr>
                  <w:r>
                    <w:rPr>
                      <w:color w:val="auto"/>
                      <w:sz w:val="21"/>
                      <w:szCs w:val="21"/>
                    </w:rPr>
                    <w:t>pH（无量纲）</w:t>
                  </w:r>
                </w:p>
              </w:tc>
              <w:tc>
                <w:tcPr>
                  <w:tcW w:w="2113" w:type="dxa"/>
                  <w:noWrap w:val="0"/>
                  <w:vAlign w:val="center"/>
                </w:tcPr>
                <w:p>
                  <w:pPr>
                    <w:jc w:val="center"/>
                    <w:rPr>
                      <w:color w:val="auto"/>
                      <w:sz w:val="21"/>
                      <w:szCs w:val="21"/>
                    </w:rPr>
                  </w:pPr>
                  <w:r>
                    <w:rPr>
                      <w:color w:val="auto"/>
                      <w:sz w:val="21"/>
                      <w:szCs w:val="21"/>
                    </w:rPr>
                    <w:t>6~9</w:t>
                  </w:r>
                </w:p>
              </w:tc>
              <w:tc>
                <w:tcPr>
                  <w:tcW w:w="2390" w:type="dxa"/>
                  <w:vMerge w:val="restart"/>
                  <w:noWrap w:val="0"/>
                  <w:vAlign w:val="center"/>
                </w:tcPr>
                <w:p>
                  <w:pPr>
                    <w:jc w:val="center"/>
                    <w:rPr>
                      <w:color w:val="auto"/>
                      <w:sz w:val="21"/>
                      <w:szCs w:val="21"/>
                    </w:rPr>
                  </w:pPr>
                  <w:r>
                    <w:rPr>
                      <w:color w:val="auto"/>
                      <w:sz w:val="21"/>
                      <w:szCs w:val="21"/>
                    </w:rPr>
                    <w:t>污水处理站总排放口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2</w:t>
                  </w:r>
                </w:p>
              </w:tc>
              <w:tc>
                <w:tcPr>
                  <w:tcW w:w="2217" w:type="dxa"/>
                  <w:noWrap w:val="0"/>
                  <w:vAlign w:val="center"/>
                </w:tcPr>
                <w:p>
                  <w:pPr>
                    <w:jc w:val="center"/>
                    <w:rPr>
                      <w:color w:val="auto"/>
                      <w:sz w:val="21"/>
                      <w:szCs w:val="21"/>
                    </w:rPr>
                  </w:pPr>
                  <w:r>
                    <w:rPr>
                      <w:color w:val="auto"/>
                      <w:sz w:val="21"/>
                      <w:szCs w:val="21"/>
                    </w:rPr>
                    <w:t>COD</w:t>
                  </w:r>
                  <w:r>
                    <w:rPr>
                      <w:color w:val="auto"/>
                      <w:sz w:val="21"/>
                      <w:szCs w:val="21"/>
                      <w:vertAlign w:val="subscript"/>
                    </w:rPr>
                    <w:t>cr</w:t>
                  </w:r>
                </w:p>
              </w:tc>
              <w:tc>
                <w:tcPr>
                  <w:tcW w:w="2113" w:type="dxa"/>
                  <w:noWrap w:val="0"/>
                  <w:vAlign w:val="center"/>
                </w:tcPr>
                <w:p>
                  <w:pPr>
                    <w:jc w:val="center"/>
                    <w:rPr>
                      <w:color w:val="auto"/>
                      <w:sz w:val="21"/>
                      <w:szCs w:val="21"/>
                    </w:rPr>
                  </w:pPr>
                  <w:r>
                    <w:rPr>
                      <w:color w:val="auto"/>
                      <w:sz w:val="21"/>
                      <w:szCs w:val="21"/>
                    </w:rPr>
                    <w:t>60</w:t>
                  </w:r>
                </w:p>
              </w:tc>
              <w:tc>
                <w:tcPr>
                  <w:tcW w:w="2390"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3</w:t>
                  </w:r>
                </w:p>
              </w:tc>
              <w:tc>
                <w:tcPr>
                  <w:tcW w:w="2217" w:type="dxa"/>
                  <w:noWrap w:val="0"/>
                  <w:vAlign w:val="center"/>
                </w:tcPr>
                <w:p>
                  <w:pPr>
                    <w:jc w:val="center"/>
                    <w:rPr>
                      <w:color w:val="auto"/>
                      <w:sz w:val="21"/>
                      <w:szCs w:val="21"/>
                    </w:rPr>
                  </w:pPr>
                  <w:r>
                    <w:rPr>
                      <w:color w:val="auto"/>
                      <w:sz w:val="21"/>
                      <w:szCs w:val="21"/>
                    </w:rPr>
                    <w:t>SS</w:t>
                  </w:r>
                </w:p>
              </w:tc>
              <w:tc>
                <w:tcPr>
                  <w:tcW w:w="2113" w:type="dxa"/>
                  <w:noWrap w:val="0"/>
                  <w:vAlign w:val="center"/>
                </w:tcPr>
                <w:p>
                  <w:pPr>
                    <w:jc w:val="center"/>
                    <w:rPr>
                      <w:color w:val="auto"/>
                      <w:sz w:val="21"/>
                      <w:szCs w:val="21"/>
                    </w:rPr>
                  </w:pPr>
                  <w:r>
                    <w:rPr>
                      <w:color w:val="auto"/>
                      <w:sz w:val="21"/>
                      <w:szCs w:val="21"/>
                    </w:rPr>
                    <w:t>20</w:t>
                  </w:r>
                </w:p>
              </w:tc>
              <w:tc>
                <w:tcPr>
                  <w:tcW w:w="2390"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4</w:t>
                  </w:r>
                </w:p>
              </w:tc>
              <w:tc>
                <w:tcPr>
                  <w:tcW w:w="2217" w:type="dxa"/>
                  <w:noWrap w:val="0"/>
                  <w:vAlign w:val="center"/>
                </w:tcPr>
                <w:p>
                  <w:pPr>
                    <w:jc w:val="center"/>
                    <w:rPr>
                      <w:color w:val="auto"/>
                      <w:sz w:val="21"/>
                      <w:szCs w:val="21"/>
                    </w:rPr>
                  </w:pPr>
                  <w:r>
                    <w:rPr>
                      <w:color w:val="auto"/>
                      <w:sz w:val="21"/>
                      <w:szCs w:val="21"/>
                    </w:rPr>
                    <w:t>氨氮（以N计）</w:t>
                  </w:r>
                </w:p>
              </w:tc>
              <w:tc>
                <w:tcPr>
                  <w:tcW w:w="2113" w:type="dxa"/>
                  <w:noWrap w:val="0"/>
                  <w:vAlign w:val="center"/>
                </w:tcPr>
                <w:p>
                  <w:pPr>
                    <w:jc w:val="center"/>
                    <w:rPr>
                      <w:color w:val="auto"/>
                      <w:sz w:val="21"/>
                      <w:szCs w:val="21"/>
                    </w:rPr>
                  </w:pPr>
                  <w:r>
                    <w:rPr>
                      <w:color w:val="auto"/>
                      <w:sz w:val="21"/>
                      <w:szCs w:val="21"/>
                    </w:rPr>
                    <w:t>8（15）</w:t>
                  </w:r>
                </w:p>
              </w:tc>
              <w:tc>
                <w:tcPr>
                  <w:tcW w:w="2390"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5</w:t>
                  </w:r>
                </w:p>
              </w:tc>
              <w:tc>
                <w:tcPr>
                  <w:tcW w:w="2217" w:type="dxa"/>
                  <w:noWrap w:val="0"/>
                  <w:vAlign w:val="center"/>
                </w:tcPr>
                <w:p>
                  <w:pPr>
                    <w:jc w:val="center"/>
                    <w:rPr>
                      <w:color w:val="auto"/>
                      <w:sz w:val="21"/>
                      <w:szCs w:val="21"/>
                    </w:rPr>
                  </w:pPr>
                  <w:r>
                    <w:rPr>
                      <w:color w:val="auto"/>
                      <w:sz w:val="21"/>
                      <w:szCs w:val="21"/>
                    </w:rPr>
                    <w:t>总氮（以N计）</w:t>
                  </w:r>
                </w:p>
              </w:tc>
              <w:tc>
                <w:tcPr>
                  <w:tcW w:w="2113" w:type="dxa"/>
                  <w:noWrap w:val="0"/>
                  <w:vAlign w:val="center"/>
                </w:tcPr>
                <w:p>
                  <w:pPr>
                    <w:jc w:val="center"/>
                    <w:rPr>
                      <w:color w:val="auto"/>
                      <w:sz w:val="21"/>
                      <w:szCs w:val="21"/>
                    </w:rPr>
                  </w:pPr>
                  <w:r>
                    <w:rPr>
                      <w:color w:val="auto"/>
                      <w:sz w:val="21"/>
                      <w:szCs w:val="21"/>
                    </w:rPr>
                    <w:t>20</w:t>
                  </w:r>
                </w:p>
              </w:tc>
              <w:tc>
                <w:tcPr>
                  <w:tcW w:w="2390"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6</w:t>
                  </w:r>
                </w:p>
              </w:tc>
              <w:tc>
                <w:tcPr>
                  <w:tcW w:w="2217" w:type="dxa"/>
                  <w:noWrap w:val="0"/>
                  <w:vAlign w:val="center"/>
                </w:tcPr>
                <w:p>
                  <w:pPr>
                    <w:jc w:val="center"/>
                    <w:rPr>
                      <w:color w:val="auto"/>
                      <w:sz w:val="21"/>
                      <w:szCs w:val="21"/>
                    </w:rPr>
                  </w:pPr>
                  <w:r>
                    <w:rPr>
                      <w:color w:val="auto"/>
                      <w:sz w:val="21"/>
                      <w:szCs w:val="21"/>
                    </w:rPr>
                    <w:t>总磷（以P计）</w:t>
                  </w:r>
                </w:p>
              </w:tc>
              <w:tc>
                <w:tcPr>
                  <w:tcW w:w="2113" w:type="dxa"/>
                  <w:noWrap w:val="0"/>
                  <w:vAlign w:val="center"/>
                </w:tcPr>
                <w:p>
                  <w:pPr>
                    <w:jc w:val="center"/>
                    <w:rPr>
                      <w:color w:val="auto"/>
                      <w:sz w:val="21"/>
                      <w:szCs w:val="21"/>
                    </w:rPr>
                  </w:pPr>
                  <w:r>
                    <w:rPr>
                      <w:color w:val="auto"/>
                      <w:sz w:val="21"/>
                      <w:szCs w:val="21"/>
                    </w:rPr>
                    <w:t>1.5</w:t>
                  </w:r>
                </w:p>
              </w:tc>
              <w:tc>
                <w:tcPr>
                  <w:tcW w:w="2390" w:type="dxa"/>
                  <w:vMerge w:val="continue"/>
                  <w:noWrap w:val="0"/>
                  <w:vAlign w:val="center"/>
                </w:tcPr>
                <w:p>
                  <w:pPr>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noWrap w:val="0"/>
                  <w:vAlign w:val="center"/>
                </w:tcPr>
                <w:p>
                  <w:pPr>
                    <w:jc w:val="center"/>
                    <w:rPr>
                      <w:color w:val="auto"/>
                      <w:sz w:val="21"/>
                      <w:szCs w:val="21"/>
                    </w:rPr>
                  </w:pPr>
                  <w:r>
                    <w:rPr>
                      <w:color w:val="auto"/>
                      <w:sz w:val="21"/>
                      <w:szCs w:val="21"/>
                    </w:rPr>
                    <w:t>7</w:t>
                  </w:r>
                </w:p>
              </w:tc>
              <w:tc>
                <w:tcPr>
                  <w:tcW w:w="2217" w:type="dxa"/>
                  <w:noWrap w:val="0"/>
                  <w:vAlign w:val="center"/>
                </w:tcPr>
                <w:p>
                  <w:pPr>
                    <w:jc w:val="center"/>
                    <w:rPr>
                      <w:color w:val="auto"/>
                      <w:sz w:val="21"/>
                      <w:szCs w:val="21"/>
                    </w:rPr>
                  </w:pPr>
                  <w:r>
                    <w:rPr>
                      <w:color w:val="auto"/>
                      <w:sz w:val="21"/>
                      <w:szCs w:val="21"/>
                    </w:rPr>
                    <w:t>动植物油</w:t>
                  </w:r>
                </w:p>
              </w:tc>
              <w:tc>
                <w:tcPr>
                  <w:tcW w:w="2113" w:type="dxa"/>
                  <w:noWrap w:val="0"/>
                  <w:vAlign w:val="center"/>
                </w:tcPr>
                <w:p>
                  <w:pPr>
                    <w:jc w:val="center"/>
                    <w:rPr>
                      <w:color w:val="auto"/>
                      <w:sz w:val="21"/>
                      <w:szCs w:val="21"/>
                    </w:rPr>
                  </w:pPr>
                  <w:r>
                    <w:rPr>
                      <w:color w:val="auto"/>
                      <w:sz w:val="21"/>
                      <w:szCs w:val="21"/>
                    </w:rPr>
                    <w:t>3</w:t>
                  </w:r>
                </w:p>
              </w:tc>
              <w:tc>
                <w:tcPr>
                  <w:tcW w:w="2390" w:type="dxa"/>
                  <w:vMerge w:val="continue"/>
                  <w:noWrap w:val="0"/>
                  <w:vAlign w:val="center"/>
                </w:tcPr>
                <w:p>
                  <w:pPr>
                    <w:jc w:val="center"/>
                    <w:rPr>
                      <w:color w:val="auto"/>
                      <w:sz w:val="21"/>
                      <w:szCs w:val="21"/>
                    </w:rPr>
                  </w:pPr>
                </w:p>
              </w:tc>
            </w:tr>
          </w:tbl>
          <w:p>
            <w:pPr>
              <w:numPr>
                <w:ilvl w:val="0"/>
                <w:numId w:val="3"/>
              </w:numPr>
              <w:adjustRightInd w:val="0"/>
              <w:snapToGrid w:val="0"/>
              <w:spacing w:line="360" w:lineRule="auto"/>
              <w:ind w:firstLine="480" w:firstLineChars="200"/>
              <w:rPr>
                <w:color w:val="auto"/>
              </w:rPr>
            </w:pPr>
            <w:r>
              <w:rPr>
                <w:color w:val="auto"/>
              </w:rPr>
              <w:t>噪声排放：</w:t>
            </w:r>
          </w:p>
          <w:p>
            <w:pPr>
              <w:adjustRightInd w:val="0"/>
              <w:snapToGrid w:val="0"/>
              <w:spacing w:line="360" w:lineRule="auto"/>
              <w:ind w:firstLine="480" w:firstLineChars="200"/>
              <w:rPr>
                <w:color w:val="auto"/>
              </w:rPr>
            </w:pPr>
            <w:r>
              <w:rPr>
                <w:color w:val="auto"/>
              </w:rPr>
              <w:t>营运期厂界噪声排放执行《工业企业厂界环境噪声排放标准》(GB12348-2008)2类标准，即昼间≤60dB(A)，夜间≤50dB(A)。</w:t>
            </w:r>
          </w:p>
          <w:p>
            <w:pPr>
              <w:numPr>
                <w:ilvl w:val="0"/>
                <w:numId w:val="3"/>
              </w:numPr>
              <w:adjustRightInd w:val="0"/>
              <w:snapToGrid w:val="0"/>
              <w:spacing w:line="360" w:lineRule="auto"/>
              <w:ind w:firstLine="480" w:firstLineChars="200"/>
              <w:rPr>
                <w:color w:val="auto"/>
              </w:rPr>
            </w:pPr>
            <w:r>
              <w:rPr>
                <w:color w:val="auto"/>
              </w:rPr>
              <w:t>固体废物执行标准：</w:t>
            </w:r>
          </w:p>
          <w:p>
            <w:pPr>
              <w:adjustRightInd w:val="0"/>
              <w:snapToGrid w:val="0"/>
              <w:spacing w:line="360" w:lineRule="auto"/>
              <w:ind w:firstLine="480" w:firstLineChars="200"/>
              <w:rPr>
                <w:color w:val="auto"/>
                <w:highlight w:val="cyan"/>
              </w:rPr>
            </w:pPr>
            <w:r>
              <w:rPr>
                <w:color w:val="auto"/>
              </w:rPr>
              <w:t>项目固体废物属于一般固废，执行《一般工业固体废物贮存、处置场污染控制标准》(GB18599-2001)及其修改单规定。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jc w:val="center"/>
        </w:trPr>
        <w:tc>
          <w:tcPr>
            <w:tcW w:w="648" w:type="dxa"/>
            <w:noWrap w:val="0"/>
            <w:vAlign w:val="top"/>
          </w:tcPr>
          <w:p>
            <w:pPr>
              <w:rPr>
                <w:color w:val="auto"/>
                <w:highlight w:val="cyan"/>
              </w:rPr>
            </w:pPr>
            <w:r>
              <w:rPr>
                <w:color w:val="auto"/>
              </w:rPr>
              <w:t>总量控制指标</w:t>
            </w:r>
          </w:p>
        </w:tc>
        <w:tc>
          <w:tcPr>
            <w:tcW w:w="8382" w:type="dxa"/>
            <w:noWrap w:val="0"/>
            <w:vAlign w:val="top"/>
          </w:tcPr>
          <w:p>
            <w:pPr>
              <w:adjustRightInd w:val="0"/>
              <w:snapToGrid w:val="0"/>
              <w:spacing w:line="360" w:lineRule="auto"/>
              <w:ind w:firstLine="480" w:firstLineChars="200"/>
              <w:rPr>
                <w:color w:val="auto"/>
              </w:rPr>
            </w:pPr>
            <w:r>
              <w:rPr>
                <w:color w:val="auto"/>
              </w:rPr>
              <w:t>根据国家总量控制因子的规定和工程污染物排放特征，本评价根据本项目的总体情况，本项目总量控制因子为COD、NH</w:t>
            </w:r>
            <w:r>
              <w:rPr>
                <w:color w:val="auto"/>
                <w:vertAlign w:val="subscript"/>
              </w:rPr>
              <w:t>3</w:t>
            </w:r>
            <w:r>
              <w:rPr>
                <w:color w:val="auto"/>
              </w:rPr>
              <w:t>-N、TP、TN。本次环评建议总量控制指标如下：</w:t>
            </w:r>
          </w:p>
          <w:p>
            <w:pPr>
              <w:adjustRightInd w:val="0"/>
              <w:snapToGrid w:val="0"/>
              <w:spacing w:line="360" w:lineRule="auto"/>
              <w:ind w:firstLine="480" w:firstLineChars="200"/>
              <w:rPr>
                <w:color w:val="auto"/>
              </w:rPr>
            </w:pPr>
            <w:r>
              <w:rPr>
                <w:color w:val="auto"/>
              </w:rPr>
              <w:t>COD：1.314t/a；</w:t>
            </w:r>
          </w:p>
          <w:p>
            <w:pPr>
              <w:adjustRightInd w:val="0"/>
              <w:snapToGrid w:val="0"/>
              <w:spacing w:line="360" w:lineRule="auto"/>
              <w:ind w:firstLine="480" w:firstLineChars="200"/>
              <w:rPr>
                <w:color w:val="auto"/>
              </w:rPr>
            </w:pPr>
            <w:r>
              <w:rPr>
                <w:color w:val="auto"/>
              </w:rPr>
              <w:t>NH</w:t>
            </w:r>
            <w:r>
              <w:rPr>
                <w:color w:val="auto"/>
                <w:vertAlign w:val="subscript"/>
              </w:rPr>
              <w:t>3</w:t>
            </w:r>
            <w:r>
              <w:rPr>
                <w:color w:val="auto"/>
              </w:rPr>
              <w:t>-N：0.1752t/a；</w:t>
            </w:r>
          </w:p>
          <w:p>
            <w:pPr>
              <w:adjustRightInd w:val="0"/>
              <w:snapToGrid w:val="0"/>
              <w:spacing w:line="360" w:lineRule="auto"/>
              <w:ind w:firstLine="480" w:firstLineChars="200"/>
              <w:rPr>
                <w:color w:val="auto"/>
              </w:rPr>
            </w:pPr>
            <w:r>
              <w:rPr>
                <w:color w:val="auto"/>
              </w:rPr>
              <w:t>TP：0.03285t/a；</w:t>
            </w:r>
          </w:p>
          <w:p>
            <w:pPr>
              <w:adjustRightInd w:val="0"/>
              <w:snapToGrid w:val="0"/>
              <w:spacing w:line="360" w:lineRule="auto"/>
              <w:ind w:firstLine="480" w:firstLineChars="200"/>
              <w:rPr>
                <w:color w:val="auto"/>
              </w:rPr>
            </w:pPr>
            <w:r>
              <w:rPr>
                <w:color w:val="auto"/>
              </w:rPr>
              <w:t>TN：0.438t/a。</w:t>
            </w: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ascii="Times New Roman" w:hAnsi="Times New Roman"/>
                <w:color w:val="auto"/>
              </w:rPr>
            </w:pPr>
          </w:p>
          <w:p>
            <w:pPr>
              <w:pStyle w:val="2"/>
              <w:ind w:left="480"/>
              <w:rPr>
                <w:rFonts w:hint="default" w:ascii="Times New Roman" w:hAnsi="Times New Roman"/>
                <w:color w:val="auto"/>
              </w:rPr>
            </w:pPr>
          </w:p>
        </w:tc>
      </w:tr>
    </w:tbl>
    <w:p>
      <w:pPr>
        <w:outlineLvl w:val="0"/>
        <w:rPr>
          <w:rFonts w:eastAsia="黑体"/>
          <w:color w:val="auto"/>
          <w:sz w:val="32"/>
          <w:szCs w:val="32"/>
        </w:rPr>
        <w:sectPr>
          <w:headerReference r:id="rId5" w:type="default"/>
          <w:footerReference r:id="rId6" w:type="default"/>
          <w:footerReference r:id="rId7" w:type="even"/>
          <w:pgSz w:w="11906" w:h="16838"/>
          <w:pgMar w:top="1440" w:right="1418" w:bottom="1440" w:left="1418" w:header="851" w:footer="851" w:gutter="0"/>
          <w:pgBorders w:offsetFrom="page">
            <w:top w:val="none" w:sz="0" w:space="0"/>
            <w:left w:val="none" w:sz="0" w:space="0"/>
            <w:bottom w:val="none" w:sz="0" w:space="0"/>
            <w:right w:val="none" w:sz="0" w:space="0"/>
          </w:pgBorders>
          <w:pgNumType w:start="1"/>
          <w:cols w:space="720" w:num="1"/>
          <w:docGrid w:type="lines" w:linePitch="326" w:charSpace="0"/>
        </w:sectPr>
      </w:pPr>
    </w:p>
    <w:p>
      <w:pPr>
        <w:outlineLvl w:val="0"/>
        <w:rPr>
          <w:rFonts w:eastAsia="黑体"/>
          <w:color w:val="auto"/>
          <w:sz w:val="32"/>
          <w:szCs w:val="32"/>
        </w:rPr>
      </w:pPr>
      <w:r>
        <w:rPr>
          <w:rFonts w:eastAsia="黑体"/>
          <w:color w:val="auto"/>
          <w:sz w:val="32"/>
          <w:szCs w:val="32"/>
        </w:rPr>
        <w:t>项目工程分析                                     （表五）</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noWrap w:val="0"/>
            <w:vAlign w:val="top"/>
          </w:tcPr>
          <w:p>
            <w:pPr>
              <w:pStyle w:val="75"/>
              <w:rPr>
                <w:rFonts w:ascii="Times New Roman" w:hAnsi="Times New Roman"/>
                <w:color w:val="auto"/>
                <w:kern w:val="2"/>
              </w:rPr>
            </w:pPr>
            <w:r>
              <w:rPr>
                <w:rFonts w:ascii="Times New Roman" w:hAnsi="Times New Roman"/>
                <w:color w:val="auto"/>
                <w:kern w:val="2"/>
              </w:rPr>
              <w:t>工艺流程简述（图示）：</w:t>
            </w:r>
          </w:p>
          <w:p>
            <w:pPr>
              <w:tabs>
                <w:tab w:val="left" w:pos="424"/>
              </w:tabs>
              <w:adjustRightInd w:val="0"/>
              <w:snapToGrid w:val="0"/>
              <w:spacing w:line="360" w:lineRule="auto"/>
              <w:ind w:firstLine="480" w:firstLineChars="200"/>
              <w:rPr>
                <w:color w:val="auto"/>
              </w:rPr>
            </w:pPr>
            <w:r>
              <w:rPr>
                <w:color w:val="auto"/>
              </w:rPr>
              <w:t>项目建设分为施工期和营运期，按照环境影响评价技术导则要求，本报告分别对项目施工期和营运期进行评价。</w:t>
            </w:r>
          </w:p>
          <w:p>
            <w:pPr>
              <w:tabs>
                <w:tab w:val="left" w:pos="424"/>
              </w:tabs>
              <w:adjustRightInd w:val="0"/>
              <w:snapToGrid w:val="0"/>
              <w:spacing w:line="360" w:lineRule="auto"/>
              <w:ind w:firstLine="480" w:firstLineChars="200"/>
              <w:rPr>
                <w:color w:val="auto"/>
              </w:rPr>
            </w:pPr>
            <w:r>
              <w:rPr>
                <w:color w:val="auto"/>
              </w:rPr>
              <w:t>本项目属于新建项目，项目内容主要为新建“化粪池1+MBR一体化处理设备”、“化粪池2+人工湿地”和“化粪池3+人工湿地”，分别收纳宜坪乡桐花村东侧大片区农户（约110户）生活污水、西南侧小部分农户（约7户）生活污水和西侧小片区农户（约30户）生活污水。</w:t>
            </w:r>
          </w:p>
          <w:p>
            <w:pPr>
              <w:pStyle w:val="2"/>
              <w:ind w:left="0" w:leftChars="0" w:firstLine="0" w:firstLineChars="0"/>
              <w:jc w:val="center"/>
              <w:rPr>
                <w:rFonts w:hint="default" w:ascii="Times New Roman" w:hAnsi="Times New Roman"/>
                <w:color w:val="auto"/>
              </w:rPr>
            </w:pPr>
            <w:r>
              <w:rPr>
                <w:rFonts w:hint="default" w:ascii="Times New Roman" w:hAnsi="Times New Roman"/>
                <w:color w:val="auto"/>
              </w:rPr>
              <w:object>
                <v:shape id="_x0000_i1033" o:spt="75" type="#_x0000_t75" style="height:222.05pt;width:396.9pt;" o:ole="t" filled="f" o:preferrelative="t" stroked="f" coordsize="21600,21600">
                  <v:path/>
                  <v:fill on="f" focussize="0,0"/>
                  <v:stroke on="f"/>
                  <v:imagedata r:id="rId29" o:title=""/>
                  <o:lock v:ext="edit" aspectratio="f"/>
                  <w10:wrap type="none"/>
                  <w10:anchorlock/>
                </v:shape>
                <o:OLEObject Type="Embed" ProgID="Visio.Drawing.11" ShapeID="_x0000_i1033" DrawAspect="Content" ObjectID="_1468075733" r:id="rId28">
                  <o:LockedField>false</o:LockedField>
                </o:OLEObject>
              </w:object>
            </w:r>
          </w:p>
          <w:p>
            <w:pPr>
              <w:adjustRightInd w:val="0"/>
              <w:snapToGrid w:val="0"/>
              <w:spacing w:line="360" w:lineRule="auto"/>
              <w:jc w:val="center"/>
              <w:rPr>
                <w:b/>
                <w:color w:val="auto"/>
                <w:sz w:val="32"/>
                <w:szCs w:val="32"/>
              </w:rPr>
            </w:pPr>
            <w:r>
              <w:rPr>
                <w:rFonts w:eastAsia="黑体"/>
                <w:bCs/>
                <w:color w:val="auto"/>
              </w:rPr>
              <w:t>图5-1  污水处理站施工期工艺流程图</w:t>
            </w:r>
          </w:p>
          <w:p>
            <w:pPr>
              <w:pStyle w:val="36"/>
              <w:snapToGrid w:val="0"/>
              <w:ind w:firstLine="482" w:firstLineChars="200"/>
              <w:jc w:val="both"/>
              <w:rPr>
                <w:b/>
                <w:color w:val="auto"/>
              </w:rPr>
            </w:pPr>
            <w:r>
              <w:rPr>
                <w:b/>
                <w:color w:val="auto"/>
              </w:rPr>
              <w:t>1.污水处理站施工期工艺流程</w:t>
            </w:r>
          </w:p>
          <w:p>
            <w:pPr>
              <w:pStyle w:val="36"/>
              <w:snapToGrid w:val="0"/>
              <w:ind w:firstLine="480" w:firstLineChars="200"/>
              <w:jc w:val="both"/>
              <w:rPr>
                <w:bCs/>
                <w:color w:val="auto"/>
              </w:rPr>
            </w:pPr>
            <w:r>
              <w:rPr>
                <w:color w:val="auto"/>
              </w:rPr>
              <w:t>污水处理站建设施工期间主要涉及场地平整及表土收集、基础工程、主体工程、装饰工程、设备安装等工程，建设过程将产生扬尘、废气、施工废水、生活污水、噪声、固体废弃物等污染物。</w:t>
            </w:r>
          </w:p>
          <w:p>
            <w:pPr>
              <w:adjustRightInd w:val="0"/>
              <w:snapToGrid w:val="0"/>
              <w:spacing w:line="360" w:lineRule="auto"/>
              <w:ind w:firstLine="482" w:firstLineChars="200"/>
              <w:outlineLvl w:val="2"/>
              <w:rPr>
                <w:b/>
                <w:color w:val="auto"/>
              </w:rPr>
            </w:pPr>
            <w:r>
              <w:rPr>
                <w:b/>
                <w:color w:val="auto"/>
              </w:rPr>
              <w:t>2.污水处理站和管网工程施工期主要污染工序</w:t>
            </w:r>
          </w:p>
          <w:p>
            <w:pPr>
              <w:adjustRightInd w:val="0"/>
              <w:snapToGrid w:val="0"/>
              <w:spacing w:line="360" w:lineRule="auto"/>
              <w:ind w:firstLine="480" w:firstLineChars="200"/>
              <w:rPr>
                <w:color w:val="auto"/>
              </w:rPr>
            </w:pPr>
            <w:r>
              <w:rPr>
                <w:color w:val="auto"/>
              </w:rPr>
              <w:t>（1）基础工程施工</w:t>
            </w:r>
          </w:p>
          <w:p>
            <w:pPr>
              <w:adjustRightInd w:val="0"/>
              <w:snapToGrid w:val="0"/>
              <w:spacing w:line="360" w:lineRule="auto"/>
              <w:ind w:firstLine="480" w:firstLineChars="200"/>
              <w:rPr>
                <w:color w:val="auto"/>
              </w:rPr>
            </w:pPr>
            <w:r>
              <w:rPr>
                <w:color w:val="auto"/>
              </w:rPr>
              <w:t>本项目不涉及拆迁。因此，施工期主要污染包括土方（挖方、填方）、基础施工时，由于挖土机、运土卡车等施工机械的运行会产生噪声；同时产生扬尘和施工人员生活污水。</w:t>
            </w:r>
          </w:p>
          <w:p>
            <w:pPr>
              <w:adjustRightInd w:val="0"/>
              <w:snapToGrid w:val="0"/>
              <w:spacing w:line="360" w:lineRule="auto"/>
              <w:ind w:firstLine="480" w:firstLineChars="200"/>
              <w:rPr>
                <w:color w:val="auto"/>
              </w:rPr>
            </w:pPr>
            <w:r>
              <w:rPr>
                <w:color w:val="auto"/>
              </w:rPr>
              <w:t>（2）主体工程施工</w:t>
            </w:r>
          </w:p>
          <w:p>
            <w:pPr>
              <w:adjustRightInd w:val="0"/>
              <w:snapToGrid w:val="0"/>
              <w:spacing w:line="360" w:lineRule="auto"/>
              <w:ind w:firstLine="480" w:firstLineChars="200"/>
              <w:rPr>
                <w:color w:val="auto"/>
              </w:rPr>
            </w:pPr>
            <w:r>
              <w:rPr>
                <w:color w:val="auto"/>
              </w:rPr>
              <w:t>主体工程施工时，施工机械运行时会产生噪声，同时随着施工的进行还会产生原材料废弃物以及生活污水、施工废水及生活垃圾。</w:t>
            </w:r>
          </w:p>
          <w:p>
            <w:pPr>
              <w:adjustRightInd w:val="0"/>
              <w:snapToGrid w:val="0"/>
              <w:spacing w:line="360" w:lineRule="auto"/>
              <w:ind w:firstLine="480" w:firstLineChars="200"/>
              <w:rPr>
                <w:color w:val="auto"/>
              </w:rPr>
            </w:pPr>
            <w:r>
              <w:rPr>
                <w:color w:val="auto"/>
              </w:rPr>
              <w:t>（3）设备安装</w:t>
            </w:r>
          </w:p>
          <w:p>
            <w:pPr>
              <w:adjustRightInd w:val="0"/>
              <w:snapToGrid w:val="0"/>
              <w:spacing w:line="360" w:lineRule="auto"/>
              <w:ind w:firstLine="480" w:firstLineChars="200"/>
              <w:rPr>
                <w:color w:val="auto"/>
              </w:rPr>
            </w:pPr>
            <w:r>
              <w:rPr>
                <w:color w:val="auto"/>
              </w:rPr>
              <w:t>设备安装过程中会产生噪声、废包装材料等。</w:t>
            </w:r>
          </w:p>
          <w:p>
            <w:pPr>
              <w:spacing w:line="360" w:lineRule="auto"/>
              <w:ind w:firstLine="482" w:firstLineChars="200"/>
              <w:jc w:val="left"/>
              <w:rPr>
                <w:b/>
                <w:color w:val="auto"/>
              </w:rPr>
            </w:pPr>
            <w:r>
              <w:rPr>
                <w:b/>
                <w:color w:val="auto"/>
              </w:rPr>
              <w:t>一、施工期污染物排放及防治措施</w:t>
            </w:r>
          </w:p>
          <w:p>
            <w:pPr>
              <w:spacing w:line="360" w:lineRule="auto"/>
              <w:ind w:firstLine="465"/>
              <w:jc w:val="left"/>
              <w:rPr>
                <w:b/>
                <w:color w:val="auto"/>
              </w:rPr>
            </w:pPr>
            <w:r>
              <w:rPr>
                <w:b/>
                <w:color w:val="auto"/>
              </w:rPr>
              <w:t>1、废气</w:t>
            </w:r>
          </w:p>
          <w:p>
            <w:pPr>
              <w:pStyle w:val="64"/>
              <w:ind w:firstLine="480"/>
              <w:rPr>
                <w:rFonts w:ascii="Times New Roman" w:hAnsi="Times New Roman" w:eastAsia="宋体"/>
                <w:color w:val="auto"/>
              </w:rPr>
            </w:pPr>
            <w:r>
              <w:rPr>
                <w:rFonts w:ascii="Times New Roman" w:hAnsi="Times New Roman" w:eastAsia="宋体"/>
                <w:color w:val="auto"/>
              </w:rPr>
              <w:t>大气污染物主要来源于施工期扬尘，次要为施工车辆、挖掘机等燃油燃烧时排放的</w:t>
            </w:r>
            <w:r>
              <w:rPr>
                <w:rFonts w:ascii="Times New Roman" w:hAnsi="Times New Roman"/>
                <w:color w:val="auto"/>
              </w:rPr>
              <w:t>SO</w:t>
            </w:r>
            <w:r>
              <w:rPr>
                <w:rFonts w:ascii="Times New Roman" w:hAnsi="Times New Roman"/>
                <w:color w:val="auto"/>
                <w:vertAlign w:val="subscript"/>
              </w:rPr>
              <w:t>2</w:t>
            </w:r>
            <w:r>
              <w:rPr>
                <w:rFonts w:ascii="Times New Roman" w:hAnsi="Times New Roman" w:eastAsia="宋体"/>
                <w:color w:val="auto"/>
              </w:rPr>
              <w:t>、</w:t>
            </w:r>
            <w:r>
              <w:rPr>
                <w:rFonts w:ascii="Times New Roman" w:hAnsi="Times New Roman"/>
                <w:color w:val="auto"/>
              </w:rPr>
              <w:t>NO</w:t>
            </w:r>
            <w:r>
              <w:rPr>
                <w:rFonts w:ascii="Times New Roman" w:hAnsi="Times New Roman"/>
                <w:color w:val="auto"/>
                <w:vertAlign w:val="subscript"/>
              </w:rPr>
              <w:t>2</w:t>
            </w:r>
            <w:r>
              <w:rPr>
                <w:rFonts w:ascii="Times New Roman" w:hAnsi="Times New Roman" w:eastAsia="宋体"/>
                <w:color w:val="auto"/>
              </w:rPr>
              <w:t>、</w:t>
            </w:r>
            <w:r>
              <w:rPr>
                <w:rFonts w:ascii="Times New Roman" w:hAnsi="Times New Roman"/>
                <w:color w:val="auto"/>
              </w:rPr>
              <w:t>CO</w:t>
            </w:r>
            <w:r>
              <w:rPr>
                <w:rFonts w:ascii="Times New Roman" w:hAnsi="Times New Roman" w:eastAsia="宋体"/>
                <w:color w:val="auto"/>
              </w:rPr>
              <w:t>、烃类（THC）等污染物，但最为突出的是施工扬尘。</w:t>
            </w:r>
          </w:p>
          <w:p>
            <w:pPr>
              <w:pStyle w:val="64"/>
              <w:ind w:firstLine="482"/>
              <w:rPr>
                <w:rFonts w:ascii="Times New Roman" w:hAnsi="Times New Roman"/>
                <w:b/>
                <w:color w:val="auto"/>
              </w:rPr>
            </w:pPr>
            <w:r>
              <w:rPr>
                <w:rFonts w:ascii="Times New Roman" w:hAnsi="Times New Roman" w:eastAsia="宋体"/>
                <w:b/>
                <w:color w:val="auto"/>
              </w:rPr>
              <w:t>（1）施工场地扬尘</w:t>
            </w:r>
          </w:p>
          <w:p>
            <w:pPr>
              <w:spacing w:line="360" w:lineRule="auto"/>
              <w:ind w:firstLine="465"/>
              <w:jc w:val="left"/>
              <w:rPr>
                <w:color w:val="auto"/>
              </w:rPr>
            </w:pPr>
            <w:r>
              <w:rPr>
                <w:color w:val="auto"/>
              </w:rPr>
              <w:t>施工时的挖填土石方、出渣、建材运输、装卸等都将产生二次扬尘。施工期扬尘产生的多少及影响程度的大小与施工场地条件和天气条件等诸多因素有关，根据国内多家监测机构对施工扬尘所做的实测资料，统计结果如下表。</w:t>
            </w:r>
          </w:p>
          <w:p>
            <w:pPr>
              <w:pStyle w:val="56"/>
              <w:spacing w:before="120" w:after="120"/>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表5-1  施工现场大气中颗粒物浓度变化表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1"/>
              <w:gridCol w:w="1469"/>
              <w:gridCol w:w="669"/>
              <w:gridCol w:w="668"/>
              <w:gridCol w:w="668"/>
              <w:gridCol w:w="668"/>
              <w:gridCol w:w="668"/>
              <w:gridCol w:w="668"/>
              <w:gridCol w:w="2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440" w:type="dxa"/>
                  <w:gridSpan w:val="2"/>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距工地距离(m)</w:t>
                  </w:r>
                </w:p>
              </w:tc>
              <w:tc>
                <w:tcPr>
                  <w:tcW w:w="669"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10</w:t>
                  </w:r>
                </w:p>
              </w:tc>
              <w:tc>
                <w:tcPr>
                  <w:tcW w:w="668"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20</w:t>
                  </w:r>
                </w:p>
              </w:tc>
              <w:tc>
                <w:tcPr>
                  <w:tcW w:w="668"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30</w:t>
                  </w:r>
                </w:p>
              </w:tc>
              <w:tc>
                <w:tcPr>
                  <w:tcW w:w="668"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40</w:t>
                  </w:r>
                </w:p>
              </w:tc>
              <w:tc>
                <w:tcPr>
                  <w:tcW w:w="668"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50</w:t>
                  </w:r>
                </w:p>
              </w:tc>
              <w:tc>
                <w:tcPr>
                  <w:tcW w:w="668"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100</w:t>
                  </w:r>
                </w:p>
              </w:tc>
              <w:tc>
                <w:tcPr>
                  <w:tcW w:w="2604" w:type="dxa"/>
                  <w:noWrap w:val="0"/>
                  <w:vAlign w:val="center"/>
                </w:tcPr>
                <w:p>
                  <w:pPr>
                    <w:pStyle w:val="56"/>
                    <w:spacing w:line="240" w:lineRule="auto"/>
                    <w:jc w:val="center"/>
                    <w:rPr>
                      <w:rFonts w:ascii="Times New Roman" w:hAnsi="Times New Roman" w:eastAsia="宋体"/>
                      <w:b/>
                      <w:color w:val="auto"/>
                      <w:sz w:val="21"/>
                      <w:szCs w:val="21"/>
                    </w:rPr>
                  </w:pPr>
                  <w:r>
                    <w:rPr>
                      <w:rFonts w:ascii="Times New Roman" w:hAnsi="Times New Roman" w:eastAsia="宋体"/>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971" w:type="dxa"/>
                  <w:vMerge w:val="restart"/>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浓度</w:t>
                  </w:r>
                </w:p>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(mg/m</w:t>
                  </w:r>
                  <w:r>
                    <w:rPr>
                      <w:rFonts w:ascii="Times New Roman" w:hAnsi="Times New Roman" w:eastAsia="宋体"/>
                      <w:color w:val="auto"/>
                      <w:sz w:val="21"/>
                      <w:szCs w:val="21"/>
                      <w:vertAlign w:val="superscript"/>
                    </w:rPr>
                    <w:t>3</w:t>
                  </w:r>
                  <w:r>
                    <w:rPr>
                      <w:rFonts w:ascii="Times New Roman" w:hAnsi="Times New Roman" w:eastAsia="宋体"/>
                      <w:color w:val="auto"/>
                      <w:sz w:val="21"/>
                      <w:szCs w:val="21"/>
                    </w:rPr>
                    <w:t>)</w:t>
                  </w:r>
                </w:p>
              </w:tc>
              <w:tc>
                <w:tcPr>
                  <w:tcW w:w="1469"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场地未洒水</w:t>
                  </w:r>
                </w:p>
              </w:tc>
              <w:tc>
                <w:tcPr>
                  <w:tcW w:w="669"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1.75</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l.30</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0.78</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0.365</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0.345</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0.330</w:t>
                  </w:r>
                </w:p>
              </w:tc>
              <w:tc>
                <w:tcPr>
                  <w:tcW w:w="2604" w:type="dxa"/>
                  <w:vMerge w:val="restart"/>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测量平均风速2.5m/s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971" w:type="dxa"/>
                  <w:vMerge w:val="continue"/>
                  <w:noWrap w:val="0"/>
                  <w:vAlign w:val="center"/>
                </w:tcPr>
                <w:p>
                  <w:pPr>
                    <w:pStyle w:val="56"/>
                    <w:spacing w:line="240" w:lineRule="auto"/>
                    <w:jc w:val="center"/>
                    <w:rPr>
                      <w:rFonts w:ascii="Times New Roman" w:hAnsi="Times New Roman" w:eastAsia="宋体"/>
                      <w:b/>
                      <w:color w:val="auto"/>
                      <w:sz w:val="21"/>
                      <w:szCs w:val="21"/>
                    </w:rPr>
                  </w:pPr>
                </w:p>
              </w:tc>
              <w:tc>
                <w:tcPr>
                  <w:tcW w:w="1469"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场地洒水</w:t>
                  </w:r>
                </w:p>
              </w:tc>
              <w:tc>
                <w:tcPr>
                  <w:tcW w:w="669"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0.43</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0.350</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0.310</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0.265</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0.250</w:t>
                  </w:r>
                </w:p>
              </w:tc>
              <w:tc>
                <w:tcPr>
                  <w:tcW w:w="668" w:type="dxa"/>
                  <w:noWrap w:val="0"/>
                  <w:vAlign w:val="center"/>
                </w:tcPr>
                <w:p>
                  <w:pPr>
                    <w:pStyle w:val="56"/>
                    <w:spacing w:line="240" w:lineRule="auto"/>
                    <w:jc w:val="center"/>
                    <w:rPr>
                      <w:rFonts w:ascii="Times New Roman" w:hAnsi="Times New Roman" w:eastAsia="宋体"/>
                      <w:color w:val="auto"/>
                      <w:sz w:val="21"/>
                      <w:szCs w:val="21"/>
                    </w:rPr>
                  </w:pPr>
                  <w:r>
                    <w:rPr>
                      <w:rFonts w:ascii="Times New Roman" w:hAnsi="Times New Roman" w:eastAsia="宋体"/>
                      <w:color w:val="auto"/>
                      <w:sz w:val="21"/>
                      <w:szCs w:val="21"/>
                    </w:rPr>
                    <w:t>0.238</w:t>
                  </w:r>
                </w:p>
              </w:tc>
              <w:tc>
                <w:tcPr>
                  <w:tcW w:w="2604" w:type="dxa"/>
                  <w:vMerge w:val="continue"/>
                  <w:noWrap w:val="0"/>
                  <w:vAlign w:val="center"/>
                </w:tcPr>
                <w:p>
                  <w:pPr>
                    <w:pStyle w:val="56"/>
                    <w:spacing w:line="240" w:lineRule="auto"/>
                    <w:rPr>
                      <w:rFonts w:ascii="Times New Roman" w:hAnsi="Times New Roman"/>
                      <w:color w:val="auto"/>
                    </w:rPr>
                  </w:pPr>
                </w:p>
              </w:tc>
            </w:tr>
          </w:tbl>
          <w:p>
            <w:pPr>
              <w:pStyle w:val="64"/>
              <w:spacing w:before="156" w:beforeLines="50"/>
              <w:ind w:firstLine="480"/>
              <w:rPr>
                <w:rFonts w:ascii="Times New Roman" w:hAnsi="Times New Roman"/>
                <w:color w:val="auto"/>
              </w:rPr>
            </w:pPr>
            <w:r>
              <w:rPr>
                <w:rFonts w:ascii="Times New Roman" w:hAnsi="Times New Roman" w:eastAsia="宋体"/>
                <w:color w:val="auto"/>
              </w:rPr>
              <w:t>由上表可知，在场地未洒水时施工扬尘影响范围可达施工场地外</w:t>
            </w:r>
            <w:r>
              <w:rPr>
                <w:rFonts w:ascii="Times New Roman" w:hAnsi="Times New Roman"/>
                <w:color w:val="auto"/>
              </w:rPr>
              <w:t>100m</w:t>
            </w:r>
            <w:r>
              <w:rPr>
                <w:rFonts w:ascii="Times New Roman" w:hAnsi="Times New Roman" w:eastAsia="宋体"/>
                <w:color w:val="auto"/>
              </w:rPr>
              <w:t>；但通过场地洒水降尘后，施工扬尘影响范围将缩小至施工场地外</w:t>
            </w:r>
            <w:r>
              <w:rPr>
                <w:rFonts w:ascii="Times New Roman" w:hAnsi="Times New Roman"/>
                <w:color w:val="auto"/>
              </w:rPr>
              <w:t>40m</w:t>
            </w:r>
            <w:r>
              <w:rPr>
                <w:rFonts w:ascii="Times New Roman" w:hAnsi="Times New Roman" w:eastAsia="宋体"/>
                <w:color w:val="auto"/>
              </w:rPr>
              <w:t>。</w:t>
            </w:r>
          </w:p>
          <w:p>
            <w:pPr>
              <w:pStyle w:val="64"/>
              <w:ind w:firstLine="482"/>
              <w:rPr>
                <w:rFonts w:ascii="Times New Roman" w:hAnsi="Times New Roman"/>
                <w:b/>
                <w:color w:val="auto"/>
              </w:rPr>
            </w:pPr>
            <w:r>
              <w:rPr>
                <w:rFonts w:ascii="Times New Roman" w:hAnsi="Times New Roman" w:eastAsia="宋体"/>
                <w:b/>
                <w:color w:val="auto"/>
              </w:rPr>
              <w:t>（2）交通运输扬尘</w:t>
            </w:r>
          </w:p>
          <w:p>
            <w:pPr>
              <w:pStyle w:val="64"/>
              <w:ind w:firstLine="480"/>
              <w:rPr>
                <w:rFonts w:ascii="Times New Roman" w:hAnsi="Times New Roman"/>
                <w:color w:val="auto"/>
              </w:rPr>
            </w:pPr>
            <w:r>
              <w:rPr>
                <w:rFonts w:ascii="Times New Roman" w:hAnsi="Times New Roman" w:eastAsia="宋体"/>
                <w:color w:val="auto"/>
              </w:rPr>
              <w:t>交通运输扬尘与道路路面、车辆行驶速度有关。在路面完全干燥的情况下，可以按经验公式进行计算：</w:t>
            </w:r>
          </w:p>
          <w:p>
            <w:pPr>
              <w:pStyle w:val="64"/>
              <w:ind w:firstLine="0" w:firstLineChars="0"/>
              <w:jc w:val="center"/>
              <w:rPr>
                <w:rFonts w:ascii="Times New Roman" w:hAnsi="Times New Roman"/>
                <w:color w:val="auto"/>
              </w:rPr>
            </w:pPr>
            <w:r>
              <w:rPr>
                <w:rFonts w:ascii="Times New Roman" w:hAnsi="Times New Roman"/>
                <w:color w:val="auto"/>
              </w:rPr>
              <w:t>Q=0.123×</w:t>
            </w:r>
            <w:r>
              <w:rPr>
                <w:rFonts w:ascii="Times New Roman" w:hAnsi="Times New Roman" w:eastAsia="宋体"/>
                <w:color w:val="auto"/>
              </w:rPr>
              <w:t>（</w:t>
            </w:r>
            <w:r>
              <w:rPr>
                <w:rFonts w:ascii="Times New Roman" w:hAnsi="Times New Roman"/>
                <w:color w:val="auto"/>
              </w:rPr>
              <w:t>V/5</w:t>
            </w:r>
            <w:r>
              <w:rPr>
                <w:rFonts w:ascii="Times New Roman" w:hAnsi="Times New Roman" w:eastAsia="宋体"/>
                <w:color w:val="auto"/>
              </w:rPr>
              <w:t>）</w:t>
            </w:r>
            <w:r>
              <w:rPr>
                <w:rFonts w:ascii="Times New Roman" w:hAnsi="Times New Roman"/>
                <w:color w:val="auto"/>
              </w:rPr>
              <w:t>×</w:t>
            </w:r>
            <w:r>
              <w:rPr>
                <w:rFonts w:ascii="Times New Roman" w:hAnsi="Times New Roman" w:eastAsia="宋体"/>
                <w:color w:val="auto"/>
              </w:rPr>
              <w:t>（</w:t>
            </w:r>
            <w:r>
              <w:rPr>
                <w:rFonts w:ascii="Times New Roman" w:hAnsi="Times New Roman"/>
                <w:color w:val="auto"/>
              </w:rPr>
              <w:t>W/6.8</w:t>
            </w:r>
            <w:r>
              <w:rPr>
                <w:rFonts w:ascii="Times New Roman" w:hAnsi="Times New Roman" w:eastAsia="宋体"/>
                <w:color w:val="auto"/>
              </w:rPr>
              <w:t>）</w:t>
            </w:r>
            <w:r>
              <w:rPr>
                <w:rFonts w:ascii="Times New Roman" w:hAnsi="Times New Roman"/>
                <w:color w:val="auto"/>
                <w:vertAlign w:val="superscript"/>
              </w:rPr>
              <w:t>0.85</w:t>
            </w:r>
            <w:r>
              <w:rPr>
                <w:rFonts w:ascii="Times New Roman" w:hAnsi="Times New Roman"/>
                <w:color w:val="auto"/>
              </w:rPr>
              <w:t>×(P/0.5)</w:t>
            </w:r>
            <w:r>
              <w:rPr>
                <w:rFonts w:ascii="Times New Roman" w:hAnsi="Times New Roman"/>
                <w:color w:val="auto"/>
                <w:vertAlign w:val="superscript"/>
              </w:rPr>
              <w:t>0.75</w:t>
            </w:r>
          </w:p>
          <w:p>
            <w:pPr>
              <w:pStyle w:val="64"/>
              <w:ind w:firstLine="480"/>
              <w:rPr>
                <w:rFonts w:ascii="Times New Roman" w:hAnsi="Times New Roman"/>
                <w:color w:val="auto"/>
              </w:rPr>
            </w:pPr>
            <w:r>
              <w:rPr>
                <w:rFonts w:ascii="Times New Roman" w:hAnsi="Times New Roman" w:eastAsia="宋体"/>
                <w:color w:val="auto"/>
              </w:rPr>
              <w:t>式中：</w:t>
            </w:r>
            <w:r>
              <w:rPr>
                <w:rFonts w:ascii="Times New Roman" w:hAnsi="Times New Roman"/>
                <w:color w:val="auto"/>
              </w:rPr>
              <w:t>Q—</w:t>
            </w:r>
            <w:r>
              <w:rPr>
                <w:rFonts w:ascii="Times New Roman" w:hAnsi="Times New Roman" w:eastAsia="宋体"/>
                <w:color w:val="auto"/>
              </w:rPr>
              <w:t>汽车行驶产生的扬尘，</w:t>
            </w:r>
            <w:r>
              <w:rPr>
                <w:rFonts w:ascii="Times New Roman" w:hAnsi="Times New Roman"/>
                <w:color w:val="auto"/>
              </w:rPr>
              <w:t>kg/km.</w:t>
            </w:r>
            <w:r>
              <w:rPr>
                <w:rFonts w:ascii="Times New Roman" w:hAnsi="Times New Roman" w:eastAsia="宋体"/>
                <w:color w:val="auto"/>
              </w:rPr>
              <w:t>辆；</w:t>
            </w:r>
          </w:p>
          <w:p>
            <w:pPr>
              <w:pStyle w:val="64"/>
              <w:ind w:firstLine="480"/>
              <w:rPr>
                <w:rFonts w:ascii="Times New Roman" w:hAnsi="Times New Roman"/>
                <w:color w:val="auto"/>
              </w:rPr>
            </w:pPr>
            <w:r>
              <w:rPr>
                <w:rFonts w:ascii="Times New Roman" w:hAnsi="Times New Roman"/>
                <w:color w:val="auto"/>
              </w:rPr>
              <w:t>V—</w:t>
            </w:r>
            <w:r>
              <w:rPr>
                <w:rFonts w:ascii="Times New Roman" w:hAnsi="Times New Roman" w:eastAsia="宋体"/>
                <w:color w:val="auto"/>
              </w:rPr>
              <w:t>汽车行驶的速度，</w:t>
            </w:r>
            <w:r>
              <w:rPr>
                <w:rFonts w:ascii="Times New Roman" w:hAnsi="Times New Roman"/>
                <w:color w:val="auto"/>
              </w:rPr>
              <w:t>kg/h</w:t>
            </w:r>
            <w:r>
              <w:rPr>
                <w:rFonts w:ascii="Times New Roman" w:hAnsi="Times New Roman" w:eastAsia="宋体"/>
                <w:color w:val="auto"/>
              </w:rPr>
              <w:t>；</w:t>
            </w:r>
          </w:p>
          <w:p>
            <w:pPr>
              <w:pStyle w:val="64"/>
              <w:ind w:firstLine="480"/>
              <w:rPr>
                <w:rFonts w:ascii="Times New Roman" w:hAnsi="Times New Roman"/>
                <w:color w:val="auto"/>
              </w:rPr>
            </w:pPr>
            <w:r>
              <w:rPr>
                <w:rFonts w:ascii="Times New Roman" w:hAnsi="Times New Roman"/>
                <w:color w:val="auto"/>
              </w:rPr>
              <w:t>W—</w:t>
            </w:r>
            <w:r>
              <w:rPr>
                <w:rFonts w:ascii="Times New Roman" w:hAnsi="Times New Roman" w:eastAsia="宋体"/>
                <w:color w:val="auto"/>
              </w:rPr>
              <w:t>汽车载重量，</w:t>
            </w:r>
            <w:r>
              <w:rPr>
                <w:rFonts w:ascii="Times New Roman" w:hAnsi="Times New Roman"/>
                <w:color w:val="auto"/>
              </w:rPr>
              <w:t>t</w:t>
            </w:r>
            <w:r>
              <w:rPr>
                <w:rFonts w:ascii="Times New Roman" w:hAnsi="Times New Roman" w:eastAsia="宋体"/>
                <w:color w:val="auto"/>
              </w:rPr>
              <w:t>；</w:t>
            </w:r>
          </w:p>
          <w:p>
            <w:pPr>
              <w:pStyle w:val="64"/>
              <w:ind w:firstLine="480"/>
              <w:rPr>
                <w:rFonts w:ascii="Times New Roman" w:hAnsi="Times New Roman"/>
                <w:color w:val="auto"/>
              </w:rPr>
            </w:pPr>
            <w:r>
              <w:rPr>
                <w:rFonts w:ascii="Times New Roman" w:hAnsi="Times New Roman"/>
                <w:color w:val="auto"/>
              </w:rPr>
              <w:t>P—</w:t>
            </w:r>
            <w:r>
              <w:rPr>
                <w:rFonts w:ascii="Times New Roman" w:hAnsi="Times New Roman" w:eastAsia="宋体"/>
                <w:color w:val="auto"/>
              </w:rPr>
              <w:t>道路表面粉尘量，</w:t>
            </w:r>
            <w:r>
              <w:rPr>
                <w:rFonts w:ascii="Times New Roman" w:hAnsi="Times New Roman"/>
                <w:color w:val="auto"/>
              </w:rPr>
              <w:t>kg/m</w:t>
            </w:r>
            <w:r>
              <w:rPr>
                <w:rFonts w:ascii="Times New Roman" w:hAnsi="Times New Roman"/>
                <w:color w:val="auto"/>
                <w:vertAlign w:val="superscript"/>
              </w:rPr>
              <w:t>2</w:t>
            </w:r>
            <w:r>
              <w:rPr>
                <w:rFonts w:ascii="Times New Roman" w:hAnsi="Times New Roman" w:eastAsia="宋体"/>
                <w:color w:val="auto"/>
              </w:rPr>
              <w:t>。</w:t>
            </w:r>
          </w:p>
          <w:p>
            <w:pPr>
              <w:pStyle w:val="64"/>
              <w:ind w:firstLine="480"/>
              <w:rPr>
                <w:rFonts w:ascii="Times New Roman" w:hAnsi="Times New Roman" w:eastAsia="宋体"/>
                <w:color w:val="auto"/>
              </w:rPr>
            </w:pPr>
            <w:r>
              <w:rPr>
                <w:rFonts w:ascii="Times New Roman" w:hAnsi="Times New Roman" w:eastAsia="宋体"/>
                <w:color w:val="auto"/>
              </w:rPr>
              <w:t>一辆载重</w:t>
            </w:r>
            <w:r>
              <w:rPr>
                <w:rFonts w:ascii="Times New Roman" w:hAnsi="Times New Roman"/>
                <w:color w:val="auto"/>
              </w:rPr>
              <w:t>5</w:t>
            </w:r>
            <w:r>
              <w:rPr>
                <w:rFonts w:ascii="Times New Roman" w:hAnsi="Times New Roman" w:eastAsia="宋体"/>
                <w:color w:val="auto"/>
              </w:rPr>
              <w:t>t的卡车，通过一段长为</w:t>
            </w:r>
            <w:r>
              <w:rPr>
                <w:rFonts w:ascii="Times New Roman" w:hAnsi="Times New Roman"/>
                <w:color w:val="auto"/>
              </w:rPr>
              <w:t>500m</w:t>
            </w:r>
            <w:r>
              <w:rPr>
                <w:rFonts w:ascii="Times New Roman" w:hAnsi="Times New Roman" w:eastAsia="宋体"/>
                <w:color w:val="auto"/>
              </w:rPr>
              <w:t>的公路时，在不同表面清洁度与行驶情况下产生的扬尘量，见下表。</w:t>
            </w:r>
          </w:p>
          <w:p>
            <w:pPr>
              <w:pStyle w:val="56"/>
              <w:spacing w:before="120" w:after="120"/>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表5-2 不同车速和地面清洁度时汽车扬尘</w:t>
            </w:r>
          </w:p>
          <w:p>
            <w:pPr>
              <w:pStyle w:val="56"/>
              <w:spacing w:before="120" w:after="120" w:line="240" w:lineRule="auto"/>
              <w:jc w:val="right"/>
              <w:rPr>
                <w:rFonts w:ascii="Times New Roman" w:hAnsi="Times New Roman" w:eastAsia="黑体"/>
                <w:bCs/>
                <w:color w:val="auto"/>
                <w:sz w:val="21"/>
                <w:szCs w:val="21"/>
              </w:rPr>
            </w:pPr>
            <w:r>
              <w:rPr>
                <w:rFonts w:ascii="Times New Roman" w:hAnsi="Times New Roman" w:eastAsia="黑体"/>
                <w:bCs/>
                <w:color w:val="auto"/>
                <w:sz w:val="21"/>
                <w:szCs w:val="21"/>
              </w:rPr>
              <w:t>单位：kg/km·辆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2"/>
              <w:gridCol w:w="1326"/>
              <w:gridCol w:w="1326"/>
              <w:gridCol w:w="978"/>
              <w:gridCol w:w="1326"/>
              <w:gridCol w:w="1114"/>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012" w:type="dxa"/>
                  <w:tcBorders>
                    <w:bottom w:val="single" w:color="auto" w:sz="4" w:space="0"/>
                    <w:tl2br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 xml:space="preserve">        P（kg/m</w:t>
                  </w:r>
                  <w:r>
                    <w:rPr>
                      <w:rFonts w:ascii="Times New Roman" w:hAnsi="Times New Roman" w:eastAsia="宋体"/>
                      <w:b/>
                      <w:color w:val="auto"/>
                      <w:sz w:val="21"/>
                      <w:szCs w:val="21"/>
                      <w:vertAlign w:val="superscript"/>
                    </w:rPr>
                    <w:t>2</w:t>
                  </w:r>
                  <w:r>
                    <w:rPr>
                      <w:rFonts w:ascii="Times New Roman" w:hAnsi="Times New Roman" w:eastAsia="宋体"/>
                      <w:b/>
                      <w:color w:val="auto"/>
                      <w:sz w:val="21"/>
                      <w:szCs w:val="21"/>
                    </w:rPr>
                    <w:t>）</w:t>
                  </w:r>
                </w:p>
                <w:p>
                  <w:pPr>
                    <w:pStyle w:val="56"/>
                    <w:spacing w:before="120" w:after="120"/>
                    <w:rPr>
                      <w:rFonts w:ascii="Times New Roman" w:hAnsi="Times New Roman" w:eastAsia="宋体"/>
                      <w:b/>
                      <w:color w:val="auto"/>
                      <w:sz w:val="21"/>
                      <w:szCs w:val="21"/>
                    </w:rPr>
                  </w:pPr>
                  <w:r>
                    <w:rPr>
                      <w:rFonts w:ascii="Times New Roman" w:hAnsi="Times New Roman" w:eastAsia="宋体"/>
                      <w:b/>
                      <w:color w:val="auto"/>
                      <w:sz w:val="21"/>
                      <w:szCs w:val="21"/>
                    </w:rPr>
                    <w:t>车速（kg/h）</w:t>
                  </w:r>
                </w:p>
              </w:tc>
              <w:tc>
                <w:tcPr>
                  <w:tcW w:w="1326"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0.1</w:t>
                  </w:r>
                </w:p>
              </w:tc>
              <w:tc>
                <w:tcPr>
                  <w:tcW w:w="1326"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0.2</w:t>
                  </w:r>
                </w:p>
              </w:tc>
              <w:tc>
                <w:tcPr>
                  <w:tcW w:w="978"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0.3</w:t>
                  </w:r>
                </w:p>
              </w:tc>
              <w:tc>
                <w:tcPr>
                  <w:tcW w:w="1326"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0.4</w:t>
                  </w:r>
                </w:p>
              </w:tc>
              <w:tc>
                <w:tcPr>
                  <w:tcW w:w="1114"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0.5</w:t>
                  </w:r>
                </w:p>
              </w:tc>
              <w:tc>
                <w:tcPr>
                  <w:tcW w:w="974" w:type="dxa"/>
                  <w:tcBorders>
                    <w:bottom w:val="single" w:color="auto" w:sz="4" w:space="0"/>
                  </w:tcBorders>
                  <w:noWrap w:val="0"/>
                  <w:vAlign w:val="center"/>
                </w:tcPr>
                <w:p>
                  <w:pPr>
                    <w:pStyle w:val="56"/>
                    <w:spacing w:before="120" w:after="120"/>
                    <w:jc w:val="center"/>
                    <w:rPr>
                      <w:rFonts w:ascii="Times New Roman" w:hAnsi="Times New Roman" w:eastAsia="宋体"/>
                      <w:b/>
                      <w:color w:val="auto"/>
                      <w:sz w:val="21"/>
                      <w:szCs w:val="21"/>
                    </w:rPr>
                  </w:pPr>
                  <w:r>
                    <w:rPr>
                      <w:rFonts w:ascii="Times New Roman" w:hAnsi="Times New Roman" w:eastAsia="宋体"/>
                      <w:b/>
                      <w:color w:val="auto"/>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2012" w:type="dxa"/>
                  <w:noWrap w:val="0"/>
                  <w:vAlign w:val="center"/>
                </w:tcPr>
                <w:p>
                  <w:pPr>
                    <w:jc w:val="center"/>
                    <w:rPr>
                      <w:snapToGrid w:val="0"/>
                      <w:color w:val="auto"/>
                      <w:kern w:val="0"/>
                      <w:sz w:val="21"/>
                      <w:szCs w:val="21"/>
                    </w:rPr>
                  </w:pPr>
                  <w:r>
                    <w:rPr>
                      <w:snapToGrid w:val="0"/>
                      <w:color w:val="auto"/>
                      <w:kern w:val="0"/>
                      <w:sz w:val="21"/>
                      <w:szCs w:val="21"/>
                    </w:rPr>
                    <w:t>5</w:t>
                  </w:r>
                </w:p>
              </w:tc>
              <w:tc>
                <w:tcPr>
                  <w:tcW w:w="1326"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0.0283</w:t>
                  </w:r>
                </w:p>
              </w:tc>
              <w:tc>
                <w:tcPr>
                  <w:tcW w:w="1326" w:type="dxa"/>
                  <w:noWrap w:val="0"/>
                  <w:vAlign w:val="center"/>
                </w:tcPr>
                <w:p>
                  <w:pPr>
                    <w:jc w:val="center"/>
                    <w:rPr>
                      <w:snapToGrid w:val="0"/>
                      <w:color w:val="auto"/>
                      <w:kern w:val="0"/>
                      <w:sz w:val="21"/>
                      <w:szCs w:val="21"/>
                    </w:rPr>
                  </w:pPr>
                  <w:r>
                    <w:rPr>
                      <w:snapToGrid w:val="0"/>
                      <w:color w:val="auto"/>
                      <w:kern w:val="0"/>
                      <w:sz w:val="21"/>
                      <w:szCs w:val="21"/>
                    </w:rPr>
                    <w:t>0.0476</w:t>
                  </w:r>
                </w:p>
              </w:tc>
              <w:tc>
                <w:tcPr>
                  <w:tcW w:w="978" w:type="dxa"/>
                  <w:noWrap w:val="0"/>
                  <w:vAlign w:val="center"/>
                </w:tcPr>
                <w:p>
                  <w:pPr>
                    <w:jc w:val="center"/>
                    <w:rPr>
                      <w:snapToGrid w:val="0"/>
                      <w:color w:val="auto"/>
                      <w:kern w:val="0"/>
                      <w:sz w:val="21"/>
                      <w:szCs w:val="21"/>
                    </w:rPr>
                  </w:pPr>
                  <w:r>
                    <w:rPr>
                      <w:snapToGrid w:val="0"/>
                      <w:color w:val="auto"/>
                      <w:kern w:val="0"/>
                      <w:sz w:val="21"/>
                      <w:szCs w:val="21"/>
                    </w:rPr>
                    <w:t>0.0646</w:t>
                  </w:r>
                </w:p>
              </w:tc>
              <w:tc>
                <w:tcPr>
                  <w:tcW w:w="1326" w:type="dxa"/>
                  <w:noWrap w:val="0"/>
                  <w:vAlign w:val="center"/>
                </w:tcPr>
                <w:p>
                  <w:pPr>
                    <w:jc w:val="center"/>
                    <w:rPr>
                      <w:snapToGrid w:val="0"/>
                      <w:color w:val="auto"/>
                      <w:kern w:val="0"/>
                      <w:sz w:val="21"/>
                      <w:szCs w:val="21"/>
                    </w:rPr>
                  </w:pPr>
                  <w:r>
                    <w:rPr>
                      <w:snapToGrid w:val="0"/>
                      <w:color w:val="auto"/>
                      <w:kern w:val="0"/>
                      <w:sz w:val="21"/>
                      <w:szCs w:val="21"/>
                    </w:rPr>
                    <w:t>0.081</w:t>
                  </w:r>
                </w:p>
              </w:tc>
              <w:tc>
                <w:tcPr>
                  <w:tcW w:w="1114" w:type="dxa"/>
                  <w:noWrap w:val="0"/>
                  <w:vAlign w:val="center"/>
                </w:tcPr>
                <w:p>
                  <w:pPr>
                    <w:jc w:val="center"/>
                    <w:rPr>
                      <w:snapToGrid w:val="0"/>
                      <w:color w:val="auto"/>
                      <w:kern w:val="0"/>
                      <w:sz w:val="21"/>
                      <w:szCs w:val="21"/>
                    </w:rPr>
                  </w:pPr>
                  <w:r>
                    <w:rPr>
                      <w:snapToGrid w:val="0"/>
                      <w:color w:val="auto"/>
                      <w:kern w:val="0"/>
                      <w:sz w:val="21"/>
                      <w:szCs w:val="21"/>
                    </w:rPr>
                    <w:t>0.0947</w:t>
                  </w:r>
                </w:p>
              </w:tc>
              <w:tc>
                <w:tcPr>
                  <w:tcW w:w="974" w:type="dxa"/>
                  <w:noWrap w:val="0"/>
                  <w:vAlign w:val="center"/>
                </w:tcPr>
                <w:p>
                  <w:pPr>
                    <w:jc w:val="center"/>
                    <w:rPr>
                      <w:snapToGrid w:val="0"/>
                      <w:color w:val="auto"/>
                      <w:kern w:val="0"/>
                      <w:sz w:val="21"/>
                      <w:szCs w:val="21"/>
                    </w:rPr>
                  </w:pPr>
                  <w:r>
                    <w:rPr>
                      <w:snapToGrid w:val="0"/>
                      <w:color w:val="auto"/>
                      <w:kern w:val="0"/>
                      <w:sz w:val="21"/>
                      <w:szCs w:val="21"/>
                    </w:rPr>
                    <w:t>0.1593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2012"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10</w:t>
                  </w:r>
                </w:p>
              </w:tc>
              <w:tc>
                <w:tcPr>
                  <w:tcW w:w="1326" w:type="dxa"/>
                  <w:noWrap w:val="0"/>
                  <w:vAlign w:val="center"/>
                </w:tcPr>
                <w:p>
                  <w:pPr>
                    <w:jc w:val="center"/>
                    <w:rPr>
                      <w:snapToGrid w:val="0"/>
                      <w:color w:val="auto"/>
                      <w:kern w:val="0"/>
                      <w:sz w:val="21"/>
                      <w:szCs w:val="21"/>
                    </w:rPr>
                  </w:pPr>
                  <w:r>
                    <w:rPr>
                      <w:snapToGrid w:val="0"/>
                      <w:color w:val="auto"/>
                      <w:kern w:val="0"/>
                      <w:sz w:val="21"/>
                      <w:szCs w:val="21"/>
                    </w:rPr>
                    <w:t>0.0566</w:t>
                  </w:r>
                </w:p>
              </w:tc>
              <w:tc>
                <w:tcPr>
                  <w:tcW w:w="1326" w:type="dxa"/>
                  <w:noWrap w:val="0"/>
                  <w:vAlign w:val="center"/>
                </w:tcPr>
                <w:p>
                  <w:pPr>
                    <w:jc w:val="center"/>
                    <w:rPr>
                      <w:snapToGrid w:val="0"/>
                      <w:color w:val="auto"/>
                      <w:kern w:val="0"/>
                      <w:sz w:val="21"/>
                      <w:szCs w:val="21"/>
                    </w:rPr>
                  </w:pPr>
                  <w:r>
                    <w:rPr>
                      <w:snapToGrid w:val="0"/>
                      <w:color w:val="auto"/>
                      <w:kern w:val="0"/>
                      <w:sz w:val="21"/>
                      <w:szCs w:val="21"/>
                    </w:rPr>
                    <w:t>0.0953</w:t>
                  </w:r>
                </w:p>
              </w:tc>
              <w:tc>
                <w:tcPr>
                  <w:tcW w:w="978" w:type="dxa"/>
                  <w:noWrap w:val="0"/>
                  <w:vAlign w:val="center"/>
                </w:tcPr>
                <w:p>
                  <w:pPr>
                    <w:jc w:val="center"/>
                    <w:rPr>
                      <w:snapToGrid w:val="0"/>
                      <w:color w:val="auto"/>
                      <w:kern w:val="0"/>
                      <w:sz w:val="21"/>
                      <w:szCs w:val="21"/>
                    </w:rPr>
                  </w:pPr>
                  <w:r>
                    <w:rPr>
                      <w:snapToGrid w:val="0"/>
                      <w:color w:val="auto"/>
                      <w:kern w:val="0"/>
                      <w:sz w:val="21"/>
                      <w:szCs w:val="21"/>
                    </w:rPr>
                    <w:t>0.1291</w:t>
                  </w:r>
                </w:p>
              </w:tc>
              <w:tc>
                <w:tcPr>
                  <w:tcW w:w="1326"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0.1602</w:t>
                  </w:r>
                </w:p>
              </w:tc>
              <w:tc>
                <w:tcPr>
                  <w:tcW w:w="1114" w:type="dxa"/>
                  <w:noWrap w:val="0"/>
                  <w:vAlign w:val="center"/>
                </w:tcPr>
                <w:p>
                  <w:pPr>
                    <w:jc w:val="center"/>
                    <w:rPr>
                      <w:snapToGrid w:val="0"/>
                      <w:color w:val="auto"/>
                      <w:kern w:val="0"/>
                      <w:sz w:val="21"/>
                      <w:szCs w:val="21"/>
                    </w:rPr>
                  </w:pPr>
                  <w:r>
                    <w:rPr>
                      <w:snapToGrid w:val="0"/>
                      <w:color w:val="auto"/>
                      <w:kern w:val="0"/>
                      <w:sz w:val="21"/>
                      <w:szCs w:val="21"/>
                    </w:rPr>
                    <w:t>0.1894</w:t>
                  </w:r>
                </w:p>
              </w:tc>
              <w:tc>
                <w:tcPr>
                  <w:tcW w:w="974" w:type="dxa"/>
                  <w:noWrap w:val="0"/>
                  <w:vAlign w:val="center"/>
                </w:tcPr>
                <w:p>
                  <w:pPr>
                    <w:jc w:val="center"/>
                    <w:rPr>
                      <w:snapToGrid w:val="0"/>
                      <w:color w:val="auto"/>
                      <w:kern w:val="0"/>
                      <w:sz w:val="21"/>
                      <w:szCs w:val="21"/>
                    </w:rPr>
                  </w:pPr>
                  <w:r>
                    <w:rPr>
                      <w:snapToGrid w:val="0"/>
                      <w:color w:val="auto"/>
                      <w:kern w:val="0"/>
                      <w:sz w:val="21"/>
                      <w:szCs w:val="21"/>
                    </w:rPr>
                    <w:t>0.3186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2012" w:type="dxa"/>
                  <w:noWrap w:val="0"/>
                  <w:vAlign w:val="center"/>
                </w:tcPr>
                <w:p>
                  <w:pPr>
                    <w:jc w:val="center"/>
                    <w:rPr>
                      <w:snapToGrid w:val="0"/>
                      <w:color w:val="auto"/>
                      <w:kern w:val="0"/>
                      <w:sz w:val="21"/>
                      <w:szCs w:val="21"/>
                    </w:rPr>
                  </w:pPr>
                  <w:r>
                    <w:rPr>
                      <w:snapToGrid w:val="0"/>
                      <w:color w:val="auto"/>
                      <w:kern w:val="0"/>
                      <w:sz w:val="21"/>
                      <w:szCs w:val="21"/>
                    </w:rPr>
                    <w:t>1</w:t>
                  </w:r>
                </w:p>
              </w:tc>
              <w:tc>
                <w:tcPr>
                  <w:tcW w:w="1326" w:type="dxa"/>
                  <w:noWrap w:val="0"/>
                  <w:vAlign w:val="center"/>
                </w:tcPr>
                <w:p>
                  <w:pPr>
                    <w:jc w:val="center"/>
                    <w:rPr>
                      <w:snapToGrid w:val="0"/>
                      <w:color w:val="auto"/>
                      <w:kern w:val="0"/>
                      <w:sz w:val="21"/>
                      <w:szCs w:val="21"/>
                    </w:rPr>
                  </w:pPr>
                  <w:r>
                    <w:rPr>
                      <w:snapToGrid w:val="0"/>
                      <w:color w:val="auto"/>
                      <w:kern w:val="0"/>
                      <w:sz w:val="21"/>
                      <w:szCs w:val="21"/>
                    </w:rPr>
                    <w:t>0.0850</w:t>
                  </w:r>
                </w:p>
              </w:tc>
              <w:tc>
                <w:tcPr>
                  <w:tcW w:w="1326"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0.1429</w:t>
                  </w:r>
                </w:p>
              </w:tc>
              <w:tc>
                <w:tcPr>
                  <w:tcW w:w="978" w:type="dxa"/>
                  <w:noWrap w:val="0"/>
                  <w:vAlign w:val="center"/>
                </w:tcPr>
                <w:p>
                  <w:pPr>
                    <w:jc w:val="center"/>
                    <w:rPr>
                      <w:snapToGrid w:val="0"/>
                      <w:color w:val="auto"/>
                      <w:kern w:val="0"/>
                      <w:sz w:val="21"/>
                      <w:szCs w:val="21"/>
                    </w:rPr>
                  </w:pPr>
                  <w:r>
                    <w:rPr>
                      <w:snapToGrid w:val="0"/>
                      <w:color w:val="auto"/>
                      <w:kern w:val="0"/>
                      <w:sz w:val="21"/>
                      <w:szCs w:val="21"/>
                    </w:rPr>
                    <w:t>0.1937</w:t>
                  </w:r>
                </w:p>
              </w:tc>
              <w:tc>
                <w:tcPr>
                  <w:tcW w:w="1326" w:type="dxa"/>
                  <w:noWrap w:val="0"/>
                  <w:vAlign w:val="center"/>
                </w:tcPr>
                <w:p>
                  <w:pPr>
                    <w:jc w:val="center"/>
                    <w:rPr>
                      <w:snapToGrid w:val="0"/>
                      <w:color w:val="auto"/>
                      <w:kern w:val="0"/>
                      <w:sz w:val="21"/>
                      <w:szCs w:val="21"/>
                    </w:rPr>
                  </w:pPr>
                  <w:r>
                    <w:rPr>
                      <w:snapToGrid w:val="0"/>
                      <w:color w:val="auto"/>
                      <w:kern w:val="0"/>
                      <w:sz w:val="21"/>
                      <w:szCs w:val="21"/>
                    </w:rPr>
                    <w:t>0.2403</w:t>
                  </w:r>
                </w:p>
              </w:tc>
              <w:tc>
                <w:tcPr>
                  <w:tcW w:w="1114"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0.281</w:t>
                  </w:r>
                </w:p>
              </w:tc>
              <w:tc>
                <w:tcPr>
                  <w:tcW w:w="974" w:type="dxa"/>
                  <w:noWrap w:val="0"/>
                  <w:vAlign w:val="center"/>
                </w:tcPr>
                <w:p>
                  <w:pPr>
                    <w:jc w:val="center"/>
                    <w:rPr>
                      <w:snapToGrid w:val="0"/>
                      <w:color w:val="auto"/>
                      <w:kern w:val="0"/>
                      <w:sz w:val="21"/>
                      <w:szCs w:val="21"/>
                    </w:rPr>
                  </w:pPr>
                  <w:r>
                    <w:rPr>
                      <w:snapToGrid w:val="0"/>
                      <w:color w:val="auto"/>
                      <w:kern w:val="0"/>
                      <w:sz w:val="21"/>
                      <w:szCs w:val="21"/>
                    </w:rPr>
                    <w:t>0.4778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2012" w:type="dxa"/>
                  <w:noWrap w:val="0"/>
                  <w:vAlign w:val="center"/>
                </w:tcPr>
                <w:p>
                  <w:pPr>
                    <w:jc w:val="center"/>
                    <w:rPr>
                      <w:snapToGrid w:val="0"/>
                      <w:color w:val="auto"/>
                      <w:kern w:val="0"/>
                      <w:sz w:val="21"/>
                      <w:szCs w:val="21"/>
                    </w:rPr>
                  </w:pPr>
                  <w:r>
                    <w:rPr>
                      <w:snapToGrid w:val="0"/>
                      <w:color w:val="auto"/>
                      <w:kern w:val="0"/>
                      <w:sz w:val="21"/>
                      <w:szCs w:val="21"/>
                    </w:rPr>
                    <w:t>20</w:t>
                  </w:r>
                </w:p>
              </w:tc>
              <w:tc>
                <w:tcPr>
                  <w:tcW w:w="1326" w:type="dxa"/>
                  <w:noWrap w:val="0"/>
                  <w:vAlign w:val="center"/>
                </w:tcPr>
                <w:p>
                  <w:pPr>
                    <w:jc w:val="center"/>
                    <w:rPr>
                      <w:snapToGrid w:val="0"/>
                      <w:color w:val="auto"/>
                      <w:kern w:val="0"/>
                      <w:sz w:val="21"/>
                      <w:szCs w:val="21"/>
                    </w:rPr>
                  </w:pPr>
                  <w:r>
                    <w:rPr>
                      <w:snapToGrid w:val="0"/>
                      <w:color w:val="auto"/>
                      <w:kern w:val="0"/>
                      <w:sz w:val="21"/>
                      <w:szCs w:val="21"/>
                    </w:rPr>
                    <w:t>0.1133</w:t>
                  </w:r>
                </w:p>
              </w:tc>
              <w:tc>
                <w:tcPr>
                  <w:tcW w:w="1326" w:type="dxa"/>
                  <w:noWrap w:val="0"/>
                  <w:vAlign w:val="center"/>
                </w:tcPr>
                <w:p>
                  <w:pPr>
                    <w:jc w:val="center"/>
                    <w:rPr>
                      <w:snapToGrid w:val="0"/>
                      <w:color w:val="auto"/>
                      <w:kern w:val="0"/>
                      <w:sz w:val="21"/>
                      <w:szCs w:val="21"/>
                    </w:rPr>
                  </w:pPr>
                  <w:r>
                    <w:rPr>
                      <w:snapToGrid w:val="0"/>
                      <w:color w:val="auto"/>
                      <w:kern w:val="0"/>
                      <w:sz w:val="21"/>
                      <w:szCs w:val="21"/>
                    </w:rPr>
                    <w:t>0.1905</w:t>
                  </w:r>
                </w:p>
              </w:tc>
              <w:tc>
                <w:tcPr>
                  <w:tcW w:w="978" w:type="dxa"/>
                  <w:noWrap w:val="0"/>
                  <w:vAlign w:val="center"/>
                </w:tcPr>
                <w:p>
                  <w:pPr>
                    <w:jc w:val="center"/>
                    <w:rPr>
                      <w:snapToGrid w:val="0"/>
                      <w:color w:val="auto"/>
                      <w:kern w:val="0"/>
                      <w:sz w:val="21"/>
                      <w:szCs w:val="21"/>
                    </w:rPr>
                  </w:pPr>
                  <w:r>
                    <w:rPr>
                      <w:snapToGrid w:val="0"/>
                      <w:color w:val="auto"/>
                      <w:kern w:val="0"/>
                      <w:sz w:val="21"/>
                      <w:szCs w:val="21"/>
                    </w:rPr>
                    <w:t>0.2583</w:t>
                  </w:r>
                </w:p>
              </w:tc>
              <w:tc>
                <w:tcPr>
                  <w:tcW w:w="1326" w:type="dxa"/>
                  <w:noWrap w:val="0"/>
                  <w:vAlign w:val="center"/>
                </w:tcPr>
                <w:p>
                  <w:pPr>
                    <w:pStyle w:val="51"/>
                    <w:adjustRightInd/>
                    <w:ind w:firstLine="0" w:firstLineChars="0"/>
                    <w:rPr>
                      <w:rFonts w:ascii="Times New Roman" w:hAnsi="Times New Roman"/>
                      <w:color w:val="auto"/>
                    </w:rPr>
                  </w:pPr>
                  <w:r>
                    <w:rPr>
                      <w:rFonts w:ascii="Times New Roman" w:hAnsi="Times New Roman"/>
                      <w:color w:val="auto"/>
                    </w:rPr>
                    <w:t>0.3204</w:t>
                  </w:r>
                </w:p>
              </w:tc>
              <w:tc>
                <w:tcPr>
                  <w:tcW w:w="1114" w:type="dxa"/>
                  <w:noWrap w:val="0"/>
                  <w:vAlign w:val="center"/>
                </w:tcPr>
                <w:p>
                  <w:pPr>
                    <w:jc w:val="center"/>
                    <w:rPr>
                      <w:snapToGrid w:val="0"/>
                      <w:color w:val="auto"/>
                      <w:kern w:val="0"/>
                      <w:sz w:val="21"/>
                      <w:szCs w:val="21"/>
                    </w:rPr>
                  </w:pPr>
                  <w:r>
                    <w:rPr>
                      <w:snapToGrid w:val="0"/>
                      <w:color w:val="auto"/>
                      <w:kern w:val="0"/>
                      <w:sz w:val="21"/>
                      <w:szCs w:val="21"/>
                    </w:rPr>
                    <w:t>0.324</w:t>
                  </w:r>
                </w:p>
              </w:tc>
              <w:tc>
                <w:tcPr>
                  <w:tcW w:w="974" w:type="dxa"/>
                  <w:noWrap w:val="0"/>
                  <w:vAlign w:val="center"/>
                </w:tcPr>
                <w:p>
                  <w:pPr>
                    <w:jc w:val="center"/>
                    <w:rPr>
                      <w:snapToGrid w:val="0"/>
                      <w:color w:val="auto"/>
                      <w:kern w:val="0"/>
                      <w:sz w:val="21"/>
                      <w:szCs w:val="21"/>
                    </w:rPr>
                  </w:pPr>
                  <w:r>
                    <w:rPr>
                      <w:snapToGrid w:val="0"/>
                      <w:color w:val="auto"/>
                      <w:kern w:val="0"/>
                      <w:sz w:val="21"/>
                      <w:szCs w:val="21"/>
                    </w:rPr>
                    <w:t>0.6371</w:t>
                  </w:r>
                </w:p>
              </w:tc>
            </w:tr>
          </w:tbl>
          <w:p>
            <w:pPr>
              <w:pStyle w:val="64"/>
              <w:spacing w:before="156" w:beforeLines="50"/>
              <w:ind w:firstLine="480"/>
              <w:rPr>
                <w:rFonts w:ascii="Times New Roman" w:hAnsi="Times New Roman" w:eastAsia="宋体"/>
                <w:color w:val="auto"/>
              </w:rPr>
            </w:pPr>
            <w:r>
              <w:rPr>
                <w:rFonts w:ascii="Times New Roman" w:hAnsi="Times New Roman" w:eastAsia="宋体"/>
                <w:color w:val="auto"/>
              </w:rPr>
              <w:t>由上表可知，在同样路面情况下，车速越快，扬尘量越大；而在同样车速情况下，路面清洁度越差，则扬尘量越大。一般情况下，施工交通道路在自然风作用下产生的扬尘所影响的范围在</w:t>
            </w:r>
            <w:r>
              <w:rPr>
                <w:rFonts w:ascii="Times New Roman" w:hAnsi="Times New Roman"/>
                <w:color w:val="auto"/>
              </w:rPr>
              <w:t>100m</w:t>
            </w:r>
            <w:r>
              <w:rPr>
                <w:rFonts w:ascii="Times New Roman" w:hAnsi="Times New Roman" w:eastAsia="宋体"/>
                <w:color w:val="auto"/>
              </w:rPr>
              <w:t>范围以内。</w:t>
            </w:r>
          </w:p>
          <w:p>
            <w:pPr>
              <w:pStyle w:val="64"/>
              <w:ind w:firstLine="480"/>
              <w:rPr>
                <w:rFonts w:ascii="Times New Roman" w:hAnsi="Times New Roman" w:eastAsia="宋体"/>
                <w:color w:val="auto"/>
              </w:rPr>
            </w:pPr>
            <w:r>
              <w:rPr>
                <w:rFonts w:ascii="Times New Roman" w:hAnsi="Times New Roman" w:eastAsia="宋体"/>
                <w:color w:val="auto"/>
              </w:rPr>
              <w:t>为此，针对本项目，本环评要求采取的具体防治扬尘措施如下：</w:t>
            </w:r>
          </w:p>
          <w:p>
            <w:pPr>
              <w:pStyle w:val="64"/>
              <w:ind w:firstLine="480"/>
              <w:rPr>
                <w:rFonts w:ascii="Times New Roman" w:hAnsi="Times New Roman" w:eastAsia="宋体"/>
                <w:color w:val="auto"/>
              </w:rPr>
            </w:pPr>
            <w:r>
              <w:rPr>
                <w:rFonts w:ascii="Times New Roman" w:hAnsi="Times New Roman" w:eastAsia="宋体"/>
                <w:color w:val="auto"/>
              </w:rPr>
              <w:fldChar w:fldCharType="begin"/>
            </w:r>
            <w:r>
              <w:rPr>
                <w:rFonts w:ascii="Times New Roman" w:hAnsi="Times New Roman" w:eastAsia="宋体"/>
                <w:color w:val="auto"/>
              </w:rPr>
              <w:instrText xml:space="preserve"> = 1 \* GB3 </w:instrText>
            </w:r>
            <w:r>
              <w:rPr>
                <w:rFonts w:ascii="Times New Roman" w:hAnsi="Times New Roman" w:eastAsia="宋体"/>
                <w:color w:val="auto"/>
              </w:rPr>
              <w:fldChar w:fldCharType="separate"/>
            </w:r>
            <w:r>
              <w:rPr>
                <w:rFonts w:ascii="Times New Roman" w:hAnsi="Times New Roman" w:eastAsia="宋体"/>
                <w:color w:val="auto"/>
              </w:rPr>
              <w:t>①</w:t>
            </w:r>
            <w:r>
              <w:rPr>
                <w:rFonts w:ascii="Times New Roman" w:hAnsi="Times New Roman" w:eastAsia="宋体"/>
                <w:color w:val="auto"/>
              </w:rPr>
              <w:fldChar w:fldCharType="end"/>
            </w:r>
            <w:r>
              <w:rPr>
                <w:rFonts w:ascii="Times New Roman" w:hAnsi="Times New Roman" w:eastAsia="宋体"/>
                <w:color w:val="auto"/>
              </w:rPr>
              <w:t>在施工过程中，作业场地将采取围挡、围护以减少扬尘扩散，围挡、围护对减少扬尘对环境的污染有明显作用，当风速为2.5m/s时可使影响距离缩短40%。在施工现场周围，连续设置不低于1.5m高的围挡，并做到坚固美观。</w:t>
            </w:r>
          </w:p>
          <w:p>
            <w:pPr>
              <w:pStyle w:val="64"/>
              <w:ind w:firstLine="480"/>
              <w:rPr>
                <w:rFonts w:ascii="Times New Roman" w:hAnsi="Times New Roman" w:eastAsia="宋体"/>
                <w:color w:val="auto"/>
              </w:rPr>
            </w:pPr>
            <w:r>
              <w:rPr>
                <w:rFonts w:ascii="Times New Roman" w:hAnsi="Times New Roman" w:eastAsia="宋体"/>
                <w:color w:val="auto"/>
              </w:rPr>
              <w:fldChar w:fldCharType="begin"/>
            </w:r>
            <w:r>
              <w:rPr>
                <w:rFonts w:ascii="Times New Roman" w:hAnsi="Times New Roman" w:eastAsia="宋体"/>
                <w:color w:val="auto"/>
              </w:rPr>
              <w:instrText xml:space="preserve"> = 2 \* GB3 </w:instrText>
            </w:r>
            <w:r>
              <w:rPr>
                <w:rFonts w:ascii="Times New Roman" w:hAnsi="Times New Roman" w:eastAsia="宋体"/>
                <w:color w:val="auto"/>
              </w:rPr>
              <w:fldChar w:fldCharType="separate"/>
            </w:r>
            <w:r>
              <w:rPr>
                <w:rFonts w:ascii="Times New Roman" w:hAnsi="Times New Roman" w:eastAsia="宋体"/>
                <w:color w:val="auto"/>
              </w:rPr>
              <w:t>②</w:t>
            </w:r>
            <w:r>
              <w:rPr>
                <w:rFonts w:ascii="Times New Roman" w:hAnsi="Times New Roman" w:eastAsia="宋体"/>
                <w:color w:val="auto"/>
              </w:rPr>
              <w:fldChar w:fldCharType="end"/>
            </w:r>
            <w:r>
              <w:rPr>
                <w:rFonts w:ascii="Times New Roman" w:hAnsi="Times New Roman" w:eastAsia="宋体"/>
                <w:color w:val="auto"/>
              </w:rPr>
              <w:t>要求施工单位文明施工，定期对地面洒水，并对撒落在路面的渣土尽快清除，</w:t>
            </w:r>
            <w:r>
              <w:rPr>
                <w:rFonts w:ascii="Times New Roman" w:hAnsi="Times New Roman" w:eastAsia="宋体"/>
                <w:color w:val="auto"/>
                <w:szCs w:val="18"/>
              </w:rPr>
              <w:t>清理阶段做到先洒水后清扫。</w:t>
            </w:r>
          </w:p>
          <w:p>
            <w:pPr>
              <w:pStyle w:val="64"/>
              <w:ind w:firstLine="480"/>
              <w:rPr>
                <w:rFonts w:ascii="Times New Roman" w:hAnsi="Times New Roman" w:eastAsia="宋体"/>
                <w:color w:val="auto"/>
              </w:rPr>
            </w:pPr>
            <w:r>
              <w:rPr>
                <w:rFonts w:ascii="Times New Roman" w:hAnsi="Times New Roman" w:eastAsia="宋体"/>
                <w:color w:val="auto"/>
              </w:rPr>
              <w:fldChar w:fldCharType="begin"/>
            </w:r>
            <w:r>
              <w:rPr>
                <w:rFonts w:ascii="Times New Roman" w:hAnsi="Times New Roman" w:eastAsia="宋体"/>
                <w:color w:val="auto"/>
              </w:rPr>
              <w:instrText xml:space="preserve"> = 3 \* GB3 </w:instrText>
            </w:r>
            <w:r>
              <w:rPr>
                <w:rFonts w:ascii="Times New Roman" w:hAnsi="Times New Roman" w:eastAsia="宋体"/>
                <w:color w:val="auto"/>
              </w:rPr>
              <w:fldChar w:fldCharType="separate"/>
            </w:r>
            <w:r>
              <w:rPr>
                <w:rFonts w:ascii="Times New Roman" w:hAnsi="Times New Roman" w:eastAsia="宋体"/>
                <w:color w:val="auto"/>
              </w:rPr>
              <w:t>③</w:t>
            </w:r>
            <w:r>
              <w:rPr>
                <w:rFonts w:ascii="Times New Roman" w:hAnsi="Times New Roman" w:eastAsia="宋体"/>
                <w:color w:val="auto"/>
              </w:rPr>
              <w:fldChar w:fldCharType="end"/>
            </w:r>
            <w:r>
              <w:rPr>
                <w:rFonts w:ascii="Times New Roman" w:hAnsi="Times New Roman" w:eastAsia="宋体"/>
                <w:color w:val="auto"/>
              </w:rPr>
              <w:t>由于道路和扬尘量与车辆的行驶速度有关，速度越快，扬尘量越大，因此，在施工场地对施工车辆必须实施限速行驶（</w:t>
            </w:r>
            <w:r>
              <w:rPr>
                <w:rFonts w:ascii="Times New Roman" w:hAnsi="Times New Roman"/>
                <w:color w:val="auto"/>
              </w:rPr>
              <w:t>≤40km/h）</w:t>
            </w:r>
            <w:r>
              <w:rPr>
                <w:rFonts w:ascii="Times New Roman" w:hAnsi="Times New Roman" w:eastAsia="宋体"/>
                <w:color w:val="auto"/>
              </w:rPr>
              <w:t>，同时施工现场主要运输道路尽量采用硬化路面并进行洒水抑尘。</w:t>
            </w:r>
          </w:p>
          <w:p>
            <w:pPr>
              <w:pStyle w:val="64"/>
              <w:ind w:firstLine="480"/>
              <w:rPr>
                <w:rFonts w:ascii="Times New Roman" w:hAnsi="Times New Roman" w:eastAsia="宋体"/>
                <w:color w:val="auto"/>
                <w:szCs w:val="18"/>
              </w:rPr>
            </w:pPr>
            <w:r>
              <w:rPr>
                <w:rFonts w:ascii="Times New Roman" w:hAnsi="Times New Roman" w:eastAsia="宋体"/>
                <w:color w:val="auto"/>
              </w:rPr>
              <w:fldChar w:fldCharType="begin"/>
            </w:r>
            <w:r>
              <w:rPr>
                <w:rFonts w:ascii="Times New Roman" w:hAnsi="Times New Roman" w:eastAsia="宋体"/>
                <w:color w:val="auto"/>
              </w:rPr>
              <w:instrText xml:space="preserve"> = 4 \* GB3 </w:instrText>
            </w:r>
            <w:r>
              <w:rPr>
                <w:rFonts w:ascii="Times New Roman" w:hAnsi="Times New Roman" w:eastAsia="宋体"/>
                <w:color w:val="auto"/>
              </w:rPr>
              <w:fldChar w:fldCharType="separate"/>
            </w:r>
            <w:r>
              <w:rPr>
                <w:rFonts w:ascii="Times New Roman" w:hAnsi="Times New Roman" w:eastAsia="宋体"/>
                <w:color w:val="auto"/>
              </w:rPr>
              <w:t>④</w:t>
            </w:r>
            <w:r>
              <w:rPr>
                <w:rFonts w:ascii="Times New Roman" w:hAnsi="Times New Roman" w:eastAsia="宋体"/>
                <w:color w:val="auto"/>
              </w:rPr>
              <w:fldChar w:fldCharType="end"/>
            </w:r>
            <w:r>
              <w:rPr>
                <w:rFonts w:ascii="Times New Roman" w:hAnsi="Times New Roman" w:eastAsia="宋体"/>
                <w:color w:val="auto"/>
              </w:rPr>
              <w:t>在物料、建渣运输车辆的出口内侧设置洗车平台，车辆离开工地前，应在洗车平台清洗轮胎及车身，不得带泥上路。洗车平台四周设置防溢座，废水导流渠、废水收集池、沉砂池及其他防治设施，收集洗车、施工以及降水过程中产生的废水和泥浆。工地出口处铺装道路上可见粘带泥土不得超过10m，并应及时清扫冲洗。</w:t>
            </w:r>
            <w:r>
              <w:rPr>
                <w:rFonts w:ascii="Times New Roman" w:hAnsi="Times New Roman" w:eastAsia="宋体"/>
                <w:color w:val="auto"/>
                <w:szCs w:val="18"/>
              </w:rPr>
              <w:t>施工场地现场必须设置排水网络，并设沉淀池，收集循环使用。</w:t>
            </w:r>
          </w:p>
          <w:p>
            <w:pPr>
              <w:spacing w:line="360" w:lineRule="auto"/>
              <w:ind w:firstLine="480" w:firstLineChars="200"/>
              <w:rPr>
                <w:color w:val="auto"/>
              </w:rPr>
            </w:pPr>
            <w:r>
              <w:rPr>
                <w:color w:val="auto"/>
              </w:rPr>
              <w:fldChar w:fldCharType="begin"/>
            </w:r>
            <w:r>
              <w:rPr>
                <w:color w:val="auto"/>
              </w:rPr>
              <w:instrText xml:space="preserve"> = 5 \* GB3 </w:instrText>
            </w:r>
            <w:r>
              <w:rPr>
                <w:color w:val="auto"/>
              </w:rPr>
              <w:fldChar w:fldCharType="separate"/>
            </w:r>
            <w:r>
              <w:rPr>
                <w:color w:val="auto"/>
              </w:rPr>
              <w:t>⑤</w:t>
            </w:r>
            <w:r>
              <w:rPr>
                <w:color w:val="auto"/>
              </w:rPr>
              <w:fldChar w:fldCharType="end"/>
            </w:r>
            <w:r>
              <w:rPr>
                <w:color w:val="auto"/>
              </w:rPr>
              <w:t>禁止在大风天进行渣土堆放作业，建材堆放地点要相对集中，临时废弃土石堆场及时清运，并对堆场必须以毡布覆盖，不得有裸土，并且裸露地面进行硬化和绿化，减少建材的露天堆放时间；开挖出的土石方应加强围栏，表面用毡布覆盖，并及时将多余弃土外运。</w:t>
            </w:r>
            <w:r>
              <w:rPr>
                <w:color w:val="auto"/>
                <w:szCs w:val="18"/>
              </w:rPr>
              <w:t>建筑材料、构件、料具应按照施工总平面图划定的区域堆放，堆放要整齐，要挂定型化的标牌；建筑垃圾和弃土石方临时堆场表面采取覆盖等防扬尘措施。建筑垃圾和多余土方应及时清运出场。</w:t>
            </w:r>
          </w:p>
          <w:p>
            <w:pPr>
              <w:spacing w:line="360" w:lineRule="auto"/>
              <w:ind w:firstLine="480" w:firstLineChars="200"/>
              <w:rPr>
                <w:color w:val="auto"/>
                <w:szCs w:val="18"/>
              </w:rPr>
            </w:pPr>
            <w:r>
              <w:rPr>
                <w:color w:val="auto"/>
              </w:rPr>
              <w:fldChar w:fldCharType="begin"/>
            </w:r>
            <w:r>
              <w:rPr>
                <w:color w:val="auto"/>
              </w:rPr>
              <w:instrText xml:space="preserve"> = 6 \* GB3 </w:instrText>
            </w:r>
            <w:r>
              <w:rPr>
                <w:color w:val="auto"/>
              </w:rPr>
              <w:fldChar w:fldCharType="separate"/>
            </w:r>
            <w:r>
              <w:rPr>
                <w:color w:val="auto"/>
              </w:rPr>
              <w:t>⑥</w:t>
            </w:r>
            <w:r>
              <w:rPr>
                <w:color w:val="auto"/>
              </w:rPr>
              <w:fldChar w:fldCharType="end"/>
            </w:r>
            <w:r>
              <w:rPr>
                <w:color w:val="auto"/>
                <w:szCs w:val="18"/>
              </w:rPr>
              <w:t>施工道路及作业场地应坚实平整，保证无浮土、无积水。工地现场出入口地面必须硬化处理，每天都要进行清扫和洒水压尘；严禁在车行道上堆放建筑垃圾。</w:t>
            </w:r>
            <w:r>
              <w:rPr>
                <w:color w:val="auto"/>
              </w:rPr>
              <w:t>遇到干燥、易起尘的土方工程作业时，应辅以洒水压尘，尽量缩短起尘操作时间。</w:t>
            </w:r>
          </w:p>
          <w:p>
            <w:pPr>
              <w:spacing w:line="360" w:lineRule="auto"/>
              <w:ind w:firstLine="482" w:firstLineChars="200"/>
              <w:rPr>
                <w:color w:val="auto"/>
              </w:rPr>
            </w:pPr>
            <w:r>
              <w:rPr>
                <w:b/>
                <w:color w:val="auto"/>
              </w:rPr>
              <w:t>（3）汽车运输和施工机具废气</w:t>
            </w:r>
          </w:p>
          <w:p>
            <w:pPr>
              <w:pStyle w:val="65"/>
              <w:adjustRightInd/>
              <w:snapToGrid/>
              <w:ind w:firstLine="480"/>
              <w:rPr>
                <w:rFonts w:ascii="Times New Roman" w:hAnsi="Times New Roman"/>
                <w:color w:val="auto"/>
              </w:rPr>
            </w:pPr>
            <w:r>
              <w:rPr>
                <w:rFonts w:ascii="Times New Roman" w:hAnsi="Times New Roman"/>
                <w:color w:val="auto"/>
              </w:rPr>
              <w:t>各种燃油施工机械和运输车辆在施工及运输过程中均排放一定数量的废气，主要污染物以NO</w:t>
            </w:r>
            <w:r>
              <w:rPr>
                <w:rFonts w:ascii="Times New Roman" w:hAnsi="Times New Roman"/>
                <w:color w:val="auto"/>
                <w:vertAlign w:val="subscript"/>
              </w:rPr>
              <w:t>x</w:t>
            </w:r>
            <w:r>
              <w:rPr>
                <w:rFonts w:ascii="Times New Roman" w:hAnsi="Times New Roman"/>
                <w:color w:val="auto"/>
              </w:rPr>
              <w:t>、SO</w:t>
            </w:r>
            <w:r>
              <w:rPr>
                <w:rFonts w:ascii="Times New Roman" w:hAnsi="Times New Roman"/>
                <w:color w:val="auto"/>
                <w:vertAlign w:val="subscript"/>
              </w:rPr>
              <w:t>2</w:t>
            </w:r>
            <w:r>
              <w:rPr>
                <w:rFonts w:ascii="Times New Roman" w:hAnsi="Times New Roman"/>
                <w:color w:val="auto"/>
              </w:rPr>
              <w:t>和烃类（THC）为主。本工程燃油施工机具主要在基础施工过程中使用，尾气中污染物主要有NO</w:t>
            </w:r>
            <w:r>
              <w:rPr>
                <w:rFonts w:ascii="Times New Roman" w:hAnsi="Times New Roman"/>
                <w:color w:val="auto"/>
                <w:vertAlign w:val="subscript"/>
              </w:rPr>
              <w:t>x</w:t>
            </w:r>
            <w:r>
              <w:rPr>
                <w:rFonts w:ascii="Times New Roman" w:hAnsi="Times New Roman"/>
                <w:color w:val="auto"/>
              </w:rPr>
              <w:t>、CO和烃类（THC）。</w:t>
            </w:r>
          </w:p>
          <w:p>
            <w:pPr>
              <w:pStyle w:val="65"/>
              <w:adjustRightInd/>
              <w:snapToGrid/>
              <w:ind w:firstLine="480"/>
              <w:rPr>
                <w:rFonts w:ascii="Times New Roman" w:hAnsi="Times New Roman"/>
                <w:color w:val="auto"/>
              </w:rPr>
            </w:pPr>
            <w:r>
              <w:rPr>
                <w:rFonts w:ascii="Times New Roman" w:hAnsi="Times New Roman"/>
                <w:color w:val="auto"/>
              </w:rPr>
              <w:t>针对本项目的施工情况，本环评提出如下的防治措施：</w:t>
            </w:r>
          </w:p>
          <w:p>
            <w:pPr>
              <w:pStyle w:val="65"/>
              <w:adjustRightInd/>
              <w:snapToGrid/>
              <w:ind w:firstLine="480"/>
              <w:rPr>
                <w:rFonts w:ascii="Times New Roman" w:hAnsi="Times New Roman"/>
                <w:color w:val="auto"/>
              </w:rPr>
            </w:pPr>
            <w:r>
              <w:rPr>
                <w:rFonts w:ascii="Times New Roman" w:hAnsi="Times New Roman"/>
                <w:color w:val="auto"/>
              </w:rPr>
              <w:fldChar w:fldCharType="begin"/>
            </w:r>
            <w:r>
              <w:rPr>
                <w:rFonts w:ascii="Times New Roman" w:hAnsi="Times New Roman"/>
                <w:color w:val="auto"/>
              </w:rPr>
              <w:instrText xml:space="preserve"> = 1 \* GB3 </w:instrText>
            </w:r>
            <w:r>
              <w:rPr>
                <w:rFonts w:ascii="Times New Roman" w:hAnsi="Times New Roman"/>
                <w:color w:val="auto"/>
              </w:rPr>
              <w:fldChar w:fldCharType="separate"/>
            </w:r>
            <w:r>
              <w:rPr>
                <w:rFonts w:ascii="Times New Roman" w:hAnsi="Times New Roman"/>
                <w:color w:val="auto"/>
              </w:rPr>
              <w:t>①</w:t>
            </w:r>
            <w:r>
              <w:rPr>
                <w:rFonts w:ascii="Times New Roman" w:hAnsi="Times New Roman"/>
                <w:color w:val="auto"/>
              </w:rPr>
              <w:fldChar w:fldCharType="end"/>
            </w:r>
            <w:r>
              <w:rPr>
                <w:rFonts w:ascii="Times New Roman" w:hAnsi="Times New Roman"/>
                <w:color w:val="auto"/>
              </w:rPr>
              <w:t>针对汽车尾气，主要是通过车辆限速降低影响，禁止使用尾气超标车辆。</w:t>
            </w:r>
          </w:p>
          <w:p>
            <w:pPr>
              <w:tabs>
                <w:tab w:val="left" w:pos="737"/>
              </w:tabs>
              <w:adjustRightInd w:val="0"/>
              <w:snapToGrid w:val="0"/>
              <w:spacing w:line="360" w:lineRule="auto"/>
              <w:ind w:firstLine="480" w:firstLineChars="200"/>
              <w:rPr>
                <w:color w:val="auto"/>
              </w:rPr>
            </w:pPr>
            <w:r>
              <w:rPr>
                <w:color w:val="auto"/>
              </w:rPr>
              <w:fldChar w:fldCharType="begin"/>
            </w:r>
            <w:r>
              <w:rPr>
                <w:color w:val="auto"/>
              </w:rPr>
              <w:instrText xml:space="preserve"> = 2 \* GB3 </w:instrText>
            </w:r>
            <w:r>
              <w:rPr>
                <w:color w:val="auto"/>
              </w:rPr>
              <w:fldChar w:fldCharType="separate"/>
            </w:r>
            <w:r>
              <w:rPr>
                <w:color w:val="auto"/>
              </w:rPr>
              <w:t>②</w:t>
            </w:r>
            <w:r>
              <w:rPr>
                <w:color w:val="auto"/>
              </w:rPr>
              <w:fldChar w:fldCharType="end"/>
            </w:r>
            <w:r>
              <w:rPr>
                <w:color w:val="auto"/>
              </w:rPr>
              <w:t>在施工期内应多加注意施工设备的维护，使其能够正常的运行，提高设备燃料的利用率。</w:t>
            </w:r>
          </w:p>
          <w:p>
            <w:pPr>
              <w:pStyle w:val="64"/>
              <w:ind w:firstLine="482"/>
              <w:rPr>
                <w:rFonts w:ascii="Times New Roman" w:hAnsi="Times New Roman" w:eastAsia="宋体"/>
                <w:b/>
                <w:color w:val="auto"/>
              </w:rPr>
            </w:pPr>
            <w:r>
              <w:rPr>
                <w:rFonts w:ascii="Times New Roman" w:hAnsi="Times New Roman" w:eastAsia="宋体"/>
                <w:b/>
                <w:color w:val="auto"/>
              </w:rPr>
              <w:t>2、噪声</w:t>
            </w:r>
          </w:p>
          <w:p>
            <w:pPr>
              <w:pStyle w:val="64"/>
              <w:ind w:firstLine="480"/>
              <w:rPr>
                <w:rFonts w:ascii="Times New Roman" w:hAnsi="Times New Roman"/>
                <w:color w:val="auto"/>
              </w:rPr>
            </w:pPr>
            <w:r>
              <w:rPr>
                <w:rFonts w:ascii="Times New Roman" w:hAnsi="Times New Roman" w:eastAsia="宋体"/>
                <w:color w:val="auto"/>
              </w:rPr>
              <w:t>施工期噪声来源于施工开挖等施工活动中的施工机械运行、汽车运输等。施工期机械噪声源主要为：挖土机、打桩机、起重机、推土机等，噪声级均在</w:t>
            </w:r>
            <w:r>
              <w:rPr>
                <w:rFonts w:ascii="Times New Roman" w:hAnsi="Times New Roman"/>
                <w:color w:val="auto"/>
              </w:rPr>
              <w:t>75dB(A)-115 dB(A)</w:t>
            </w:r>
            <w:r>
              <w:rPr>
                <w:rFonts w:ascii="Times New Roman" w:hAnsi="Times New Roman" w:eastAsia="宋体"/>
                <w:color w:val="auto"/>
              </w:rPr>
              <w:t>之间。根据《环境噪声与振动控制工程技术导则》（</w:t>
            </w:r>
            <w:r>
              <w:rPr>
                <w:rFonts w:ascii="Times New Roman" w:hAnsi="Times New Roman"/>
                <w:color w:val="auto"/>
              </w:rPr>
              <w:t>HJ 2034</w:t>
            </w:r>
            <w:r>
              <w:rPr>
                <w:rFonts w:ascii="Times New Roman" w:hAnsi="Times New Roman" w:eastAsia="宋体"/>
                <w:color w:val="auto"/>
              </w:rPr>
              <w:t>-</w:t>
            </w:r>
            <w:r>
              <w:rPr>
                <w:rFonts w:ascii="Times New Roman" w:hAnsi="Times New Roman"/>
                <w:color w:val="auto"/>
              </w:rPr>
              <w:t>2013</w:t>
            </w:r>
            <w:r>
              <w:rPr>
                <w:rFonts w:ascii="Times New Roman" w:hAnsi="Times New Roman" w:eastAsia="宋体"/>
                <w:color w:val="auto"/>
              </w:rPr>
              <w:t>），施工阶段各机械设备及车辆的主要噪声源见下表。</w:t>
            </w:r>
          </w:p>
          <w:p>
            <w:pPr>
              <w:pStyle w:val="56"/>
              <w:spacing w:before="120" w:after="120" w:line="240" w:lineRule="auto"/>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表5-3  各种机械设备的噪声值</w:t>
            </w:r>
          </w:p>
          <w:p>
            <w:pPr>
              <w:pStyle w:val="2"/>
              <w:ind w:left="480" w:firstLine="500"/>
              <w:jc w:val="right"/>
              <w:rPr>
                <w:rFonts w:hint="default" w:ascii="Times New Roman" w:hAnsi="Times New Roman"/>
                <w:bCs/>
                <w:color w:val="auto"/>
              </w:rPr>
            </w:pPr>
            <w:r>
              <w:rPr>
                <w:rFonts w:hint="default" w:ascii="Times New Roman" w:hAnsi="Times New Roman" w:eastAsia="黑体"/>
                <w:bCs/>
                <w:color w:val="auto"/>
                <w:spacing w:val="20"/>
                <w:kern w:val="24"/>
                <w:szCs w:val="20"/>
              </w:rPr>
              <w:t>单位：Leq[dB（A）]</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2246"/>
              <w:gridCol w:w="2132"/>
              <w:gridCol w:w="3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37"/>
                    <w:spacing w:before="0" w:line="260" w:lineRule="exact"/>
                    <w:ind w:firstLine="0" w:firstLineChars="0"/>
                    <w:rPr>
                      <w:rFonts w:ascii="Times New Roman" w:hAnsi="Times New Roman"/>
                      <w:color w:val="auto"/>
                      <w:sz w:val="21"/>
                      <w:szCs w:val="21"/>
                    </w:rPr>
                  </w:pPr>
                  <w:r>
                    <w:rPr>
                      <w:rFonts w:ascii="Times New Roman" w:hAnsi="Times New Roman"/>
                      <w:color w:val="auto"/>
                      <w:sz w:val="21"/>
                      <w:szCs w:val="21"/>
                    </w:rPr>
                    <w:t>序号</w:t>
                  </w:r>
                </w:p>
              </w:tc>
              <w:tc>
                <w:tcPr>
                  <w:tcW w:w="2246" w:type="dxa"/>
                  <w:noWrap w:val="0"/>
                  <w:vAlign w:val="center"/>
                </w:tcPr>
                <w:p>
                  <w:pPr>
                    <w:pStyle w:val="37"/>
                    <w:spacing w:before="0" w:line="260" w:lineRule="exact"/>
                    <w:ind w:firstLine="0" w:firstLineChars="0"/>
                    <w:rPr>
                      <w:rFonts w:ascii="Times New Roman" w:hAnsi="Times New Roman"/>
                      <w:color w:val="auto"/>
                      <w:sz w:val="21"/>
                      <w:szCs w:val="21"/>
                    </w:rPr>
                  </w:pPr>
                  <w:r>
                    <w:rPr>
                      <w:rFonts w:ascii="Times New Roman" w:hAnsi="Times New Roman"/>
                      <w:color w:val="auto"/>
                      <w:sz w:val="21"/>
                      <w:szCs w:val="21"/>
                    </w:rPr>
                    <w:t>机械类型</w:t>
                  </w:r>
                </w:p>
              </w:tc>
              <w:tc>
                <w:tcPr>
                  <w:tcW w:w="2132" w:type="dxa"/>
                  <w:noWrap w:val="0"/>
                  <w:vAlign w:val="center"/>
                </w:tcPr>
                <w:p>
                  <w:pPr>
                    <w:pStyle w:val="37"/>
                    <w:spacing w:before="0" w:line="260" w:lineRule="exact"/>
                    <w:ind w:firstLine="0" w:firstLineChars="0"/>
                    <w:rPr>
                      <w:rFonts w:ascii="Times New Roman" w:hAnsi="Times New Roman"/>
                      <w:color w:val="auto"/>
                      <w:sz w:val="21"/>
                      <w:szCs w:val="21"/>
                    </w:rPr>
                  </w:pPr>
                  <w:r>
                    <w:rPr>
                      <w:rFonts w:ascii="Times New Roman" w:hAnsi="Times New Roman"/>
                      <w:color w:val="auto"/>
                      <w:sz w:val="21"/>
                      <w:szCs w:val="21"/>
                    </w:rPr>
                    <w:t>声源特点</w:t>
                  </w:r>
                </w:p>
              </w:tc>
              <w:tc>
                <w:tcPr>
                  <w:tcW w:w="3251" w:type="dxa"/>
                  <w:noWrap w:val="0"/>
                  <w:vAlign w:val="center"/>
                </w:tcPr>
                <w:p>
                  <w:pPr>
                    <w:pStyle w:val="37"/>
                    <w:spacing w:before="0" w:line="260" w:lineRule="exact"/>
                    <w:ind w:firstLine="0" w:firstLineChars="0"/>
                    <w:rPr>
                      <w:rFonts w:ascii="Times New Roman" w:hAnsi="Times New Roman"/>
                      <w:color w:val="auto"/>
                      <w:sz w:val="21"/>
                      <w:szCs w:val="21"/>
                    </w:rPr>
                  </w:pPr>
                  <w:r>
                    <w:rPr>
                      <w:rFonts w:ascii="Times New Roman" w:hAnsi="Times New Roman"/>
                      <w:color w:val="auto"/>
                      <w:sz w:val="21"/>
                      <w:szCs w:val="21"/>
                    </w:rPr>
                    <w:t>距离设备5m处噪声值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1</w:t>
                  </w:r>
                </w:p>
              </w:tc>
              <w:tc>
                <w:tcPr>
                  <w:tcW w:w="2246"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挖土机</w:t>
                  </w:r>
                </w:p>
              </w:tc>
              <w:tc>
                <w:tcPr>
                  <w:tcW w:w="2132"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流动不稳态源</w:t>
                  </w:r>
                </w:p>
              </w:tc>
              <w:tc>
                <w:tcPr>
                  <w:tcW w:w="3251"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2</w:t>
                  </w:r>
                </w:p>
              </w:tc>
              <w:tc>
                <w:tcPr>
                  <w:tcW w:w="2246"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打桩机</w:t>
                  </w:r>
                </w:p>
              </w:tc>
              <w:tc>
                <w:tcPr>
                  <w:tcW w:w="2132"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流动不稳态源</w:t>
                  </w:r>
                </w:p>
              </w:tc>
              <w:tc>
                <w:tcPr>
                  <w:tcW w:w="3251"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100~110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3</w:t>
                  </w:r>
                </w:p>
              </w:tc>
              <w:tc>
                <w:tcPr>
                  <w:tcW w:w="2246"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起重机</w:t>
                  </w:r>
                </w:p>
              </w:tc>
              <w:tc>
                <w:tcPr>
                  <w:tcW w:w="2132"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流动不稳态源</w:t>
                  </w:r>
                </w:p>
              </w:tc>
              <w:tc>
                <w:tcPr>
                  <w:tcW w:w="3251"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4</w:t>
                  </w:r>
                </w:p>
              </w:tc>
              <w:tc>
                <w:tcPr>
                  <w:tcW w:w="2246"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推土机</w:t>
                  </w:r>
                </w:p>
              </w:tc>
              <w:tc>
                <w:tcPr>
                  <w:tcW w:w="2132"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流动不稳态源</w:t>
                  </w:r>
                </w:p>
              </w:tc>
              <w:tc>
                <w:tcPr>
                  <w:tcW w:w="3251"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83~88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1427"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5</w:t>
                  </w:r>
                </w:p>
              </w:tc>
              <w:tc>
                <w:tcPr>
                  <w:tcW w:w="2246"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运输车辆</w:t>
                  </w:r>
                </w:p>
              </w:tc>
              <w:tc>
                <w:tcPr>
                  <w:tcW w:w="2132"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流动不稳态源</w:t>
                  </w:r>
                </w:p>
              </w:tc>
              <w:tc>
                <w:tcPr>
                  <w:tcW w:w="3251" w:type="dxa"/>
                  <w:noWrap w:val="0"/>
                  <w:vAlign w:val="center"/>
                </w:tcPr>
                <w:p>
                  <w:pPr>
                    <w:pStyle w:val="48"/>
                    <w:spacing w:line="260" w:lineRule="exact"/>
                    <w:rPr>
                      <w:rFonts w:ascii="Times New Roman" w:hAnsi="Times New Roman"/>
                      <w:color w:val="auto"/>
                      <w:sz w:val="21"/>
                    </w:rPr>
                  </w:pPr>
                  <w:r>
                    <w:rPr>
                      <w:rFonts w:ascii="Times New Roman" w:hAnsi="Times New Roman"/>
                      <w:color w:val="auto"/>
                      <w:sz w:val="21"/>
                    </w:rPr>
                    <w:t>88</w:t>
                  </w:r>
                </w:p>
              </w:tc>
            </w:tr>
          </w:tbl>
          <w:p>
            <w:pPr>
              <w:spacing w:line="360" w:lineRule="auto"/>
              <w:ind w:firstLine="480"/>
              <w:rPr>
                <w:color w:val="auto"/>
              </w:rPr>
            </w:pPr>
            <w:r>
              <w:rPr>
                <w:color w:val="auto"/>
              </w:rPr>
              <w:t>由上表可知，本项目在施工期厂界噪声不能满足《建筑施工厂界环境噪声排放标准》（GB12523-2011），针对本项目特点，本环评提出如下的防治措施：</w:t>
            </w:r>
          </w:p>
          <w:p>
            <w:pPr>
              <w:spacing w:line="360" w:lineRule="auto"/>
              <w:ind w:firstLine="480" w:firstLineChars="200"/>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color w:val="auto"/>
              </w:rPr>
              <w:t>合理安排作业时间，避开敏感时段施工，避免大量高噪声设备同时运行；严禁夜间（22:00--6:00）、午间（12:00--14:00）进行产生噪声污染的施工作业，如必须连续作业的，必须取得当地有关部门的批准后，并且公告附近居民，取得群众谅解后方可施工。</w:t>
            </w:r>
          </w:p>
          <w:p>
            <w:pPr>
              <w:spacing w:line="360" w:lineRule="auto"/>
              <w:ind w:firstLine="480" w:firstLineChars="200"/>
              <w:rPr>
                <w:color w:val="auto"/>
              </w:rPr>
            </w:pPr>
            <w:r>
              <w:rPr>
                <w:color w:val="auto"/>
              </w:rPr>
              <w:fldChar w:fldCharType="begin"/>
            </w:r>
            <w:r>
              <w:rPr>
                <w:color w:val="auto"/>
              </w:rPr>
              <w:instrText xml:space="preserve"> = 2 \* GB3 </w:instrText>
            </w:r>
            <w:r>
              <w:rPr>
                <w:color w:val="auto"/>
              </w:rPr>
              <w:fldChar w:fldCharType="separate"/>
            </w:r>
            <w:r>
              <w:rPr>
                <w:color w:val="auto"/>
              </w:rPr>
              <w:t>②</w:t>
            </w:r>
            <w:r>
              <w:rPr>
                <w:color w:val="auto"/>
              </w:rPr>
              <w:fldChar w:fldCharType="end"/>
            </w:r>
            <w:r>
              <w:rPr>
                <w:color w:val="auto"/>
              </w:rPr>
              <w:t>应严格按照《建筑施工厂界环境噪声排放标准》（GB12523-2011）对施工厂界进行噪声控制，加强施工管理，合格安排施工作业时间，禁止夜间施工。对因施工工艺要求或其他特殊需求在夜间进行超过噪声限值施工的，施工前建设单位应向有关部门提出申请，经批准后方可进行夜间施工，并应与可能受影响的居民联系，将环保部门意见通告居民，接受公众监督。</w:t>
            </w:r>
          </w:p>
          <w:p>
            <w:pPr>
              <w:spacing w:line="360" w:lineRule="auto"/>
              <w:ind w:firstLine="480" w:firstLineChars="200"/>
              <w:rPr>
                <w:color w:val="auto"/>
              </w:rPr>
            </w:pPr>
            <w:r>
              <w:rPr>
                <w:color w:val="auto"/>
              </w:rPr>
              <w:fldChar w:fldCharType="begin"/>
            </w:r>
            <w:r>
              <w:rPr>
                <w:color w:val="auto"/>
              </w:rPr>
              <w:instrText xml:space="preserve"> = 3 \* GB3 </w:instrText>
            </w:r>
            <w:r>
              <w:rPr>
                <w:color w:val="auto"/>
              </w:rPr>
              <w:fldChar w:fldCharType="separate"/>
            </w:r>
            <w:r>
              <w:rPr>
                <w:color w:val="auto"/>
              </w:rPr>
              <w:t>③</w:t>
            </w:r>
            <w:r>
              <w:rPr>
                <w:color w:val="auto"/>
              </w:rPr>
              <w:fldChar w:fldCharType="end"/>
            </w:r>
            <w:r>
              <w:rPr>
                <w:color w:val="auto"/>
              </w:rPr>
              <w:t>施工设备尽量采用先进低噪声设备，对产生噪声的施工设备加强维护和维修工作。</w:t>
            </w:r>
          </w:p>
          <w:p>
            <w:pPr>
              <w:spacing w:line="460" w:lineRule="exact"/>
              <w:ind w:firstLine="480" w:firstLineChars="200"/>
              <w:rPr>
                <w:color w:val="auto"/>
              </w:rPr>
            </w:pPr>
            <w:r>
              <w:rPr>
                <w:color w:val="auto"/>
              </w:rPr>
              <w:fldChar w:fldCharType="begin"/>
            </w:r>
            <w:r>
              <w:rPr>
                <w:color w:val="auto"/>
              </w:rPr>
              <w:instrText xml:space="preserve"> = 4 \* GB3 </w:instrText>
            </w:r>
            <w:r>
              <w:rPr>
                <w:color w:val="auto"/>
              </w:rPr>
              <w:fldChar w:fldCharType="separate"/>
            </w:r>
            <w:r>
              <w:rPr>
                <w:color w:val="auto"/>
              </w:rPr>
              <w:t>④</w:t>
            </w:r>
            <w:r>
              <w:rPr>
                <w:color w:val="auto"/>
              </w:rPr>
              <w:fldChar w:fldCharType="end"/>
            </w:r>
            <w:r>
              <w:rPr>
                <w:color w:val="auto"/>
              </w:rPr>
              <w:t>优化运输方案，机械车辆途经居住区时必须减速慢行，禁鸣喇叭。</w:t>
            </w:r>
          </w:p>
          <w:p>
            <w:pPr>
              <w:spacing w:line="360" w:lineRule="auto"/>
              <w:ind w:firstLine="480" w:firstLineChars="200"/>
              <w:rPr>
                <w:color w:val="auto"/>
              </w:rPr>
            </w:pPr>
            <w:r>
              <w:rPr>
                <w:color w:val="auto"/>
              </w:rPr>
              <w:fldChar w:fldCharType="begin"/>
            </w:r>
            <w:r>
              <w:rPr>
                <w:color w:val="auto"/>
              </w:rPr>
              <w:instrText xml:space="preserve"> = 5 \* GB3 </w:instrText>
            </w:r>
            <w:r>
              <w:rPr>
                <w:color w:val="auto"/>
              </w:rPr>
              <w:fldChar w:fldCharType="separate"/>
            </w:r>
            <w:r>
              <w:rPr>
                <w:color w:val="auto"/>
              </w:rPr>
              <w:t>⑤</w:t>
            </w:r>
            <w:r>
              <w:rPr>
                <w:color w:val="auto"/>
              </w:rPr>
              <w:fldChar w:fldCharType="end"/>
            </w:r>
            <w:r>
              <w:rPr>
                <w:color w:val="auto"/>
              </w:rPr>
              <w:t>合理布置施工场地，适当控制机械作业密度，条件允许时拉开一定距离，避免形成噪声叠加；对于集中居住区等敏感地点附近的作业场地，修建临时隔声屏障，应尽量避免在中午午休时间施工。</w:t>
            </w:r>
          </w:p>
          <w:p>
            <w:pPr>
              <w:spacing w:line="360" w:lineRule="auto"/>
              <w:ind w:firstLine="480" w:firstLineChars="200"/>
              <w:rPr>
                <w:color w:val="auto"/>
              </w:rPr>
            </w:pPr>
            <w:r>
              <w:rPr>
                <w:color w:val="auto"/>
              </w:rPr>
              <w:fldChar w:fldCharType="begin"/>
            </w:r>
            <w:r>
              <w:rPr>
                <w:color w:val="auto"/>
              </w:rPr>
              <w:instrText xml:space="preserve"> = 6 \* GB3 </w:instrText>
            </w:r>
            <w:r>
              <w:rPr>
                <w:color w:val="auto"/>
              </w:rPr>
              <w:fldChar w:fldCharType="separate"/>
            </w:r>
            <w:r>
              <w:rPr>
                <w:color w:val="auto"/>
              </w:rPr>
              <w:t>⑥</w:t>
            </w:r>
            <w:r>
              <w:rPr>
                <w:color w:val="auto"/>
              </w:rPr>
              <w:fldChar w:fldCharType="end"/>
            </w:r>
            <w:r>
              <w:rPr>
                <w:color w:val="auto"/>
              </w:rPr>
              <w:t>采用集中力量、逐段施工方法，缩短施工周期，减轻施工噪声对局部地段声环境的影响。</w:t>
            </w:r>
          </w:p>
          <w:p>
            <w:pPr>
              <w:pStyle w:val="64"/>
              <w:ind w:firstLine="482"/>
              <w:rPr>
                <w:rFonts w:ascii="Times New Roman" w:hAnsi="Times New Roman" w:eastAsia="宋体"/>
                <w:b/>
                <w:color w:val="auto"/>
              </w:rPr>
            </w:pPr>
            <w:r>
              <w:rPr>
                <w:rFonts w:ascii="Times New Roman" w:hAnsi="Times New Roman" w:eastAsia="宋体"/>
                <w:b/>
                <w:color w:val="auto"/>
              </w:rPr>
              <w:t>3、废水</w:t>
            </w:r>
          </w:p>
          <w:p>
            <w:pPr>
              <w:spacing w:line="360" w:lineRule="auto"/>
              <w:ind w:firstLine="482" w:firstLineChars="200"/>
              <w:rPr>
                <w:b/>
                <w:color w:val="auto"/>
              </w:rPr>
            </w:pPr>
            <w:r>
              <w:rPr>
                <w:b/>
                <w:color w:val="auto"/>
              </w:rPr>
              <w:t>（1）施工人员生活污水</w:t>
            </w:r>
          </w:p>
          <w:p>
            <w:pPr>
              <w:spacing w:line="360" w:lineRule="auto"/>
              <w:ind w:firstLine="480" w:firstLineChars="200"/>
              <w:rPr>
                <w:color w:val="auto"/>
              </w:rPr>
            </w:pPr>
            <w:r>
              <w:rPr>
                <w:color w:val="auto"/>
              </w:rPr>
              <w:t>根据同类项目施工情况，本项目日最大施工人员为15人，按每天</w:t>
            </w:r>
            <w:r>
              <w:rPr>
                <w:rFonts w:hint="eastAsia"/>
                <w:color w:val="auto"/>
              </w:rPr>
              <w:t>用水</w:t>
            </w:r>
            <w:r>
              <w:rPr>
                <w:color w:val="auto"/>
              </w:rPr>
              <w:t>量</w:t>
            </w:r>
            <w:r>
              <w:rPr>
                <w:rFonts w:hint="eastAsia"/>
                <w:color w:val="auto"/>
              </w:rPr>
              <w:t>按</w:t>
            </w:r>
            <w:r>
              <w:rPr>
                <w:color w:val="auto"/>
              </w:rPr>
              <w:t>80L/人计，生活污水预计最大产生量约1.2m</w:t>
            </w:r>
            <w:r>
              <w:rPr>
                <w:color w:val="auto"/>
                <w:vertAlign w:val="superscript"/>
              </w:rPr>
              <w:t>3</w:t>
            </w:r>
            <w:r>
              <w:rPr>
                <w:color w:val="auto"/>
              </w:rPr>
              <w:t>/d，污水量排放量按用水量的80%计，则施工人员生活污水排放量为0.96m</w:t>
            </w:r>
            <w:r>
              <w:rPr>
                <w:color w:val="auto"/>
                <w:vertAlign w:val="superscript"/>
              </w:rPr>
              <w:t>3</w:t>
            </w:r>
            <w:r>
              <w:rPr>
                <w:color w:val="auto"/>
              </w:rPr>
              <w:t>/d，主要污染物为COD</w:t>
            </w:r>
            <w:r>
              <w:rPr>
                <w:color w:val="auto"/>
                <w:vertAlign w:val="subscript"/>
              </w:rPr>
              <w:t>Cr</w:t>
            </w:r>
            <w:r>
              <w:rPr>
                <w:color w:val="auto"/>
              </w:rPr>
              <w:t>、BOD</w:t>
            </w:r>
            <w:r>
              <w:rPr>
                <w:color w:val="auto"/>
                <w:vertAlign w:val="subscript"/>
              </w:rPr>
              <w:t>5</w:t>
            </w:r>
            <w:r>
              <w:rPr>
                <w:color w:val="auto"/>
              </w:rPr>
              <w:t>、NH</w:t>
            </w:r>
            <w:r>
              <w:rPr>
                <w:color w:val="auto"/>
                <w:vertAlign w:val="subscript"/>
              </w:rPr>
              <w:t>3</w:t>
            </w:r>
            <w:r>
              <w:rPr>
                <w:color w:val="auto"/>
              </w:rPr>
              <w:t>-N、SS。</w:t>
            </w:r>
            <w:r>
              <w:rPr>
                <w:color w:val="auto"/>
                <w:kern w:val="0"/>
              </w:rPr>
              <w:t>施工期间生活污水依托周边农户解决</w:t>
            </w:r>
            <w:r>
              <w:rPr>
                <w:color w:val="auto"/>
              </w:rPr>
              <w:t>，用于农田灌溉。</w:t>
            </w:r>
          </w:p>
          <w:p>
            <w:pPr>
              <w:spacing w:line="360" w:lineRule="auto"/>
              <w:ind w:firstLine="482" w:firstLineChars="200"/>
              <w:rPr>
                <w:b/>
                <w:color w:val="auto"/>
              </w:rPr>
            </w:pPr>
            <w:r>
              <w:rPr>
                <w:b/>
                <w:color w:val="auto"/>
              </w:rPr>
              <w:t>（2）生产废水</w:t>
            </w:r>
          </w:p>
          <w:p>
            <w:pPr>
              <w:spacing w:line="360" w:lineRule="auto"/>
              <w:ind w:firstLine="480"/>
              <w:rPr>
                <w:color w:val="auto"/>
                <w:szCs w:val="20"/>
              </w:rPr>
            </w:pPr>
            <w:r>
              <w:rPr>
                <w:color w:val="auto"/>
                <w:szCs w:val="20"/>
              </w:rPr>
              <w:t>施工废水主要来源于</w:t>
            </w:r>
            <w:r>
              <w:rPr>
                <w:color w:val="auto"/>
                <w:kern w:val="0"/>
              </w:rPr>
              <w:t>施工期间产生水泥砼养护废水、机械和车辆冲洗废水等</w:t>
            </w:r>
            <w:r>
              <w:rPr>
                <w:color w:val="auto"/>
                <w:szCs w:val="20"/>
              </w:rPr>
              <w:t>，约3m</w:t>
            </w:r>
            <w:r>
              <w:rPr>
                <w:color w:val="auto"/>
                <w:szCs w:val="20"/>
                <w:vertAlign w:val="superscript"/>
              </w:rPr>
              <w:t>3</w:t>
            </w:r>
            <w:r>
              <w:rPr>
                <w:color w:val="auto"/>
                <w:szCs w:val="20"/>
              </w:rPr>
              <w:t>/d，主要含泥砂，SS浓度400~1000mg/L，pH值呈弱碱性，并带有少量油污。施工废水经简单沉淀池处理后循环使用或用于施工场地的洒水降尘，不外排。</w:t>
            </w:r>
          </w:p>
          <w:p>
            <w:pPr>
              <w:spacing w:line="360" w:lineRule="auto"/>
              <w:ind w:firstLine="480"/>
              <w:rPr>
                <w:b/>
                <w:color w:val="auto"/>
                <w:szCs w:val="20"/>
              </w:rPr>
            </w:pPr>
            <w:r>
              <w:rPr>
                <w:b/>
                <w:color w:val="auto"/>
                <w:szCs w:val="20"/>
              </w:rPr>
              <w:t>4、固体废弃物</w:t>
            </w:r>
          </w:p>
          <w:p>
            <w:pPr>
              <w:adjustRightInd w:val="0"/>
              <w:snapToGrid w:val="0"/>
              <w:spacing w:line="360" w:lineRule="auto"/>
              <w:ind w:firstLine="482" w:firstLineChars="200"/>
              <w:rPr>
                <w:b/>
                <w:color w:val="auto"/>
              </w:rPr>
            </w:pPr>
            <w:r>
              <w:rPr>
                <w:b/>
                <w:color w:val="auto"/>
              </w:rPr>
              <w:t>（1）施工人员生活垃圾</w:t>
            </w:r>
          </w:p>
          <w:p>
            <w:pPr>
              <w:adjustRightInd w:val="0"/>
              <w:snapToGrid w:val="0"/>
              <w:spacing w:line="360" w:lineRule="auto"/>
              <w:ind w:firstLine="480" w:firstLineChars="200"/>
              <w:rPr>
                <w:color w:val="auto"/>
              </w:rPr>
            </w:pPr>
            <w:r>
              <w:rPr>
                <w:color w:val="auto"/>
              </w:rPr>
              <w:t>项目施工期间，施工人员按照15人计，产生的生活垃圾按0.5kg/（人·d）计，则在施工期生活垃圾产生量为7.5kg/d。</w:t>
            </w:r>
          </w:p>
          <w:p>
            <w:pPr>
              <w:adjustRightInd w:val="0"/>
              <w:snapToGrid w:val="0"/>
              <w:spacing w:line="360" w:lineRule="auto"/>
              <w:ind w:firstLine="480" w:firstLineChars="200"/>
              <w:rPr>
                <w:color w:val="auto"/>
              </w:rPr>
            </w:pPr>
            <w:r>
              <w:rPr>
                <w:color w:val="auto"/>
              </w:rPr>
              <w:t>防治措施：施工人员生活垃圾经集中收集后由环卫部门统一处理。</w:t>
            </w:r>
          </w:p>
          <w:p>
            <w:pPr>
              <w:adjustRightInd w:val="0"/>
              <w:snapToGrid w:val="0"/>
              <w:spacing w:line="360" w:lineRule="auto"/>
              <w:ind w:firstLine="482" w:firstLineChars="200"/>
              <w:rPr>
                <w:b/>
                <w:color w:val="auto"/>
              </w:rPr>
            </w:pPr>
            <w:r>
              <w:rPr>
                <w:b/>
                <w:color w:val="auto"/>
              </w:rPr>
              <w:t>（2）建筑垃圾</w:t>
            </w:r>
          </w:p>
          <w:p>
            <w:pPr>
              <w:adjustRightInd w:val="0"/>
              <w:snapToGrid w:val="0"/>
              <w:spacing w:line="360" w:lineRule="auto"/>
              <w:ind w:firstLine="480" w:firstLineChars="200"/>
              <w:rPr>
                <w:color w:val="auto"/>
              </w:rPr>
            </w:pPr>
            <w:r>
              <w:rPr>
                <w:color w:val="auto"/>
              </w:rPr>
              <w:t>建筑垃圾主要包括砂石、石块、废混凝土、包装材料等杂物。</w:t>
            </w:r>
          </w:p>
          <w:p>
            <w:pPr>
              <w:adjustRightInd w:val="0"/>
              <w:snapToGrid w:val="0"/>
              <w:spacing w:line="360" w:lineRule="auto"/>
              <w:ind w:firstLine="480" w:firstLineChars="200"/>
              <w:rPr>
                <w:color w:val="auto"/>
              </w:rPr>
            </w:pPr>
            <w:r>
              <w:rPr>
                <w:color w:val="auto"/>
              </w:rPr>
              <w:t>防治措施：废物收集堆放于指定地点。在施工期加强对废物的收集和管理，将建筑垃圾中能回收的废材料、废包装等出售给废品回收公司处理，不能回收的建筑垃圾运往建设部门指定地点处理。</w:t>
            </w:r>
          </w:p>
          <w:p>
            <w:pPr>
              <w:adjustRightInd w:val="0"/>
              <w:snapToGrid w:val="0"/>
              <w:spacing w:line="360" w:lineRule="auto"/>
              <w:ind w:firstLine="482" w:firstLineChars="200"/>
              <w:rPr>
                <w:b/>
                <w:color w:val="auto"/>
              </w:rPr>
            </w:pPr>
            <w:r>
              <w:rPr>
                <w:b/>
                <w:color w:val="auto"/>
              </w:rPr>
              <w:t>（3）土石方</w:t>
            </w:r>
          </w:p>
          <w:p>
            <w:pPr>
              <w:adjustRightInd w:val="0"/>
              <w:snapToGrid w:val="0"/>
              <w:spacing w:line="360" w:lineRule="auto"/>
              <w:ind w:firstLine="480" w:firstLineChars="200"/>
              <w:rPr>
                <w:color w:val="auto"/>
              </w:rPr>
            </w:pPr>
            <w:r>
              <w:rPr>
                <w:color w:val="auto"/>
              </w:rPr>
              <w:t>本项目施工作业中挖方总量约4855m</w:t>
            </w:r>
            <w:r>
              <w:rPr>
                <w:color w:val="auto"/>
                <w:vertAlign w:val="superscript"/>
              </w:rPr>
              <w:t>3</w:t>
            </w:r>
            <w:r>
              <w:rPr>
                <w:color w:val="auto"/>
              </w:rPr>
              <w:t>，填方约</w:t>
            </w:r>
            <w:r>
              <w:rPr>
                <w:rFonts w:hint="eastAsia"/>
                <w:color w:val="auto"/>
              </w:rPr>
              <w:t>4855</w:t>
            </w:r>
            <w:r>
              <w:rPr>
                <w:color w:val="auto"/>
              </w:rPr>
              <w:t>m</w:t>
            </w:r>
            <w:r>
              <w:rPr>
                <w:color w:val="auto"/>
                <w:vertAlign w:val="superscript"/>
              </w:rPr>
              <w:t>3</w:t>
            </w:r>
            <w:r>
              <w:rPr>
                <w:color w:val="auto"/>
              </w:rPr>
              <w:t>，弃方75m</w:t>
            </w:r>
            <w:r>
              <w:rPr>
                <w:color w:val="auto"/>
                <w:vertAlign w:val="superscript"/>
              </w:rPr>
              <w:t>3</w:t>
            </w:r>
            <w:r>
              <w:rPr>
                <w:color w:val="auto"/>
              </w:rPr>
              <w:t>，弃土最终由施工单位组织运至有建设部门指定地方进行堆放，为了防止扬尘产生，在土方进出堆土场时都应洒水抑尘，堆渣前需修建排洪沟、截水沟和拦漆墙等工程措施，并且应采取覆盖措施，尽可能避免弃渣流失。</w:t>
            </w:r>
          </w:p>
          <w:p>
            <w:pPr>
              <w:spacing w:line="360" w:lineRule="auto"/>
              <w:ind w:firstLine="480"/>
              <w:rPr>
                <w:b/>
                <w:color w:val="auto"/>
                <w:szCs w:val="20"/>
              </w:rPr>
            </w:pPr>
            <w:r>
              <w:rPr>
                <w:rFonts w:hint="eastAsia"/>
                <w:b/>
                <w:color w:val="auto"/>
                <w:szCs w:val="20"/>
              </w:rPr>
              <w:t>5、</w:t>
            </w:r>
            <w:r>
              <w:rPr>
                <w:b/>
                <w:color w:val="auto"/>
                <w:szCs w:val="20"/>
              </w:rPr>
              <w:t>生态影响</w:t>
            </w:r>
          </w:p>
          <w:p>
            <w:pPr>
              <w:pStyle w:val="2"/>
              <w:spacing w:after="0" w:line="360" w:lineRule="auto"/>
              <w:ind w:left="0" w:leftChars="0" w:firstLine="480"/>
              <w:rPr>
                <w:color w:val="auto"/>
                <w:sz w:val="24"/>
              </w:rPr>
            </w:pPr>
            <w:r>
              <w:rPr>
                <w:color w:val="auto"/>
                <w:sz w:val="24"/>
              </w:rPr>
              <w:t>项目施工期生态影响主要为工程土石方开挖引起的水土流失，以及施工队对周边景观和植物带来的影响。</w:t>
            </w:r>
          </w:p>
          <w:p>
            <w:pPr>
              <w:snapToGrid w:val="0"/>
              <w:spacing w:line="360" w:lineRule="auto"/>
              <w:ind w:firstLine="480" w:firstLineChars="200"/>
              <w:rPr>
                <w:color w:val="auto"/>
              </w:rPr>
            </w:pPr>
            <w:r>
              <w:rPr>
                <w:rFonts w:hint="eastAsia"/>
                <w:color w:val="auto"/>
              </w:rPr>
              <w:t>（1）</w:t>
            </w:r>
            <w:r>
              <w:rPr>
                <w:color w:val="auto"/>
              </w:rPr>
              <w:t>水土流失：由于工程土石方的挖掘及回填，施工区域可能产生水土流失。</w:t>
            </w:r>
          </w:p>
          <w:p>
            <w:pPr>
              <w:snapToGrid w:val="0"/>
              <w:spacing w:line="360" w:lineRule="auto"/>
              <w:ind w:firstLine="480" w:firstLineChars="200"/>
              <w:rPr>
                <w:color w:val="auto"/>
              </w:rPr>
            </w:pPr>
            <w:r>
              <w:rPr>
                <w:rFonts w:hint="eastAsia"/>
                <w:color w:val="auto"/>
              </w:rPr>
              <w:t>（2）</w:t>
            </w:r>
            <w:r>
              <w:rPr>
                <w:color w:val="auto"/>
              </w:rPr>
              <w:t>景观影响：施工开挖以及施工期产生的扬尘将会给区域的景观在一定的程度带来影响。</w:t>
            </w:r>
          </w:p>
          <w:p>
            <w:pPr>
              <w:snapToGrid w:val="0"/>
              <w:spacing w:line="360" w:lineRule="auto"/>
              <w:ind w:firstLine="480" w:firstLineChars="200"/>
              <w:rPr>
                <w:color w:val="auto"/>
              </w:rPr>
            </w:pPr>
            <w:r>
              <w:rPr>
                <w:rFonts w:hint="eastAsia"/>
                <w:color w:val="auto"/>
              </w:rPr>
              <w:t>（3）</w:t>
            </w:r>
            <w:r>
              <w:rPr>
                <w:color w:val="auto"/>
              </w:rPr>
              <w:t>陆生动植物影响：施工噪声及扬尘对周边动植物会产生一定影响。</w:t>
            </w:r>
          </w:p>
          <w:p>
            <w:pPr>
              <w:pStyle w:val="68"/>
              <w:spacing w:before="0" w:after="0" w:line="360" w:lineRule="auto"/>
              <w:ind w:firstLine="480" w:firstLineChars="200"/>
              <w:jc w:val="both"/>
              <w:rPr>
                <w:color w:val="auto"/>
                <w:kern w:val="2"/>
                <w:szCs w:val="24"/>
              </w:rPr>
            </w:pPr>
            <w:r>
              <w:rPr>
                <w:color w:val="auto"/>
                <w:kern w:val="2"/>
                <w:szCs w:val="24"/>
              </w:rPr>
              <w:t>本环评提出如下的防治措施</w:t>
            </w:r>
            <w:r>
              <w:rPr>
                <w:rFonts w:hint="eastAsia" w:ascii="宋体" w:hAnsi="宋体"/>
                <w:color w:val="auto"/>
                <w:kern w:val="2"/>
                <w:szCs w:val="24"/>
              </w:rPr>
              <w:t>:</w:t>
            </w:r>
            <w:r>
              <w:rPr>
                <w:rFonts w:ascii="宋体" w:hAnsi="宋体"/>
                <w:color w:val="auto"/>
                <w:kern w:val="2"/>
                <w:szCs w:val="24"/>
              </w:rPr>
              <w:t xml:space="preserve"> </w:t>
            </w:r>
            <w:r>
              <w:rPr>
                <w:color w:val="auto"/>
                <w:kern w:val="2"/>
                <w:szCs w:val="24"/>
              </w:rPr>
              <w:t>通过合理安排施工时间，合理布置临时堆方堆置地点，做好弃土暂存场围拦、遮盖，及时恢复施工迹地、绿化等措施</w:t>
            </w:r>
            <w:r>
              <w:rPr>
                <w:rFonts w:hint="eastAsia"/>
                <w:color w:val="auto"/>
                <w:kern w:val="2"/>
                <w:szCs w:val="24"/>
              </w:rPr>
              <w:t>。</w:t>
            </w:r>
          </w:p>
          <w:p>
            <w:pPr>
              <w:tabs>
                <w:tab w:val="left" w:pos="1080"/>
              </w:tabs>
              <w:adjustRightInd w:val="0"/>
              <w:snapToGrid w:val="0"/>
              <w:spacing w:line="360" w:lineRule="auto"/>
              <w:ind w:firstLine="560" w:firstLineChars="200"/>
              <w:rPr>
                <w:color w:val="auto"/>
              </w:rPr>
            </w:pPr>
            <w:r>
              <w:rPr>
                <w:rFonts w:eastAsia="黑体"/>
                <w:bCs/>
                <w:color w:val="auto"/>
                <w:kern w:val="0"/>
                <w:sz w:val="28"/>
                <w:szCs w:val="28"/>
              </w:rPr>
              <w:t>二、运营期工程介绍</w:t>
            </w:r>
          </w:p>
          <w:p>
            <w:pPr>
              <w:tabs>
                <w:tab w:val="left" w:pos="1080"/>
              </w:tabs>
              <w:adjustRightInd w:val="0"/>
              <w:snapToGrid w:val="0"/>
              <w:spacing w:line="360" w:lineRule="auto"/>
              <w:ind w:firstLine="482" w:firstLineChars="200"/>
              <w:rPr>
                <w:b/>
                <w:bCs/>
                <w:color w:val="auto"/>
              </w:rPr>
            </w:pPr>
            <w:r>
              <w:rPr>
                <w:b/>
                <w:bCs/>
                <w:color w:val="auto"/>
              </w:rPr>
              <w:t>2.1工艺分析</w:t>
            </w:r>
          </w:p>
          <w:p>
            <w:pPr>
              <w:pStyle w:val="9"/>
              <w:spacing w:line="360" w:lineRule="auto"/>
              <w:ind w:firstLine="480"/>
              <w:rPr>
                <w:rFonts w:ascii="Times New Roman" w:hAnsi="Times New Roman" w:cs="Times New Roman"/>
                <w:bCs/>
                <w:color w:val="auto"/>
                <w:sz w:val="24"/>
                <w:szCs w:val="24"/>
              </w:rPr>
            </w:pPr>
            <w:r>
              <w:rPr>
                <w:rFonts w:ascii="Times New Roman" w:hAnsi="Times New Roman" w:cs="Times New Roman"/>
                <w:bCs/>
                <w:color w:val="auto"/>
                <w:sz w:val="24"/>
                <w:szCs w:val="24"/>
              </w:rPr>
              <w:t>1、生活污水处理技术</w:t>
            </w:r>
          </w:p>
          <w:p>
            <w:pPr>
              <w:adjustRightInd w:val="0"/>
              <w:snapToGrid w:val="0"/>
              <w:spacing w:line="360" w:lineRule="auto"/>
              <w:ind w:firstLine="480" w:firstLineChars="200"/>
              <w:rPr>
                <w:color w:val="auto"/>
              </w:rPr>
            </w:pPr>
            <w:r>
              <w:rPr>
                <w:color w:val="auto"/>
              </w:rPr>
              <w:t>对于区域范围内布局相对密集，人口规模较大，宜采用活性污泥法和生物膜法等集中处理技术；人口规模较小，宜采用厌氧池与人工湿地合建等集中处理技术；其中，位于饮用水水源地保护区，须按照功能区水体相关要求及排放标准处理达标后排放。</w:t>
            </w:r>
          </w:p>
          <w:p>
            <w:pPr>
              <w:pStyle w:val="9"/>
              <w:spacing w:line="360" w:lineRule="auto"/>
              <w:ind w:firstLine="480"/>
              <w:rPr>
                <w:rFonts w:ascii="Times New Roman" w:hAnsi="Times New Roman" w:cs="Times New Roman"/>
                <w:bCs/>
                <w:color w:val="auto"/>
                <w:sz w:val="24"/>
                <w:szCs w:val="24"/>
              </w:rPr>
            </w:pPr>
            <w:r>
              <w:rPr>
                <w:rFonts w:ascii="Times New Roman" w:hAnsi="Times New Roman" w:cs="Times New Roman"/>
                <w:bCs/>
                <w:color w:val="auto"/>
                <w:sz w:val="24"/>
                <w:szCs w:val="24"/>
              </w:rPr>
              <w:t>2、相关技术原则</w:t>
            </w:r>
          </w:p>
          <w:p>
            <w:pPr>
              <w:adjustRightInd w:val="0"/>
              <w:snapToGrid w:val="0"/>
              <w:spacing w:line="360" w:lineRule="auto"/>
              <w:ind w:firstLine="480" w:firstLineChars="200"/>
              <w:rPr>
                <w:color w:val="auto"/>
              </w:rPr>
            </w:pPr>
            <w:r>
              <w:rPr>
                <w:color w:val="auto"/>
              </w:rPr>
              <w:t>（1）合并处理：在推进农村“三集中”建设中，同时规划集镇污水集中处理设施的地方，则应将居住区生活污水引入合并处理，可降低投资，提高管理水平，确保达标排放。</w:t>
            </w:r>
          </w:p>
          <w:p>
            <w:pPr>
              <w:adjustRightInd w:val="0"/>
              <w:snapToGrid w:val="0"/>
              <w:spacing w:line="360" w:lineRule="auto"/>
              <w:ind w:firstLine="480" w:firstLineChars="200"/>
              <w:rPr>
                <w:color w:val="auto"/>
              </w:rPr>
            </w:pPr>
            <w:r>
              <w:rPr>
                <w:color w:val="auto"/>
              </w:rPr>
              <w:t>（2）与灌溉相结合：在农业生产地区，净化出水由管道排送至灌溉渠或调蓄塘，供农灌、浇菜用。</w:t>
            </w:r>
          </w:p>
          <w:p>
            <w:pPr>
              <w:adjustRightInd w:val="0"/>
              <w:snapToGrid w:val="0"/>
              <w:spacing w:line="360" w:lineRule="auto"/>
              <w:ind w:firstLine="480" w:firstLineChars="200"/>
              <w:rPr>
                <w:color w:val="auto"/>
              </w:rPr>
            </w:pPr>
            <w:r>
              <w:rPr>
                <w:color w:val="auto"/>
              </w:rPr>
              <w:t>（3）与生物氧化塘相结合：村社居住区附近有一定面积水塘，可采用生活污水净化沼气池工艺，净化出水由管道排送至水塘，水塘再选栽沉底和浮水植物，并放养适当的鱼。</w:t>
            </w:r>
          </w:p>
          <w:p>
            <w:pPr>
              <w:adjustRightInd w:val="0"/>
              <w:snapToGrid w:val="0"/>
              <w:spacing w:line="360" w:lineRule="auto"/>
              <w:ind w:firstLine="480" w:firstLineChars="200"/>
              <w:rPr>
                <w:color w:val="auto"/>
              </w:rPr>
            </w:pPr>
            <w:r>
              <w:rPr>
                <w:color w:val="auto"/>
              </w:rPr>
              <w:t>（4）人工湿地与生物氧化塘一体化：净化沼气池工艺中+人工湿地（或仅人工湿地）建在水塘边，将水塘边坡改造为人工湿地床，形成人工湿地与生物氧化塘系统，既节约用地，又充分利用地形，有利于污水净化流程布置。</w:t>
            </w:r>
          </w:p>
          <w:p>
            <w:pPr>
              <w:adjustRightInd w:val="0"/>
              <w:snapToGrid w:val="0"/>
              <w:spacing w:line="360" w:lineRule="auto"/>
              <w:ind w:firstLine="480" w:firstLineChars="200"/>
              <w:rPr>
                <w:color w:val="auto"/>
              </w:rPr>
            </w:pPr>
            <w:r>
              <w:rPr>
                <w:color w:val="auto"/>
              </w:rPr>
              <w:t>（5）厌氧池与人工湿地合建或分建：在村社居住区绿化面积大，又适宜布置人工湿地，则将一、二级厌氧池与人工湿地床合建，选用观赏植物，使人工湿地成为居住区一景；如居住区绿化地小，不宜布置人工湿地，可将一级厌氧池建在住户宅旁，二级厌氧池与人工湿地建在居住区附近洼地、荒地上，可在人工湿地上选栽经济性水生植物。</w:t>
            </w:r>
          </w:p>
          <w:p>
            <w:pPr>
              <w:pStyle w:val="9"/>
              <w:spacing w:line="360" w:lineRule="auto"/>
              <w:ind w:firstLine="480"/>
              <w:rPr>
                <w:rFonts w:ascii="Times New Roman" w:hAnsi="Times New Roman" w:cs="Times New Roman"/>
                <w:bCs/>
                <w:color w:val="auto"/>
                <w:sz w:val="24"/>
                <w:szCs w:val="24"/>
              </w:rPr>
            </w:pPr>
            <w:r>
              <w:rPr>
                <w:rFonts w:ascii="Times New Roman" w:hAnsi="Times New Roman" w:cs="Times New Roman"/>
                <w:bCs/>
                <w:color w:val="auto"/>
                <w:sz w:val="24"/>
                <w:szCs w:val="24"/>
              </w:rPr>
              <w:t>4、工艺介绍</w:t>
            </w:r>
          </w:p>
          <w:p>
            <w:pPr>
              <w:adjustRightInd w:val="0"/>
              <w:snapToGrid w:val="0"/>
              <w:spacing w:line="360" w:lineRule="auto"/>
              <w:ind w:firstLine="480" w:firstLineChars="200"/>
              <w:rPr>
                <w:color w:val="auto"/>
              </w:rPr>
            </w:pPr>
            <w:r>
              <w:rPr>
                <w:color w:val="auto"/>
              </w:rPr>
              <w:t>（1）厌氧池</w:t>
            </w:r>
          </w:p>
          <w:p>
            <w:pPr>
              <w:adjustRightInd w:val="0"/>
              <w:snapToGrid w:val="0"/>
              <w:spacing w:line="360" w:lineRule="auto"/>
              <w:ind w:firstLine="480" w:firstLineChars="200"/>
              <w:rPr>
                <w:color w:val="auto"/>
              </w:rPr>
            </w:pPr>
            <w:r>
              <w:rPr>
                <w:color w:val="auto"/>
              </w:rPr>
              <w:t>厌氧池主要是用于厌氧消化，厌氧消化是利用兼性厌氧菌和专性厌氧菌将污水中大分子有机物降解为低分子化合物，进而转化为甲烷、二氧化碳的有机污水处理方法，分为酸性消化和碱性消化两个阶段。在酸性消化阶段。由产酸菌分泌的外酶作用，使大分子有机物变成简单的有机酸和醇类、醛类氨、二氧化碳等；在碱性消化阶段，酸性消化的代谢产物在甲烷细菌作用下进一步分解成甲烷、二氧化碳等构成的生物气体。这种处理方法主要用于对高浓度的有机废水和粪便污水等处理，对于进水高浓度的COD进行厌氧反应，提高COD的去除率，将高分子难降解的有机物转变为低分子易被降解的有机物，提高BOD/COD的比值，比较有利于后续人工湿地的处理。</w:t>
            </w:r>
          </w:p>
          <w:p>
            <w:pPr>
              <w:adjustRightInd w:val="0"/>
              <w:snapToGrid w:val="0"/>
              <w:spacing w:line="360" w:lineRule="auto"/>
              <w:ind w:firstLine="480" w:firstLineChars="200"/>
              <w:rPr>
                <w:color w:val="auto"/>
              </w:rPr>
            </w:pPr>
            <w:r>
              <w:rPr>
                <w:color w:val="auto"/>
              </w:rPr>
              <w:t>（2）人工湿地</w:t>
            </w:r>
          </w:p>
          <w:p>
            <w:pPr>
              <w:adjustRightInd w:val="0"/>
              <w:snapToGrid w:val="0"/>
              <w:spacing w:line="360" w:lineRule="auto"/>
              <w:ind w:firstLine="480" w:firstLineChars="200"/>
              <w:rPr>
                <w:color w:val="auto"/>
              </w:rPr>
            </w:pPr>
            <w:r>
              <w:rPr>
                <w:color w:val="auto"/>
              </w:rPr>
              <w:t>人工湿地是一个综合的生态系统，只要地形条件不是非常苛刻，几乎不消耗能量。它应用生态系统中物种共生、物质循环再生原理，结构与功能协调原则，在促进废水中污染物质良性循环的前提下，充分发挥资源的生产潜力，防止环境的再污染，获得污水处理与资源化的最佳效益。其建造和运行费用便宜，易于维护，技术含量低。但是人工湿地系统由于本身性质决定，处理负荷很低，导致占地面积非常大。</w:t>
            </w:r>
          </w:p>
          <w:p>
            <w:pPr>
              <w:adjustRightInd w:val="0"/>
              <w:snapToGrid w:val="0"/>
              <w:spacing w:line="360" w:lineRule="auto"/>
              <w:ind w:firstLine="480" w:firstLineChars="200"/>
              <w:rPr>
                <w:color w:val="auto"/>
              </w:rPr>
            </w:pPr>
            <w:r>
              <w:rPr>
                <w:color w:val="auto"/>
              </w:rPr>
              <w:t>（3）稳定塘</w:t>
            </w:r>
          </w:p>
          <w:p>
            <w:pPr>
              <w:adjustRightInd w:val="0"/>
              <w:snapToGrid w:val="0"/>
              <w:spacing w:line="360" w:lineRule="auto"/>
              <w:ind w:firstLine="480" w:firstLineChars="200"/>
              <w:rPr>
                <w:color w:val="auto"/>
              </w:rPr>
            </w:pPr>
            <w:r>
              <w:rPr>
                <w:color w:val="auto"/>
              </w:rPr>
              <w:t>稳定塘旧称氧化塘或生物塘，是一种利用天然净化能力对污水进行处理的构筑物的总称。其净化过程与自然水体的自净过程相似。通常是就将土地进行适当的人工修整，建成池塘，并设置围堤和防渗层，依靠塘内生长的微生物来处理污水。主要利用菌藻的共同作用处理废水中的有机污染物。</w:t>
            </w:r>
          </w:p>
          <w:p>
            <w:pPr>
              <w:adjustRightInd w:val="0"/>
              <w:snapToGrid w:val="0"/>
              <w:spacing w:line="360" w:lineRule="auto"/>
              <w:ind w:firstLine="480" w:firstLineChars="200"/>
              <w:rPr>
                <w:color w:val="auto"/>
              </w:rPr>
            </w:pPr>
            <w:r>
              <w:rPr>
                <w:color w:val="auto"/>
              </w:rPr>
              <w:t>（4）MBR一体化处理技术：</w:t>
            </w:r>
          </w:p>
          <w:p>
            <w:pPr>
              <w:adjustRightInd w:val="0"/>
              <w:snapToGrid w:val="0"/>
              <w:spacing w:line="360" w:lineRule="auto"/>
              <w:ind w:firstLine="480" w:firstLineChars="200"/>
              <w:rPr>
                <w:color w:val="auto"/>
              </w:rPr>
            </w:pPr>
            <w:r>
              <w:rPr>
                <w:color w:val="auto"/>
              </w:rPr>
              <w:t>MBR一体化污水处理设备其核心技术为浸没式超滤技术（MBR），它是膜分离技术与生物技术有机结合的新型废水处理技术，也称膜分离活性污泥法。它利用膜分离设备将生化反应池中的活性污泥和大分子有机物质截留住，水力停留时间（HRT）和污泥停留时间（SRT）可以分别控制，而难降解的物质在反应器中不断反应、降解。一方面，膜截留了反应池中的微生物，使用池中的活性污泥浓度大大增加，使降解污水的生化反应进行得更迅速更彻底，另一方面，由于膜的高过滤精度，保证了出水清澈透明从而节省了二次沉因此，MBR工艺通过膜分离技术大大强化了生物反应器的功能。与传统的生物处理方法相比，具有生化效率高、抗负荷冲击能力强、出水水质稳定、占地面积小、排泥周期长、易实现自动控制等优点，是目前最有前途的废水处理新技术之一。</w:t>
            </w:r>
          </w:p>
          <w:p>
            <w:pPr>
              <w:adjustRightInd w:val="0"/>
              <w:snapToGrid w:val="0"/>
              <w:spacing w:line="360" w:lineRule="auto"/>
              <w:ind w:firstLine="480" w:firstLineChars="200"/>
              <w:rPr>
                <w:color w:val="auto"/>
              </w:rPr>
            </w:pPr>
            <w:r>
              <w:rPr>
                <w:color w:val="auto"/>
              </w:rPr>
              <w:t>具体原理图如下：</w:t>
            </w:r>
          </w:p>
          <w:p>
            <w:pPr>
              <w:pStyle w:val="2"/>
              <w:ind w:left="480" w:firstLine="560"/>
              <w:rPr>
                <w:rFonts w:hint="default" w:ascii="Times New Roman" w:hAnsi="Times New Roman"/>
                <w:color w:val="auto"/>
                <w:sz w:val="28"/>
                <w:szCs w:val="30"/>
              </w:rPr>
            </w:pPr>
            <w:r>
              <w:rPr>
                <w:rFonts w:hint="default" w:ascii="Times New Roman" w:hAnsi="Times New Roman"/>
                <w:color w:val="auto"/>
                <w:sz w:val="28"/>
                <w:szCs w:val="30"/>
              </w:rPr>
              <w:drawing>
                <wp:inline distT="0" distB="0" distL="114300" distR="114300">
                  <wp:extent cx="4069080" cy="1965960"/>
                  <wp:effectExtent l="0" t="0" r="7620" b="15240"/>
                  <wp:docPr id="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3"/>
                          <pic:cNvPicPr>
                            <a:picLocks noChangeAspect="1"/>
                          </pic:cNvPicPr>
                        </pic:nvPicPr>
                        <pic:blipFill>
                          <a:blip r:embed="rId30"/>
                          <a:stretch>
                            <a:fillRect/>
                          </a:stretch>
                        </pic:blipFill>
                        <pic:spPr>
                          <a:xfrm>
                            <a:off x="0" y="0"/>
                            <a:ext cx="4069080" cy="1965960"/>
                          </a:xfrm>
                          <a:prstGeom prst="rect">
                            <a:avLst/>
                          </a:prstGeom>
                          <a:noFill/>
                          <a:ln>
                            <a:noFill/>
                          </a:ln>
                        </pic:spPr>
                      </pic:pic>
                    </a:graphicData>
                  </a:graphic>
                </wp:inline>
              </w:drawing>
            </w:r>
          </w:p>
          <w:p>
            <w:pPr>
              <w:ind w:firstLine="480" w:firstLineChars="200"/>
              <w:jc w:val="center"/>
              <w:rPr>
                <w:rFonts w:eastAsia="黑体"/>
                <w:color w:val="auto"/>
              </w:rPr>
            </w:pPr>
            <w:r>
              <w:rPr>
                <w:rFonts w:eastAsia="黑体"/>
                <w:color w:val="auto"/>
              </w:rPr>
              <w:t>图5-2  MBR一体化污水处理设备原理图</w:t>
            </w:r>
          </w:p>
          <w:p>
            <w:pPr>
              <w:adjustRightInd w:val="0"/>
              <w:snapToGrid w:val="0"/>
              <w:spacing w:line="360" w:lineRule="auto"/>
              <w:ind w:firstLine="480" w:firstLineChars="200"/>
              <w:rPr>
                <w:color w:val="auto"/>
              </w:rPr>
            </w:pPr>
            <w:r>
              <w:rPr>
                <w:color w:val="auto"/>
              </w:rPr>
              <w:t>污水进入MBR系统。A区为兼氧区，放置填料，并与活性污泥进行充分接触。O区为好氧区，放置膜组器，使用PVDF膜将活性污泥和大分子有机物质截留住，省掉二沉池。活性污泥浓度因此大大提高，水力停留时间和污泥停留时间可以分别控制，而难降解的物质在反应器中不断降解。进一步处理之后，被处理水可以达标排放或回用。此外，输送到MBR系统中的空气也是处理过程中非常重要的一部分，它可以促进反应器中流体的循环流动，提高活性污泥的降解效率，还可以使中空纤维膜膜丝之间发生相互摩擦，清洁膜组件。</w:t>
            </w:r>
          </w:p>
          <w:p>
            <w:pPr>
              <w:adjustRightInd w:val="0"/>
              <w:snapToGrid w:val="0"/>
              <w:spacing w:line="360" w:lineRule="auto"/>
              <w:ind w:firstLine="480" w:firstLineChars="200"/>
              <w:rPr>
                <w:color w:val="auto"/>
              </w:rPr>
            </w:pPr>
            <w:r>
              <w:rPr>
                <w:color w:val="auto"/>
              </w:rPr>
              <w:t>（5）A</w:t>
            </w:r>
            <w:r>
              <w:rPr>
                <w:color w:val="auto"/>
                <w:vertAlign w:val="superscript"/>
              </w:rPr>
              <w:t>2</w:t>
            </w:r>
            <w:r>
              <w:rPr>
                <w:bCs/>
                <w:color w:val="auto"/>
              </w:rPr>
              <w:t>/</w:t>
            </w:r>
            <w:r>
              <w:rPr>
                <w:color w:val="auto"/>
              </w:rPr>
              <w:t>O工艺</w:t>
            </w:r>
          </w:p>
          <w:p>
            <w:pPr>
              <w:adjustRightInd w:val="0"/>
              <w:snapToGrid w:val="0"/>
              <w:spacing w:line="360" w:lineRule="auto"/>
              <w:ind w:firstLine="480" w:firstLineChars="200"/>
              <w:rPr>
                <w:color w:val="auto"/>
              </w:rPr>
            </w:pPr>
            <w:r>
              <w:rPr>
                <w:color w:val="auto"/>
              </w:rPr>
              <w:t>A</w:t>
            </w:r>
            <w:r>
              <w:rPr>
                <w:color w:val="auto"/>
                <w:vertAlign w:val="superscript"/>
              </w:rPr>
              <w:t>2</w:t>
            </w:r>
            <w:r>
              <w:rPr>
                <w:bCs/>
                <w:color w:val="auto"/>
              </w:rPr>
              <w:t>/</w:t>
            </w:r>
            <w:r>
              <w:rPr>
                <w:color w:val="auto"/>
              </w:rPr>
              <w:t>O工艺又称AAO工艺，即厌氧—缺氧—好氧活性污泥法。AAO工艺是通过活性污泥在缺氧和好氧、厌氧和好氧交替变化的环境下完成脱氮除磷反应的工艺。在厌氧条件下，回流污泥中的聚磷菌受到抑制，只能释放体内的磷酸盐获取能量，以吸收污水中的可快速生化降解的溶解性有机物来维持生存，并在细胞内将有机物转化成聚β羟丁酸（PHB）贮存起来，在这个过程中完成磷的厌氧释放；在缺氧条件下，反硝化菌利用污水中的有机碳作为电子供体，以硝酸盐作为电子受体进行“无氧呼吸”，将回流液中硝态氮还原成氮气释放出来，完成反硝化过程；而在好氧条件下，一方面聚磷菌将体内的PHB进行好氧分解，释放的能量用于细胞合成、增殖和吸收污水中的磷合成聚磷酸盐，随剩余污泥排出系统，从而实现污水的除磷，另一方面硝化菌把污水中的氨氮氧化成硝酸盐；再向缺氧池回流，为脱氮作好必要的准备。</w:t>
            </w:r>
          </w:p>
          <w:p>
            <w:pPr>
              <w:pStyle w:val="2"/>
              <w:ind w:left="0" w:leftChars="0" w:firstLine="0" w:firstLineChars="0"/>
              <w:jc w:val="center"/>
              <w:rPr>
                <w:rFonts w:hint="default" w:ascii="Times New Roman" w:hAnsi="Times New Roman"/>
                <w:color w:val="auto"/>
                <w:sz w:val="28"/>
                <w:szCs w:val="30"/>
              </w:rPr>
            </w:pPr>
            <w:r>
              <w:rPr>
                <w:rFonts w:hint="default" w:ascii="Times New Roman" w:hAnsi="Times New Roman"/>
                <w:color w:val="auto"/>
                <w:spacing w:val="-4"/>
                <w:sz w:val="28"/>
                <w:szCs w:val="30"/>
              </w:rPr>
              <w:drawing>
                <wp:inline distT="0" distB="0" distL="114300" distR="114300">
                  <wp:extent cx="5273040" cy="1699895"/>
                  <wp:effectExtent l="0" t="0" r="3810" b="14605"/>
                  <wp:docPr id="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4"/>
                          <pic:cNvPicPr>
                            <a:picLocks noChangeAspect="1"/>
                          </pic:cNvPicPr>
                        </pic:nvPicPr>
                        <pic:blipFill>
                          <a:blip r:embed="rId31"/>
                          <a:stretch>
                            <a:fillRect/>
                          </a:stretch>
                        </pic:blipFill>
                        <pic:spPr>
                          <a:xfrm>
                            <a:off x="0" y="0"/>
                            <a:ext cx="5273040" cy="1699895"/>
                          </a:xfrm>
                          <a:prstGeom prst="rect">
                            <a:avLst/>
                          </a:prstGeom>
                          <a:noFill/>
                          <a:ln>
                            <a:noFill/>
                          </a:ln>
                        </pic:spPr>
                      </pic:pic>
                    </a:graphicData>
                  </a:graphic>
                </wp:inline>
              </w:drawing>
            </w:r>
          </w:p>
          <w:p>
            <w:pPr>
              <w:pStyle w:val="9"/>
              <w:spacing w:line="360" w:lineRule="auto"/>
              <w:ind w:firstLine="0" w:firstLineChars="0"/>
              <w:jc w:val="center"/>
              <w:rPr>
                <w:rFonts w:ascii="Times New Roman" w:hAnsi="Times New Roman" w:cs="Times New Roman"/>
                <w:bCs/>
                <w:color w:val="auto"/>
                <w:sz w:val="24"/>
                <w:szCs w:val="24"/>
              </w:rPr>
            </w:pPr>
            <w:r>
              <w:rPr>
                <w:rFonts w:ascii="Times New Roman" w:hAnsi="Times New Roman" w:cs="Times New Roman"/>
                <w:bCs/>
                <w:color w:val="auto"/>
                <w:sz w:val="24"/>
                <w:szCs w:val="24"/>
              </w:rPr>
              <w:t>图5-3  A</w:t>
            </w:r>
            <w:r>
              <w:rPr>
                <w:rFonts w:ascii="Times New Roman" w:hAnsi="Times New Roman" w:cs="Times New Roman"/>
                <w:bCs/>
                <w:color w:val="auto"/>
                <w:sz w:val="24"/>
                <w:szCs w:val="24"/>
                <w:vertAlign w:val="superscript"/>
              </w:rPr>
              <w:t>2</w:t>
            </w:r>
            <w:r>
              <w:rPr>
                <w:rFonts w:ascii="Times New Roman" w:hAnsi="Times New Roman" w:cs="Times New Roman"/>
                <w:bCs/>
                <w:color w:val="auto"/>
                <w:sz w:val="24"/>
                <w:szCs w:val="24"/>
              </w:rPr>
              <w:t>/O工艺流程简示图</w:t>
            </w:r>
          </w:p>
          <w:p>
            <w:pPr>
              <w:adjustRightInd w:val="0"/>
              <w:snapToGrid w:val="0"/>
              <w:spacing w:line="360" w:lineRule="auto"/>
              <w:ind w:firstLine="480" w:firstLineChars="200"/>
              <w:rPr>
                <w:color w:val="auto"/>
              </w:rPr>
            </w:pPr>
            <w:r>
              <w:rPr>
                <w:color w:val="auto"/>
              </w:rPr>
              <w:t>（6）曝气生物滤池</w:t>
            </w:r>
          </w:p>
          <w:p>
            <w:pPr>
              <w:adjustRightInd w:val="0"/>
              <w:snapToGrid w:val="0"/>
              <w:spacing w:line="360" w:lineRule="auto"/>
              <w:ind w:firstLine="480" w:firstLineChars="200"/>
              <w:rPr>
                <w:color w:val="auto"/>
              </w:rPr>
            </w:pPr>
            <w:r>
              <w:rPr>
                <w:color w:val="auto"/>
              </w:rPr>
              <w:t>生物滤池作为生物处理主工艺，是国际上80年代开发的应用于废水二级处理和深度处理的先进工艺，尤其适用于废水深度处理工艺。其技术特征是在床体内填充特殊的粘土烧制的球形陶粒填料，具有巨大的比表面积，可附着很大的生物量。生物滤池同时具有生物氧化降解和过滤的作用，因而可获得高品质的出水水质，其出水可达到回用水水质标准。一般来说，对生活污水，二级处理即可达到普通工艺三级处理的水平。</w:t>
            </w:r>
          </w:p>
          <w:p>
            <w:pPr>
              <w:adjustRightInd w:val="0"/>
              <w:snapToGrid w:val="0"/>
              <w:spacing w:line="360" w:lineRule="auto"/>
              <w:ind w:firstLine="480" w:firstLineChars="200"/>
              <w:rPr>
                <w:color w:val="auto"/>
              </w:rPr>
            </w:pPr>
            <w:r>
              <w:rPr>
                <w:color w:val="auto"/>
              </w:rPr>
              <w:t>曝气生物滤池（Biological Aeration Filtration），就是在生物滤池处理装置中设置填料，通过人为供氧，使填料上生长大量的微生物。曝气生物滤池由滤床、布气装置、布水装置、排水装置等组成。曝气装置采用配套专用曝气头，产生的中小气泡经填料反复切割，达到接近微控曝气的效果。由于反应池内污泥浓度高，处理设施紧凑，可大大节省占地面积，减少反应时间。</w:t>
            </w:r>
          </w:p>
          <w:p>
            <w:pPr>
              <w:adjustRightInd w:val="0"/>
              <w:snapToGrid w:val="0"/>
              <w:spacing w:line="360" w:lineRule="auto"/>
              <w:ind w:firstLine="480" w:firstLineChars="200"/>
              <w:rPr>
                <w:color w:val="auto"/>
              </w:rPr>
            </w:pPr>
            <w:r>
              <w:rPr>
                <w:color w:val="auto"/>
              </w:rPr>
              <w:t>（7）SBR（序批式活性污泥法）工艺</w:t>
            </w:r>
          </w:p>
          <w:p>
            <w:pPr>
              <w:adjustRightInd w:val="0"/>
              <w:snapToGrid w:val="0"/>
              <w:spacing w:line="360" w:lineRule="auto"/>
              <w:ind w:firstLine="480" w:firstLineChars="200"/>
              <w:rPr>
                <w:color w:val="auto"/>
              </w:rPr>
            </w:pPr>
            <w:r>
              <w:rPr>
                <w:color w:val="auto"/>
              </w:rPr>
              <w:t>SBR是序批式活性污泥法的简称，是一种按间歇曝气方式来运行的活性污泥污水处理技术。它的主要特征是在运行上的有序和间歇操作，SBR技术的核心是SBR反应池，该池集均化、初沉、生物降解、二沉等功能于一池，无污泥回流系统。尤其适用于间歇排放和流量变化较大的场合。</w:t>
            </w:r>
          </w:p>
          <w:p>
            <w:pPr>
              <w:adjustRightInd w:val="0"/>
              <w:snapToGrid w:val="0"/>
              <w:spacing w:line="360" w:lineRule="auto"/>
              <w:ind w:firstLine="480" w:firstLineChars="200"/>
              <w:rPr>
                <w:color w:val="auto"/>
              </w:rPr>
            </w:pPr>
            <w:r>
              <w:rPr>
                <w:color w:val="auto"/>
              </w:rPr>
              <w:t>SBR工作过程是：在较短的时间内把污水加入到反应器中，并在反应器充满水后开始曝气，污水里的有机物通过生物降解达到排故要求后停止曝气，沉淀一定时间将上清液排出。上述过程可概括为：短时间进水——曝气反应——沉淀——短时间排水——进入下一个工作周期，也可称为进水阶段——加入底物、反应阶段——底物降解、沉淀阶段——固液分离、排水阶段——排上清液和待机阶段——活性恢复五个阶段。</w:t>
            </w:r>
          </w:p>
          <w:p>
            <w:pPr>
              <w:adjustRightInd w:val="0"/>
              <w:snapToGrid w:val="0"/>
              <w:spacing w:line="360" w:lineRule="auto"/>
              <w:ind w:firstLine="480" w:firstLineChars="200"/>
              <w:rPr>
                <w:color w:val="auto"/>
              </w:rPr>
            </w:pPr>
            <w:r>
              <w:rPr>
                <w:color w:val="auto"/>
              </w:rPr>
              <w:t>进水阶段：指从向反应器开始进水至到达反应器最大容积时的一段时间。进水阶段所用时间需根据实际排水情况和设备条件确定.在进水阶段，曝气池在一定程度上起到均衡污水水质、水量的作用，因而，阳R对水质、水量的波动有一定的适应性。在此期间可分为三种情况：曝气（好氧反应）、搅拌（厌氧反应）及静置。在曝气的情况下有机物在进水过程中已经开始被大量氧化，在搅拌的情况下则抑制好氧反应。对应这三种方式就是非限制曝气、半限制曝气和限制曝气。运行时可根据不同微生物的生长特点、废水的特性和要达到的处理目标，采用非限制曝气、半限制曝气和限制曝气方式进水。通过控制进水阶段的环境，就实现了在反应器不变的情况下完成多种处理功能。而连续流中由于各构筑物和水泵的大小规格已定，改变反应时间和反应条件是困难的。</w:t>
            </w:r>
          </w:p>
          <w:p>
            <w:pPr>
              <w:adjustRightInd w:val="0"/>
              <w:snapToGrid w:val="0"/>
              <w:spacing w:line="360" w:lineRule="auto"/>
              <w:ind w:firstLine="480" w:firstLineChars="200"/>
              <w:rPr>
                <w:color w:val="auto"/>
              </w:rPr>
            </w:pPr>
            <w:r>
              <w:rPr>
                <w:color w:val="auto"/>
              </w:rPr>
              <w:t>反应阶段：是SBR</w:t>
            </w:r>
            <w:r>
              <w:rPr>
                <w:rFonts w:hint="eastAsia"/>
                <w:color w:val="auto"/>
              </w:rPr>
              <w:t>工艺的</w:t>
            </w:r>
            <w:r>
              <w:rPr>
                <w:color w:val="auto"/>
              </w:rPr>
              <w:t>主要阶段，污染物在此阶段通过微生物的降解作用得以去除。根据污水处理的要求的不同，如仅去陈有机碳或同时脱氯陈磷等，可调整相应的技术参数，并可根据原水水质及排放标准具体情况确定反应阶段的时间及是否采用连续曝气的方式。</w:t>
            </w:r>
          </w:p>
          <w:p>
            <w:pPr>
              <w:adjustRightInd w:val="0"/>
              <w:snapToGrid w:val="0"/>
              <w:spacing w:line="360" w:lineRule="auto"/>
              <w:ind w:firstLine="480" w:firstLineChars="200"/>
              <w:rPr>
                <w:color w:val="auto"/>
              </w:rPr>
            </w:pPr>
            <w:r>
              <w:rPr>
                <w:color w:val="auto"/>
              </w:rPr>
              <w:t>沉淀阶段：沉淀的目的是固液分离,相当于传统活性污泥法的二次沉淀他的功能。停止曝气和搅拌，使混合液处于静止状态，完成泥水分离，静态沉淀的效果良好。经过沉淀后分离出的上清液即可排放,沉淀的目的是固液分离，污泥絮体和上清液分离。由于在沉淀时反应器内是完全静止的，在SBR系统中这个过程比在中效率更高。沉淀过程一般是由时间控制的，沉淀时间在0.5—1h之间，甚至可能达到2h，以便于下一个排水工序。污泥层要求保持在排水设备的下面，并且在排放完成之前不上升超过排水设备。随着测量仪器的发展，已经可自动监测污泥泥液面，因此可根据污泥沉阵性能而改变沉淀时间。可以预先在自动控制系统上设定一个值，一旦污泥界面计所监测到的污泥界面高皮达到该数值便可结束沉淀工序。</w:t>
            </w:r>
          </w:p>
          <w:p>
            <w:pPr>
              <w:adjustRightInd w:val="0"/>
              <w:snapToGrid w:val="0"/>
              <w:spacing w:line="360" w:lineRule="auto"/>
              <w:ind w:firstLine="480" w:firstLineChars="200"/>
              <w:rPr>
                <w:color w:val="auto"/>
              </w:rPr>
            </w:pPr>
            <w:r>
              <w:rPr>
                <w:color w:val="auto"/>
              </w:rPr>
              <w:t>排水阶段：主要目的是从反应器中排陈污泥的澄清液，一直恢复到循环开始时的最低水位，该水位离污泥层还要有一定的保护高度。反应器底部沉降下来的污泥大部分作为下一个周期的回流污泥，过剩的污泥可在排水阶段排除，也可在待机阶段排除。SBR排水一般采用滗水器。滗水所用的时间由滗水能力来决定，一般不会影响下面的污泥层。现在也可在沉淀的同时就开始排水，当然要控制好滗水速度以不影响沉淀为原则。这样就把沉淀和滗水两个阶段融合在一起。</w:t>
            </w:r>
          </w:p>
          <w:p>
            <w:pPr>
              <w:adjustRightInd w:val="0"/>
              <w:snapToGrid w:val="0"/>
              <w:spacing w:line="360" w:lineRule="auto"/>
              <w:ind w:firstLine="480" w:firstLineChars="200"/>
              <w:rPr>
                <w:color w:val="auto"/>
              </w:rPr>
            </w:pPr>
            <w:r>
              <w:rPr>
                <w:color w:val="auto"/>
              </w:rPr>
              <w:t>待机阶段：沉淀之后到下个周期开始的期间称为待机工序。根据需要可进行搅拌或瀑气。在多池系统中，待机的目的是在转向另一个单元前为一个反应器提供时间以完成它的整个周期。待机不是一个必需的步骤，可以去掉。在待机期间根据工艺和处理目的;可以进行曝气、混合、去除剩余污泥。待机期的长短由处理水量决定。排除剩余污泥是SBR运行中另一个重要步骤，它并不作为五个基本过程之一，这是因为排故剩余污泥的时间不确定。与传统的连续式系统一样，排除剩余污泥的量和频率由运行要求决定。</w:t>
            </w:r>
          </w:p>
          <w:p>
            <w:pPr>
              <w:pStyle w:val="56"/>
              <w:spacing w:before="120" w:after="120"/>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w:t>
            </w:r>
            <w:r>
              <w:rPr>
                <w:rFonts w:hint="eastAsia" w:ascii="Times New Roman" w:hAnsi="Times New Roman" w:eastAsia="黑体"/>
                <w:color w:val="auto"/>
                <w:spacing w:val="20"/>
                <w:sz w:val="24"/>
                <w:szCs w:val="24"/>
                <w:lang w:val="en-US" w:eastAsia="zh-CN"/>
              </w:rPr>
              <w:t>4</w:t>
            </w:r>
            <w:r>
              <w:rPr>
                <w:rFonts w:ascii="Times New Roman" w:hAnsi="Times New Roman" w:eastAsia="黑体"/>
                <w:color w:val="auto"/>
                <w:spacing w:val="20"/>
                <w:sz w:val="24"/>
                <w:szCs w:val="24"/>
              </w:rPr>
              <w:t xml:space="preserve">  污水处理站方案优缺点比较表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4678"/>
              <w:gridCol w:w="3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blHeader/>
                <w:jc w:val="center"/>
              </w:trPr>
              <w:tc>
                <w:tcPr>
                  <w:tcW w:w="1269" w:type="dxa"/>
                  <w:noWrap w:val="0"/>
                  <w:vAlign w:val="center"/>
                </w:tcPr>
                <w:p>
                  <w:pPr>
                    <w:snapToGrid w:val="0"/>
                    <w:contextualSpacing/>
                    <w:jc w:val="center"/>
                    <w:rPr>
                      <w:b/>
                      <w:color w:val="auto"/>
                      <w:sz w:val="21"/>
                      <w:szCs w:val="21"/>
                    </w:rPr>
                  </w:pPr>
                  <w:r>
                    <w:rPr>
                      <w:b/>
                      <w:color w:val="auto"/>
                      <w:sz w:val="21"/>
                      <w:szCs w:val="21"/>
                    </w:rPr>
                    <w:t>工艺名称</w:t>
                  </w:r>
                </w:p>
              </w:tc>
              <w:tc>
                <w:tcPr>
                  <w:tcW w:w="4678" w:type="dxa"/>
                  <w:noWrap w:val="0"/>
                  <w:vAlign w:val="center"/>
                </w:tcPr>
                <w:p>
                  <w:pPr>
                    <w:snapToGrid w:val="0"/>
                    <w:contextualSpacing/>
                    <w:jc w:val="center"/>
                    <w:rPr>
                      <w:b/>
                      <w:color w:val="auto"/>
                      <w:sz w:val="21"/>
                      <w:szCs w:val="21"/>
                    </w:rPr>
                  </w:pPr>
                  <w:r>
                    <w:rPr>
                      <w:b/>
                      <w:color w:val="auto"/>
                      <w:sz w:val="21"/>
                      <w:szCs w:val="21"/>
                    </w:rPr>
                    <w:t>优点</w:t>
                  </w:r>
                </w:p>
              </w:tc>
              <w:tc>
                <w:tcPr>
                  <w:tcW w:w="3111" w:type="dxa"/>
                  <w:noWrap w:val="0"/>
                  <w:vAlign w:val="center"/>
                </w:tcPr>
                <w:p>
                  <w:pPr>
                    <w:snapToGrid w:val="0"/>
                    <w:contextualSpacing/>
                    <w:jc w:val="center"/>
                    <w:rPr>
                      <w:b/>
                      <w:color w:val="auto"/>
                      <w:sz w:val="21"/>
                      <w:szCs w:val="21"/>
                    </w:rPr>
                  </w:pPr>
                  <w:r>
                    <w:rPr>
                      <w:b/>
                      <w:color w:val="auto"/>
                      <w:sz w:val="21"/>
                      <w:szCs w:val="21"/>
                    </w:rPr>
                    <w:t>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269" w:type="dxa"/>
                  <w:noWrap w:val="0"/>
                  <w:vAlign w:val="center"/>
                </w:tcPr>
                <w:p>
                  <w:pPr>
                    <w:contextualSpacing/>
                    <w:jc w:val="center"/>
                    <w:rPr>
                      <w:color w:val="auto"/>
                      <w:sz w:val="21"/>
                      <w:szCs w:val="21"/>
                    </w:rPr>
                  </w:pPr>
                  <w:r>
                    <w:rPr>
                      <w:color w:val="auto"/>
                      <w:sz w:val="21"/>
                      <w:szCs w:val="21"/>
                    </w:rPr>
                    <w:t>厌氧池、人工湿地</w:t>
                  </w:r>
                </w:p>
              </w:tc>
              <w:tc>
                <w:tcPr>
                  <w:tcW w:w="4678" w:type="dxa"/>
                  <w:noWrap w:val="0"/>
                  <w:vAlign w:val="center"/>
                </w:tcPr>
                <w:p>
                  <w:pPr>
                    <w:contextualSpacing/>
                    <w:rPr>
                      <w:color w:val="auto"/>
                      <w:sz w:val="21"/>
                      <w:szCs w:val="21"/>
                    </w:rPr>
                  </w:pPr>
                  <w:r>
                    <w:rPr>
                      <w:color w:val="auto"/>
                      <w:sz w:val="21"/>
                      <w:szCs w:val="21"/>
                    </w:rPr>
                    <w:t>1.建造和运行费用便宜；</w:t>
                  </w:r>
                </w:p>
                <w:p>
                  <w:pPr>
                    <w:contextualSpacing/>
                    <w:rPr>
                      <w:color w:val="auto"/>
                      <w:sz w:val="21"/>
                      <w:szCs w:val="21"/>
                    </w:rPr>
                  </w:pPr>
                  <w:r>
                    <w:rPr>
                      <w:color w:val="auto"/>
                      <w:sz w:val="21"/>
                      <w:szCs w:val="21"/>
                    </w:rPr>
                    <w:t>2.易于维护,技术含量低；</w:t>
                  </w:r>
                </w:p>
                <w:p>
                  <w:pPr>
                    <w:contextualSpacing/>
                    <w:rPr>
                      <w:color w:val="auto"/>
                      <w:sz w:val="21"/>
                      <w:szCs w:val="21"/>
                    </w:rPr>
                  </w:pPr>
                  <w:r>
                    <w:rPr>
                      <w:color w:val="auto"/>
                      <w:sz w:val="21"/>
                      <w:szCs w:val="21"/>
                    </w:rPr>
                    <w:t>3.可进行有效可靠的废水处理；</w:t>
                  </w:r>
                </w:p>
                <w:p>
                  <w:pPr>
                    <w:contextualSpacing/>
                    <w:rPr>
                      <w:color w:val="auto"/>
                      <w:sz w:val="21"/>
                      <w:szCs w:val="21"/>
                    </w:rPr>
                  </w:pPr>
                  <w:r>
                    <w:rPr>
                      <w:color w:val="auto"/>
                      <w:sz w:val="21"/>
                      <w:szCs w:val="21"/>
                    </w:rPr>
                    <w:t>4.可缓冲对水力和污染负荷的冲击；</w:t>
                  </w:r>
                </w:p>
                <w:p>
                  <w:pPr>
                    <w:contextualSpacing/>
                    <w:rPr>
                      <w:color w:val="auto"/>
                      <w:sz w:val="21"/>
                      <w:szCs w:val="21"/>
                    </w:rPr>
                  </w:pPr>
                  <w:r>
                    <w:rPr>
                      <w:color w:val="auto"/>
                      <w:sz w:val="21"/>
                      <w:szCs w:val="21"/>
                    </w:rPr>
                    <w:t>5.可提供和间接提供效益,如水产、畜产、造纸原料、建材、绿化、野生动物栖息、娱乐和教育。</w:t>
                  </w:r>
                </w:p>
              </w:tc>
              <w:tc>
                <w:tcPr>
                  <w:tcW w:w="3111" w:type="dxa"/>
                  <w:noWrap w:val="0"/>
                  <w:vAlign w:val="center"/>
                </w:tcPr>
                <w:p>
                  <w:pPr>
                    <w:autoSpaceDE w:val="0"/>
                    <w:autoSpaceDN w:val="0"/>
                    <w:adjustRightInd w:val="0"/>
                    <w:rPr>
                      <w:color w:val="auto"/>
                      <w:sz w:val="21"/>
                      <w:szCs w:val="21"/>
                    </w:rPr>
                  </w:pPr>
                  <w:r>
                    <w:rPr>
                      <w:color w:val="auto"/>
                      <w:kern w:val="0"/>
                      <w:sz w:val="21"/>
                      <w:szCs w:val="21"/>
                    </w:rPr>
                    <w:t>占地面积大。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1269" w:type="dxa"/>
                  <w:noWrap w:val="0"/>
                  <w:vAlign w:val="center"/>
                </w:tcPr>
                <w:p>
                  <w:pPr>
                    <w:contextualSpacing/>
                    <w:jc w:val="center"/>
                    <w:rPr>
                      <w:color w:val="auto"/>
                      <w:sz w:val="21"/>
                      <w:szCs w:val="21"/>
                    </w:rPr>
                  </w:pPr>
                  <w:r>
                    <w:rPr>
                      <w:color w:val="auto"/>
                      <w:sz w:val="21"/>
                      <w:szCs w:val="21"/>
                    </w:rPr>
                    <w:t>稳定塘/氧化沟</w:t>
                  </w:r>
                </w:p>
              </w:tc>
              <w:tc>
                <w:tcPr>
                  <w:tcW w:w="4678" w:type="dxa"/>
                  <w:noWrap w:val="0"/>
                  <w:vAlign w:val="center"/>
                </w:tcPr>
                <w:p>
                  <w:pPr>
                    <w:contextualSpacing/>
                    <w:rPr>
                      <w:color w:val="auto"/>
                      <w:sz w:val="21"/>
                      <w:szCs w:val="21"/>
                    </w:rPr>
                  </w:pPr>
                  <w:r>
                    <w:rPr>
                      <w:color w:val="auto"/>
                      <w:sz w:val="21"/>
                      <w:szCs w:val="21"/>
                    </w:rPr>
                    <w:t>1.工艺流程简单，构筑物少，运行管理方便；</w:t>
                  </w:r>
                </w:p>
                <w:p>
                  <w:pPr>
                    <w:contextualSpacing/>
                    <w:rPr>
                      <w:color w:val="auto"/>
                      <w:sz w:val="21"/>
                      <w:szCs w:val="21"/>
                    </w:rPr>
                  </w:pPr>
                  <w:r>
                    <w:rPr>
                      <w:color w:val="auto"/>
                      <w:sz w:val="21"/>
                      <w:szCs w:val="21"/>
                    </w:rPr>
                    <w:t>2.曝气设备和构造形式多样化、运行灵活；</w:t>
                  </w:r>
                </w:p>
                <w:p>
                  <w:pPr>
                    <w:contextualSpacing/>
                    <w:rPr>
                      <w:color w:val="auto"/>
                      <w:sz w:val="21"/>
                      <w:szCs w:val="21"/>
                    </w:rPr>
                  </w:pPr>
                  <w:r>
                    <w:rPr>
                      <w:color w:val="auto"/>
                      <w:sz w:val="21"/>
                      <w:szCs w:val="21"/>
                    </w:rPr>
                    <w:t>3.处理效果稳定、出水水质好，并可实现脱氮；</w:t>
                  </w:r>
                </w:p>
                <w:p>
                  <w:pPr>
                    <w:contextualSpacing/>
                    <w:rPr>
                      <w:color w:val="auto"/>
                      <w:sz w:val="21"/>
                      <w:szCs w:val="21"/>
                    </w:rPr>
                  </w:pPr>
                  <w:r>
                    <w:rPr>
                      <w:color w:val="auto"/>
                      <w:sz w:val="21"/>
                      <w:szCs w:val="21"/>
                    </w:rPr>
                    <w:t>4.能承受水量、水质冲击负荷，对高浓度工业废水有大的稀释能力。</w:t>
                  </w:r>
                </w:p>
              </w:tc>
              <w:tc>
                <w:tcPr>
                  <w:tcW w:w="3111" w:type="dxa"/>
                  <w:noWrap w:val="0"/>
                  <w:vAlign w:val="center"/>
                </w:tcPr>
                <w:p>
                  <w:pPr>
                    <w:contextualSpacing/>
                    <w:rPr>
                      <w:color w:val="auto"/>
                      <w:sz w:val="21"/>
                      <w:szCs w:val="21"/>
                    </w:rPr>
                  </w:pPr>
                  <w:r>
                    <w:rPr>
                      <w:color w:val="auto"/>
                      <w:sz w:val="21"/>
                      <w:szCs w:val="21"/>
                    </w:rPr>
                    <w:t>1.投资和运行成本高；</w:t>
                  </w:r>
                </w:p>
                <w:p>
                  <w:pPr>
                    <w:contextualSpacing/>
                    <w:rPr>
                      <w:color w:val="auto"/>
                      <w:sz w:val="21"/>
                      <w:szCs w:val="21"/>
                    </w:rPr>
                  </w:pPr>
                  <w:r>
                    <w:rPr>
                      <w:color w:val="auto"/>
                      <w:sz w:val="21"/>
                      <w:szCs w:val="21"/>
                    </w:rPr>
                    <w:t>2.充氧设备要求高，动力消耗大；</w:t>
                  </w:r>
                </w:p>
                <w:p>
                  <w:pPr>
                    <w:contextualSpacing/>
                    <w:rPr>
                      <w:color w:val="auto"/>
                      <w:sz w:val="21"/>
                      <w:szCs w:val="21"/>
                    </w:rPr>
                  </w:pPr>
                  <w:r>
                    <w:rPr>
                      <w:color w:val="auto"/>
                      <w:sz w:val="21"/>
                      <w:szCs w:val="21"/>
                    </w:rPr>
                    <w:t>3.设备数量多，维护工作量大。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269" w:type="dxa"/>
                  <w:noWrap w:val="0"/>
                  <w:vAlign w:val="center"/>
                </w:tcPr>
                <w:p>
                  <w:pPr>
                    <w:snapToGrid w:val="0"/>
                    <w:contextualSpacing/>
                    <w:jc w:val="center"/>
                    <w:rPr>
                      <w:color w:val="auto"/>
                      <w:sz w:val="21"/>
                      <w:szCs w:val="21"/>
                    </w:rPr>
                  </w:pPr>
                  <w:r>
                    <w:rPr>
                      <w:color w:val="auto"/>
                      <w:sz w:val="21"/>
                      <w:szCs w:val="21"/>
                    </w:rPr>
                    <w:t>MBR一体化污水处理设备</w:t>
                  </w:r>
                </w:p>
              </w:tc>
              <w:tc>
                <w:tcPr>
                  <w:tcW w:w="4678" w:type="dxa"/>
                  <w:noWrap w:val="0"/>
                  <w:vAlign w:val="center"/>
                </w:tcPr>
                <w:p>
                  <w:pPr>
                    <w:autoSpaceDE w:val="0"/>
                    <w:autoSpaceDN w:val="0"/>
                    <w:adjustRightInd w:val="0"/>
                    <w:contextualSpacing/>
                    <w:rPr>
                      <w:color w:val="auto"/>
                      <w:kern w:val="0"/>
                      <w:sz w:val="21"/>
                      <w:szCs w:val="21"/>
                    </w:rPr>
                  </w:pPr>
                  <w:r>
                    <w:rPr>
                      <w:color w:val="auto"/>
                      <w:kern w:val="0"/>
                      <w:sz w:val="21"/>
                      <w:szCs w:val="21"/>
                    </w:rPr>
                    <w:t>1.处理效果优良，技术成熟，效果稳定，被大多数地方推广使用；</w:t>
                  </w:r>
                </w:p>
                <w:p>
                  <w:pPr>
                    <w:autoSpaceDE w:val="0"/>
                    <w:autoSpaceDN w:val="0"/>
                    <w:adjustRightInd w:val="0"/>
                    <w:contextualSpacing/>
                    <w:rPr>
                      <w:color w:val="auto"/>
                      <w:kern w:val="0"/>
                      <w:sz w:val="21"/>
                      <w:szCs w:val="21"/>
                    </w:rPr>
                  </w:pPr>
                  <w:r>
                    <w:rPr>
                      <w:color w:val="auto"/>
                      <w:kern w:val="0"/>
                      <w:sz w:val="21"/>
                      <w:szCs w:val="21"/>
                    </w:rPr>
                    <w:t>2.无需深度处理；</w:t>
                  </w:r>
                </w:p>
                <w:p>
                  <w:pPr>
                    <w:autoSpaceDE w:val="0"/>
                    <w:autoSpaceDN w:val="0"/>
                    <w:adjustRightInd w:val="0"/>
                    <w:contextualSpacing/>
                    <w:rPr>
                      <w:color w:val="auto"/>
                      <w:kern w:val="0"/>
                      <w:sz w:val="21"/>
                      <w:szCs w:val="21"/>
                    </w:rPr>
                  </w:pPr>
                  <w:r>
                    <w:rPr>
                      <w:color w:val="auto"/>
                      <w:kern w:val="0"/>
                      <w:sz w:val="21"/>
                      <w:szCs w:val="21"/>
                    </w:rPr>
                    <w:t>3.占地面积小，节省资源；</w:t>
                  </w:r>
                </w:p>
                <w:p>
                  <w:pPr>
                    <w:autoSpaceDE w:val="0"/>
                    <w:autoSpaceDN w:val="0"/>
                    <w:adjustRightInd w:val="0"/>
                    <w:contextualSpacing/>
                    <w:rPr>
                      <w:color w:val="auto"/>
                      <w:kern w:val="0"/>
                      <w:sz w:val="21"/>
                      <w:szCs w:val="21"/>
                    </w:rPr>
                  </w:pPr>
                  <w:r>
                    <w:rPr>
                      <w:color w:val="auto"/>
                      <w:kern w:val="0"/>
                      <w:sz w:val="21"/>
                      <w:szCs w:val="21"/>
                    </w:rPr>
                    <w:t>4.自动化程度高；</w:t>
                  </w:r>
                </w:p>
                <w:p>
                  <w:pPr>
                    <w:autoSpaceDE w:val="0"/>
                    <w:autoSpaceDN w:val="0"/>
                    <w:adjustRightInd w:val="0"/>
                    <w:contextualSpacing/>
                    <w:rPr>
                      <w:color w:val="auto"/>
                      <w:kern w:val="0"/>
                      <w:sz w:val="21"/>
                      <w:szCs w:val="21"/>
                    </w:rPr>
                  </w:pPr>
                  <w:r>
                    <w:rPr>
                      <w:color w:val="auto"/>
                      <w:kern w:val="0"/>
                      <w:sz w:val="21"/>
                      <w:szCs w:val="21"/>
                    </w:rPr>
                    <w:t>5.可去除氨氮及难降解有机物。</w:t>
                  </w:r>
                </w:p>
              </w:tc>
              <w:tc>
                <w:tcPr>
                  <w:tcW w:w="3111" w:type="dxa"/>
                  <w:noWrap w:val="0"/>
                  <w:vAlign w:val="center"/>
                </w:tcPr>
                <w:p>
                  <w:pPr>
                    <w:autoSpaceDE w:val="0"/>
                    <w:autoSpaceDN w:val="0"/>
                    <w:adjustRightInd w:val="0"/>
                    <w:contextualSpacing/>
                    <w:rPr>
                      <w:color w:val="auto"/>
                      <w:kern w:val="0"/>
                      <w:sz w:val="21"/>
                      <w:szCs w:val="21"/>
                    </w:rPr>
                  </w:pPr>
                  <w:r>
                    <w:rPr>
                      <w:color w:val="auto"/>
                      <w:kern w:val="0"/>
                      <w:sz w:val="21"/>
                      <w:szCs w:val="21"/>
                    </w:rPr>
                    <w:t>1.MBR膜需定期进行反冲洗；</w:t>
                  </w:r>
                </w:p>
                <w:p>
                  <w:pPr>
                    <w:autoSpaceDE w:val="0"/>
                    <w:autoSpaceDN w:val="0"/>
                    <w:adjustRightInd w:val="0"/>
                    <w:contextualSpacing/>
                    <w:rPr>
                      <w:color w:val="auto"/>
                      <w:kern w:val="0"/>
                      <w:sz w:val="21"/>
                      <w:szCs w:val="21"/>
                    </w:rPr>
                  </w:pPr>
                  <w:r>
                    <w:rPr>
                      <w:color w:val="auto"/>
                      <w:kern w:val="0"/>
                      <w:sz w:val="21"/>
                      <w:szCs w:val="21"/>
                    </w:rPr>
                    <w:t>2.膜组件需要定期更换。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269" w:type="dxa"/>
                  <w:noWrap w:val="0"/>
                  <w:vAlign w:val="center"/>
                </w:tcPr>
                <w:p>
                  <w:pPr>
                    <w:snapToGrid w:val="0"/>
                    <w:contextualSpacing/>
                    <w:jc w:val="center"/>
                    <w:rPr>
                      <w:color w:val="auto"/>
                      <w:sz w:val="21"/>
                      <w:szCs w:val="21"/>
                    </w:rPr>
                  </w:pPr>
                  <w:r>
                    <w:rPr>
                      <w:color w:val="auto"/>
                      <w:sz w:val="21"/>
                      <w:szCs w:val="21"/>
                    </w:rPr>
                    <w:t>序批式活性污泥法（SBR）</w:t>
                  </w:r>
                </w:p>
              </w:tc>
              <w:tc>
                <w:tcPr>
                  <w:tcW w:w="4678" w:type="dxa"/>
                  <w:noWrap w:val="0"/>
                  <w:vAlign w:val="center"/>
                </w:tcPr>
                <w:p>
                  <w:pPr>
                    <w:autoSpaceDE w:val="0"/>
                    <w:autoSpaceDN w:val="0"/>
                    <w:adjustRightInd w:val="0"/>
                    <w:contextualSpacing/>
                    <w:rPr>
                      <w:color w:val="auto"/>
                      <w:kern w:val="0"/>
                      <w:sz w:val="21"/>
                      <w:szCs w:val="21"/>
                    </w:rPr>
                  </w:pPr>
                  <w:r>
                    <w:rPr>
                      <w:color w:val="auto"/>
                      <w:kern w:val="0"/>
                      <w:sz w:val="21"/>
                      <w:szCs w:val="21"/>
                    </w:rPr>
                    <w:t>1.池内厌氧、好氧处于交替状态，净化效果好。</w:t>
                  </w:r>
                </w:p>
                <w:p>
                  <w:pPr>
                    <w:autoSpaceDE w:val="0"/>
                    <w:autoSpaceDN w:val="0"/>
                    <w:adjustRightInd w:val="0"/>
                    <w:contextualSpacing/>
                    <w:rPr>
                      <w:color w:val="auto"/>
                      <w:kern w:val="0"/>
                      <w:sz w:val="21"/>
                      <w:szCs w:val="21"/>
                    </w:rPr>
                  </w:pPr>
                  <w:r>
                    <w:rPr>
                      <w:color w:val="auto"/>
                      <w:kern w:val="0"/>
                      <w:sz w:val="21"/>
                      <w:szCs w:val="21"/>
                    </w:rPr>
                    <w:t>2.运行效果稳定，污水在理想的静止状态下沉淀，需要时间短、效率高，出水水质好。</w:t>
                  </w:r>
                </w:p>
                <w:p>
                  <w:pPr>
                    <w:autoSpaceDE w:val="0"/>
                    <w:autoSpaceDN w:val="0"/>
                    <w:adjustRightInd w:val="0"/>
                    <w:contextualSpacing/>
                    <w:rPr>
                      <w:color w:val="auto"/>
                      <w:kern w:val="0"/>
                      <w:sz w:val="21"/>
                      <w:szCs w:val="21"/>
                    </w:rPr>
                  </w:pPr>
                  <w:r>
                    <w:rPr>
                      <w:color w:val="auto"/>
                      <w:kern w:val="0"/>
                      <w:sz w:val="21"/>
                      <w:szCs w:val="21"/>
                    </w:rPr>
                    <w:t>3.耐冲击负荷，池内有滞留的处理水，对污水有稀释、缓冲作用，有效抵抗水量和有机污物的冲击。</w:t>
                  </w:r>
                </w:p>
                <w:p>
                  <w:pPr>
                    <w:autoSpaceDE w:val="0"/>
                    <w:autoSpaceDN w:val="0"/>
                    <w:adjustRightInd w:val="0"/>
                    <w:contextualSpacing/>
                    <w:rPr>
                      <w:color w:val="auto"/>
                      <w:kern w:val="0"/>
                      <w:sz w:val="21"/>
                      <w:szCs w:val="21"/>
                    </w:rPr>
                  </w:pPr>
                  <w:r>
                    <w:rPr>
                      <w:color w:val="auto"/>
                      <w:kern w:val="0"/>
                      <w:sz w:val="21"/>
                      <w:szCs w:val="21"/>
                    </w:rPr>
                    <w:t>4.工艺过程中的各工序可根据水质、水量进行调整，运行灵活。</w:t>
                  </w:r>
                </w:p>
                <w:p>
                  <w:pPr>
                    <w:autoSpaceDE w:val="0"/>
                    <w:autoSpaceDN w:val="0"/>
                    <w:adjustRightInd w:val="0"/>
                    <w:contextualSpacing/>
                    <w:rPr>
                      <w:color w:val="auto"/>
                      <w:kern w:val="0"/>
                      <w:sz w:val="21"/>
                      <w:szCs w:val="21"/>
                    </w:rPr>
                  </w:pPr>
                  <w:r>
                    <w:rPr>
                      <w:color w:val="auto"/>
                      <w:kern w:val="0"/>
                      <w:sz w:val="21"/>
                      <w:szCs w:val="21"/>
                    </w:rPr>
                    <w:t>5.处理设备少，构造简单，便于操作和维护管理。</w:t>
                  </w:r>
                </w:p>
                <w:p>
                  <w:pPr>
                    <w:autoSpaceDE w:val="0"/>
                    <w:autoSpaceDN w:val="0"/>
                    <w:adjustRightInd w:val="0"/>
                    <w:contextualSpacing/>
                    <w:rPr>
                      <w:color w:val="auto"/>
                      <w:kern w:val="0"/>
                      <w:sz w:val="21"/>
                      <w:szCs w:val="21"/>
                    </w:rPr>
                  </w:pPr>
                  <w:r>
                    <w:rPr>
                      <w:color w:val="auto"/>
                      <w:kern w:val="0"/>
                      <w:sz w:val="21"/>
                      <w:szCs w:val="21"/>
                    </w:rPr>
                    <w:t>6.反应池内存在DO、BOD</w:t>
                  </w:r>
                  <w:r>
                    <w:rPr>
                      <w:color w:val="auto"/>
                      <w:kern w:val="0"/>
                      <w:sz w:val="21"/>
                      <w:szCs w:val="21"/>
                      <w:vertAlign w:val="subscript"/>
                    </w:rPr>
                    <w:t>5</w:t>
                  </w:r>
                  <w:r>
                    <w:rPr>
                      <w:color w:val="auto"/>
                      <w:kern w:val="0"/>
                      <w:sz w:val="21"/>
                      <w:szCs w:val="21"/>
                    </w:rPr>
                    <w:t>浓度梯度，有效控制活性污泥膨胀。</w:t>
                  </w:r>
                </w:p>
                <w:p>
                  <w:pPr>
                    <w:autoSpaceDE w:val="0"/>
                    <w:autoSpaceDN w:val="0"/>
                    <w:adjustRightInd w:val="0"/>
                    <w:contextualSpacing/>
                    <w:rPr>
                      <w:color w:val="auto"/>
                      <w:kern w:val="0"/>
                      <w:sz w:val="21"/>
                      <w:szCs w:val="21"/>
                    </w:rPr>
                  </w:pPr>
                  <w:r>
                    <w:rPr>
                      <w:color w:val="auto"/>
                      <w:kern w:val="0"/>
                      <w:sz w:val="21"/>
                      <w:szCs w:val="21"/>
                    </w:rPr>
                    <w:t>7.SBR法系统本身也适合于组合式构造方法，利于废水处理厂的扩建和改造。</w:t>
                  </w:r>
                </w:p>
                <w:p>
                  <w:pPr>
                    <w:autoSpaceDE w:val="0"/>
                    <w:autoSpaceDN w:val="0"/>
                    <w:adjustRightInd w:val="0"/>
                    <w:contextualSpacing/>
                    <w:rPr>
                      <w:color w:val="auto"/>
                      <w:kern w:val="0"/>
                      <w:sz w:val="21"/>
                      <w:szCs w:val="21"/>
                    </w:rPr>
                  </w:pPr>
                  <w:r>
                    <w:rPr>
                      <w:color w:val="auto"/>
                      <w:kern w:val="0"/>
                      <w:sz w:val="21"/>
                      <w:szCs w:val="21"/>
                    </w:rPr>
                    <w:t>8.脱氮除磷，适当控制运行方式，实现好氧、缺氧、厌氧状态交替，具有良好的脱氮除磷效果。</w:t>
                  </w:r>
                </w:p>
                <w:p>
                  <w:pPr>
                    <w:autoSpaceDE w:val="0"/>
                    <w:autoSpaceDN w:val="0"/>
                    <w:adjustRightInd w:val="0"/>
                    <w:contextualSpacing/>
                    <w:rPr>
                      <w:color w:val="auto"/>
                      <w:kern w:val="0"/>
                      <w:sz w:val="21"/>
                      <w:szCs w:val="21"/>
                    </w:rPr>
                  </w:pPr>
                  <w:r>
                    <w:rPr>
                      <w:color w:val="auto"/>
                      <w:kern w:val="0"/>
                      <w:sz w:val="21"/>
                      <w:szCs w:val="21"/>
                    </w:rPr>
                    <w:t>9.工艺流程简单、造价低。</w:t>
                  </w:r>
                </w:p>
              </w:tc>
              <w:tc>
                <w:tcPr>
                  <w:tcW w:w="3111" w:type="dxa"/>
                  <w:noWrap w:val="0"/>
                  <w:vAlign w:val="center"/>
                </w:tcPr>
                <w:p>
                  <w:pPr>
                    <w:autoSpaceDE w:val="0"/>
                    <w:autoSpaceDN w:val="0"/>
                    <w:adjustRightInd w:val="0"/>
                    <w:contextualSpacing/>
                    <w:rPr>
                      <w:color w:val="auto"/>
                      <w:kern w:val="0"/>
                      <w:sz w:val="21"/>
                      <w:szCs w:val="21"/>
                    </w:rPr>
                  </w:pPr>
                  <w:r>
                    <w:rPr>
                      <w:color w:val="auto"/>
                      <w:kern w:val="0"/>
                      <w:sz w:val="21"/>
                      <w:szCs w:val="21"/>
                    </w:rPr>
                    <w:t>1.自动化控制要求高。</w:t>
                  </w:r>
                </w:p>
                <w:p>
                  <w:pPr>
                    <w:autoSpaceDE w:val="0"/>
                    <w:autoSpaceDN w:val="0"/>
                    <w:adjustRightInd w:val="0"/>
                    <w:contextualSpacing/>
                    <w:rPr>
                      <w:color w:val="auto"/>
                      <w:kern w:val="0"/>
                      <w:sz w:val="21"/>
                      <w:szCs w:val="21"/>
                    </w:rPr>
                  </w:pPr>
                  <w:r>
                    <w:rPr>
                      <w:color w:val="auto"/>
                      <w:kern w:val="0"/>
                      <w:sz w:val="21"/>
                      <w:szCs w:val="21"/>
                    </w:rPr>
                    <w:t>2.排水时间短（间歇排水时），并且排水时要求不搅动沉淀污泥层，因而需要专门的排水设备（滗水器），且对滗水器的要求很高。</w:t>
                  </w:r>
                </w:p>
                <w:p>
                  <w:pPr>
                    <w:autoSpaceDE w:val="0"/>
                    <w:autoSpaceDN w:val="0"/>
                    <w:adjustRightInd w:val="0"/>
                    <w:contextualSpacing/>
                    <w:rPr>
                      <w:color w:val="auto"/>
                      <w:kern w:val="0"/>
                      <w:sz w:val="21"/>
                      <w:szCs w:val="21"/>
                    </w:rPr>
                  </w:pPr>
                  <w:r>
                    <w:rPr>
                      <w:color w:val="auto"/>
                      <w:kern w:val="0"/>
                      <w:sz w:val="21"/>
                      <w:szCs w:val="21"/>
                    </w:rPr>
                    <w:t>3.后处理设备要求大：如消毒设备很大，接触池容积也很大，排水设施如排水管道也很大。</w:t>
                  </w:r>
                </w:p>
                <w:p>
                  <w:pPr>
                    <w:autoSpaceDE w:val="0"/>
                    <w:autoSpaceDN w:val="0"/>
                    <w:adjustRightInd w:val="0"/>
                    <w:contextualSpacing/>
                    <w:rPr>
                      <w:color w:val="auto"/>
                      <w:kern w:val="0"/>
                      <w:sz w:val="21"/>
                      <w:szCs w:val="21"/>
                    </w:rPr>
                  </w:pPr>
                  <w:r>
                    <w:rPr>
                      <w:color w:val="auto"/>
                      <w:kern w:val="0"/>
                      <w:sz w:val="21"/>
                      <w:szCs w:val="21"/>
                    </w:rPr>
                    <w:t>4.滗水深度一般为1~2m，这部分水头损失被白白浪费，增加了总扬程。</w:t>
                  </w:r>
                </w:p>
                <w:p>
                  <w:pPr>
                    <w:autoSpaceDE w:val="0"/>
                    <w:autoSpaceDN w:val="0"/>
                    <w:adjustRightInd w:val="0"/>
                    <w:contextualSpacing/>
                    <w:rPr>
                      <w:color w:val="auto"/>
                      <w:kern w:val="0"/>
                      <w:sz w:val="21"/>
                      <w:szCs w:val="21"/>
                    </w:rPr>
                  </w:pPr>
                  <w:r>
                    <w:rPr>
                      <w:color w:val="auto"/>
                      <w:kern w:val="0"/>
                      <w:sz w:val="21"/>
                      <w:szCs w:val="21"/>
                    </w:rPr>
                    <w:t>5.由于不设初沉池，易产生浮渣，浮渣问题尚未妥善解决。</w:t>
                  </w:r>
                </w:p>
              </w:tc>
            </w:tr>
          </w:tbl>
          <w:p>
            <w:pPr>
              <w:autoSpaceDE w:val="0"/>
              <w:autoSpaceDN w:val="0"/>
              <w:adjustRightInd w:val="0"/>
              <w:ind w:firstLine="482" w:firstLineChars="200"/>
              <w:contextualSpacing/>
              <w:rPr>
                <w:b/>
                <w:bCs/>
                <w:color w:val="auto"/>
              </w:rPr>
            </w:pPr>
            <w:r>
              <w:rPr>
                <w:b/>
                <w:bCs/>
                <w:color w:val="auto"/>
              </w:rPr>
              <w:t>5、方案内容</w:t>
            </w:r>
          </w:p>
          <w:p>
            <w:pPr>
              <w:adjustRightInd w:val="0"/>
              <w:snapToGrid w:val="0"/>
              <w:spacing w:line="360" w:lineRule="auto"/>
              <w:ind w:firstLine="480" w:firstLineChars="200"/>
              <w:rPr>
                <w:color w:val="auto"/>
              </w:rPr>
            </w:pPr>
            <w:r>
              <w:rPr>
                <w:color w:val="auto"/>
              </w:rPr>
              <w:t>农村生活污水治理工程，实施内容主要包括以下三个方面：</w:t>
            </w:r>
          </w:p>
          <w:p>
            <w:pPr>
              <w:adjustRightInd w:val="0"/>
              <w:snapToGrid w:val="0"/>
              <w:spacing w:line="360" w:lineRule="auto"/>
              <w:ind w:firstLine="480" w:firstLineChars="200"/>
              <w:rPr>
                <w:color w:val="auto"/>
              </w:rPr>
            </w:pPr>
            <w:r>
              <w:rPr>
                <w:color w:val="auto"/>
              </w:rPr>
              <w:t>（1）农村聚集点生活污水治理。</w:t>
            </w:r>
          </w:p>
          <w:p>
            <w:pPr>
              <w:adjustRightInd w:val="0"/>
              <w:snapToGrid w:val="0"/>
              <w:spacing w:line="360" w:lineRule="auto"/>
              <w:ind w:firstLine="480" w:firstLineChars="200"/>
              <w:rPr>
                <w:color w:val="auto"/>
              </w:rPr>
            </w:pPr>
            <w:r>
              <w:rPr>
                <w:color w:val="auto"/>
              </w:rPr>
              <w:t>宜坪乡桐花村在官料河右岸边沿河公路旁，在桐花村新建化粪池，经预处理后的生活废水通过新建MBR一体化设备（经度103°11′21.5″，纬度29°13′29.5″）处理，建设生活污水收集管网，化粪池出水统一进行收集后再经一体化设备处理，处理后排放的生活污水达到《农村生活污水处理设施水污染物排放标准》（DB51/ 2626-2019）一级标准。</w:t>
            </w:r>
          </w:p>
          <w:p>
            <w:pPr>
              <w:adjustRightInd w:val="0"/>
              <w:snapToGrid w:val="0"/>
              <w:spacing w:line="360" w:lineRule="auto"/>
              <w:ind w:firstLine="480" w:firstLineChars="200"/>
              <w:rPr>
                <w:color w:val="auto"/>
              </w:rPr>
            </w:pPr>
            <w:r>
              <w:rPr>
                <w:color w:val="auto"/>
              </w:rPr>
              <w:t>（2）农村分散聚集点生活污水治理。主要针对人户相对小聚集，在人户5户以上60户以下或30人以上300人以下聚集区采用化粪池+人工湿地治理模式，生活污水</w:t>
            </w:r>
            <w:r>
              <w:rPr>
                <w:rFonts w:hint="eastAsia"/>
                <w:color w:val="auto"/>
              </w:rPr>
              <w:t>经处理后用于周边农田施肥，不外排</w:t>
            </w:r>
            <w:r>
              <w:rPr>
                <w:color w:val="auto"/>
              </w:rPr>
              <w:t>。</w:t>
            </w:r>
          </w:p>
          <w:p>
            <w:pPr>
              <w:adjustRightInd w:val="0"/>
              <w:snapToGrid w:val="0"/>
              <w:spacing w:line="360" w:lineRule="auto"/>
              <w:ind w:firstLine="482" w:firstLineChars="200"/>
              <w:rPr>
                <w:b/>
                <w:bCs/>
                <w:color w:val="auto"/>
              </w:rPr>
            </w:pPr>
            <w:r>
              <w:rPr>
                <w:b/>
                <w:bCs/>
                <w:color w:val="auto"/>
              </w:rPr>
              <w:t>6、工艺确定</w:t>
            </w:r>
          </w:p>
          <w:p>
            <w:pPr>
              <w:adjustRightInd w:val="0"/>
              <w:snapToGrid w:val="0"/>
              <w:spacing w:line="360" w:lineRule="auto"/>
              <w:ind w:firstLine="480" w:firstLineChars="200"/>
              <w:rPr>
                <w:color w:val="auto"/>
              </w:rPr>
            </w:pPr>
            <w:r>
              <w:rPr>
                <w:color w:val="auto"/>
              </w:rPr>
              <w:t>综上所述，通过方案的比选，本项目结合宜坪乡桐花村的实际情况，由于MBR一体化污水处理设备处理效果优良，技术成熟，效果稳定，被大多数地方推广使用,该污水处理工艺无需深度处理,占地面积小，节省资源，自动化程度高，还可去除氨氮及难降解有机物等，故本环评推荐对宜坪乡桐花村东部片区农户的生活污水处理采用MBR一体化污水处理设备进行处理，充分考虑乡村旅游公路沿线景色美观因素，建议采用半地埋式建设，建设高度不得超过旅游道路高度，装修装饰格调与旅游发展规划要保持一致；由于人工湿地建造和运行费用便宜，易于维护，技术含量低，可进行有效可靠的废水处理可缓冲对水力和污染负荷的冲击，可提供和间接提供效益,如水产、畜产、造纸原料、建材、绿化、野生动物栖息、娱乐和教育等，故本环评推荐对宜坪乡桐花村西侧、西南侧片区的农户的生活污水处理采用人工湿地的形式。</w:t>
            </w:r>
          </w:p>
          <w:p>
            <w:pPr>
              <w:tabs>
                <w:tab w:val="left" w:pos="1080"/>
              </w:tabs>
              <w:adjustRightInd w:val="0"/>
              <w:snapToGrid w:val="0"/>
              <w:spacing w:line="360" w:lineRule="auto"/>
              <w:ind w:firstLine="482" w:firstLineChars="200"/>
              <w:rPr>
                <w:b/>
                <w:bCs/>
                <w:color w:val="auto"/>
              </w:rPr>
            </w:pPr>
            <w:r>
              <w:rPr>
                <w:b/>
                <w:bCs/>
                <w:color w:val="auto"/>
              </w:rPr>
              <w:t>2.2工艺流程介绍</w:t>
            </w:r>
          </w:p>
          <w:p>
            <w:pPr>
              <w:tabs>
                <w:tab w:val="left" w:pos="1080"/>
              </w:tabs>
              <w:adjustRightInd w:val="0"/>
              <w:snapToGrid w:val="0"/>
              <w:spacing w:line="360" w:lineRule="auto"/>
              <w:ind w:firstLine="480" w:firstLineChars="200"/>
              <w:rPr>
                <w:color w:val="auto"/>
              </w:rPr>
            </w:pPr>
            <w:r>
              <w:rPr>
                <w:color w:val="auto"/>
              </w:rPr>
              <w:t>（1）“化粪池+MBR一体化设备”工艺流程图如下：</w:t>
            </w:r>
          </w:p>
          <w:p>
            <w:pPr>
              <w:pStyle w:val="24"/>
              <w:jc w:val="center"/>
              <w:rPr>
                <w:rStyle w:val="106"/>
                <w:rFonts w:eastAsia="黑体"/>
                <w:bCs/>
                <w:color w:val="auto"/>
              </w:rPr>
            </w:pPr>
            <w:r>
              <w:rPr>
                <w:color w:val="auto"/>
                <w:lang/>
              </w:rPr>
              <w:drawing>
                <wp:inline distT="0" distB="0" distL="114300" distR="114300">
                  <wp:extent cx="2637790" cy="4476115"/>
                  <wp:effectExtent l="0" t="0" r="10160" b="6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tretch>
                            <a:fillRect/>
                          </a:stretch>
                        </pic:blipFill>
                        <pic:spPr>
                          <a:xfrm>
                            <a:off x="0" y="0"/>
                            <a:ext cx="2637790" cy="4476115"/>
                          </a:xfrm>
                          <a:prstGeom prst="rect">
                            <a:avLst/>
                          </a:prstGeom>
                          <a:noFill/>
                          <a:ln>
                            <a:noFill/>
                          </a:ln>
                        </pic:spPr>
                      </pic:pic>
                    </a:graphicData>
                  </a:graphic>
                </wp:inline>
              </w:drawing>
            </w:r>
          </w:p>
          <w:p>
            <w:pPr>
              <w:spacing w:line="360" w:lineRule="auto"/>
              <w:jc w:val="center"/>
              <w:rPr>
                <w:rFonts w:eastAsia="黑体"/>
                <w:color w:val="auto"/>
              </w:rPr>
            </w:pPr>
            <w:r>
              <w:rPr>
                <w:rStyle w:val="106"/>
                <w:rFonts w:eastAsia="黑体"/>
                <w:bCs/>
                <w:color w:val="auto"/>
              </w:rPr>
              <w:t>图5-4  “化粪池+MBR一体化设备”</w:t>
            </w:r>
            <w:r>
              <w:rPr>
                <w:rFonts w:eastAsia="黑体"/>
                <w:bCs/>
                <w:color w:val="auto"/>
              </w:rPr>
              <w:t>污水处理工艺流程和产污环节</w:t>
            </w:r>
          </w:p>
          <w:p>
            <w:pPr>
              <w:adjustRightInd w:val="0"/>
              <w:snapToGrid w:val="0"/>
              <w:spacing w:line="360" w:lineRule="auto"/>
              <w:ind w:firstLine="480" w:firstLineChars="200"/>
              <w:rPr>
                <w:color w:val="auto"/>
              </w:rPr>
            </w:pPr>
            <w:r>
              <w:rPr>
                <w:color w:val="auto"/>
              </w:rPr>
              <w:t>工艺流程简述：</w:t>
            </w:r>
          </w:p>
          <w:p>
            <w:pPr>
              <w:adjustRightInd w:val="0"/>
              <w:snapToGrid w:val="0"/>
              <w:spacing w:line="360" w:lineRule="auto"/>
              <w:ind w:firstLine="480" w:firstLineChars="200"/>
              <w:rPr>
                <w:color w:val="auto"/>
              </w:rPr>
            </w:pPr>
            <w:r>
              <w:rPr>
                <w:color w:val="auto"/>
              </w:rPr>
              <w:t>生活污水经过厂外截污干管收集后通过格栅井、进入化粪池，除去浮渣、截留底泥，经过化粪池处理后，进入MBR一体化处理设备进一步处理，MBR一体化处理设备分为缺氧池、曝气池和膜池，在兼氧区放置填料，并与活性污泥进行充分接触，在好氧区放置膜组器，使用PVDF膜将活性污泥和大分子有机物质截留住，难降解的物质在反应器中不断降解。进一步处理之后，被处理水可以达标排放或回用。</w:t>
            </w:r>
          </w:p>
          <w:p>
            <w:pPr>
              <w:pStyle w:val="2"/>
              <w:keepNext w:val="0"/>
              <w:keepLines w:val="0"/>
              <w:pageBreakBefore w:val="0"/>
              <w:widowControl w:val="0"/>
              <w:kinsoku/>
              <w:wordWrap/>
              <w:overflowPunct/>
              <w:topLinePunct w:val="0"/>
              <w:autoSpaceDE/>
              <w:autoSpaceDN/>
              <w:bidi w:val="0"/>
              <w:adjustRightInd/>
              <w:snapToGrid/>
              <w:ind w:left="0" w:leftChars="0"/>
              <w:textAlignment w:val="auto"/>
              <w:rPr>
                <w:rFonts w:hint="eastAsia"/>
                <w:color w:val="auto"/>
                <w:kern w:val="2"/>
                <w:sz w:val="24"/>
                <w:szCs w:val="24"/>
                <w:lang w:val="en-US" w:eastAsia="zh-CN" w:bidi="ar-SA"/>
              </w:rPr>
            </w:pPr>
            <w:r>
              <w:rPr>
                <w:rFonts w:hint="eastAsia"/>
                <w:color w:val="auto"/>
                <w:kern w:val="2"/>
                <w:sz w:val="24"/>
                <w:szCs w:val="24"/>
                <w:lang w:val="en-US" w:eastAsia="zh-CN" w:bidi="ar-SA"/>
              </w:rPr>
              <w:t>项目处理设备运行费用、运行管理要求等会根据后期项目所购设备型号等不同而有差异。</w:t>
            </w:r>
          </w:p>
          <w:p>
            <w:pPr>
              <w:pStyle w:val="2"/>
              <w:ind w:left="0" w:leftChars="0" w:firstLine="480"/>
              <w:rPr>
                <w:rFonts w:hint="default" w:ascii="Times New Roman" w:hAnsi="Times New Roman"/>
                <w:color w:val="auto"/>
              </w:rPr>
            </w:pPr>
            <w:r>
              <w:rPr>
                <w:rFonts w:hint="default" w:ascii="Times New Roman" w:hAnsi="Times New Roman"/>
                <w:color w:val="auto"/>
                <w:sz w:val="24"/>
              </w:rPr>
              <w:t>（2）“</w:t>
            </w:r>
            <w:r>
              <w:rPr>
                <w:rFonts w:hint="default" w:ascii="Times New Roman" w:hAnsi="Times New Roman"/>
                <w:color w:val="auto"/>
                <w:kern w:val="2"/>
                <w:sz w:val="24"/>
              </w:rPr>
              <w:t>化粪池+人工湿地”工艺流程图如下：</w:t>
            </w:r>
          </w:p>
          <w:p>
            <w:pPr>
              <w:pStyle w:val="2"/>
              <w:ind w:left="0" w:leftChars="0" w:firstLine="0" w:firstLineChars="0"/>
              <w:jc w:val="center"/>
              <w:rPr>
                <w:rFonts w:hint="default" w:ascii="Times New Roman" w:hAnsi="Times New Roman"/>
                <w:color w:val="auto"/>
              </w:rPr>
            </w:pPr>
            <w:r>
              <w:rPr>
                <w:color w:val="auto"/>
                <w:lang/>
              </w:rPr>
              <w:drawing>
                <wp:inline distT="0" distB="0" distL="114300" distR="114300">
                  <wp:extent cx="2095500" cy="2047875"/>
                  <wp:effectExtent l="0" t="0" r="0"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1"/>
                          <a:stretch>
                            <a:fillRect/>
                          </a:stretch>
                        </pic:blipFill>
                        <pic:spPr>
                          <a:xfrm>
                            <a:off x="0" y="0"/>
                            <a:ext cx="2095500" cy="2047875"/>
                          </a:xfrm>
                          <a:prstGeom prst="rect">
                            <a:avLst/>
                          </a:prstGeom>
                          <a:noFill/>
                          <a:ln>
                            <a:noFill/>
                          </a:ln>
                        </pic:spPr>
                      </pic:pic>
                    </a:graphicData>
                  </a:graphic>
                </wp:inline>
              </w:drawing>
            </w:r>
          </w:p>
          <w:p>
            <w:pPr>
              <w:spacing w:line="360" w:lineRule="auto"/>
              <w:jc w:val="center"/>
              <w:rPr>
                <w:rStyle w:val="106"/>
                <w:rFonts w:eastAsia="黑体"/>
                <w:bCs/>
                <w:color w:val="auto"/>
              </w:rPr>
            </w:pPr>
            <w:r>
              <w:rPr>
                <w:rStyle w:val="106"/>
                <w:rFonts w:eastAsia="黑体"/>
                <w:bCs/>
                <w:color w:val="auto"/>
              </w:rPr>
              <w:t>图5-5  “化粪池+人工湿地”</w:t>
            </w:r>
            <w:r>
              <w:rPr>
                <w:rStyle w:val="106"/>
                <w:rFonts w:eastAsia="黑体"/>
                <w:color w:val="auto"/>
              </w:rPr>
              <w:t>污水处理工艺流程和产污环节</w:t>
            </w:r>
          </w:p>
          <w:p>
            <w:pPr>
              <w:adjustRightInd w:val="0"/>
              <w:snapToGrid w:val="0"/>
              <w:spacing w:line="360" w:lineRule="auto"/>
              <w:ind w:firstLine="480" w:firstLineChars="200"/>
              <w:rPr>
                <w:color w:val="auto"/>
              </w:rPr>
            </w:pPr>
            <w:r>
              <w:rPr>
                <w:color w:val="auto"/>
              </w:rPr>
              <w:t>工艺流程简述：</w:t>
            </w:r>
          </w:p>
          <w:p>
            <w:pPr>
              <w:adjustRightInd w:val="0"/>
              <w:snapToGrid w:val="0"/>
              <w:spacing w:line="360" w:lineRule="auto"/>
              <w:ind w:firstLine="480" w:firstLineChars="200"/>
              <w:rPr>
                <w:b/>
                <w:color w:val="auto"/>
              </w:rPr>
            </w:pPr>
            <w:r>
              <w:rPr>
                <w:color w:val="auto"/>
              </w:rPr>
              <w:t>生活污水经过厂外截污干管收集后通过格栅井、进入化粪池，除去浮渣、截留底泥，经过化粪池处理后，进入人工湿地，人工湿地属于水平潜流湿地，污水从布水沟（管）进入进水区砾石层，然后呈水平渗滤从另一端出水沟流出</w:t>
            </w:r>
            <w:r>
              <w:rPr>
                <w:rFonts w:hint="eastAsia"/>
                <w:color w:val="auto"/>
              </w:rPr>
              <w:t>，用于周边农田施肥、灌溉</w:t>
            </w:r>
            <w:r>
              <w:rPr>
                <w:color w:val="auto"/>
              </w:rPr>
              <w:t>。</w:t>
            </w:r>
          </w:p>
          <w:p>
            <w:pPr>
              <w:adjustRightInd w:val="0"/>
              <w:snapToGrid w:val="0"/>
              <w:spacing w:line="360" w:lineRule="auto"/>
              <w:ind w:firstLine="482" w:firstLineChars="200"/>
              <w:rPr>
                <w:b/>
                <w:color w:val="auto"/>
              </w:rPr>
            </w:pPr>
            <w:r>
              <w:rPr>
                <w:b/>
                <w:color w:val="auto"/>
              </w:rPr>
              <w:t>2.3营运期主要产污工序</w:t>
            </w:r>
          </w:p>
          <w:p>
            <w:pPr>
              <w:adjustRightInd w:val="0"/>
              <w:snapToGrid w:val="0"/>
              <w:spacing w:line="360" w:lineRule="auto"/>
              <w:ind w:firstLine="482" w:firstLineChars="200"/>
              <w:rPr>
                <w:b/>
                <w:color w:val="auto"/>
              </w:rPr>
            </w:pPr>
            <w:r>
              <w:rPr>
                <w:b/>
                <w:bCs/>
                <w:color w:val="auto"/>
              </w:rPr>
              <w:t>1.</w:t>
            </w:r>
            <w:r>
              <w:rPr>
                <w:b/>
                <w:bCs/>
                <w:color w:val="auto"/>
                <w:lang w:val="zh-CN"/>
              </w:rPr>
              <w:t>废气污染源分析</w:t>
            </w:r>
          </w:p>
          <w:p>
            <w:pPr>
              <w:adjustRightInd w:val="0"/>
              <w:snapToGrid w:val="0"/>
              <w:spacing w:line="360" w:lineRule="auto"/>
              <w:ind w:firstLine="480" w:firstLineChars="200"/>
              <w:rPr>
                <w:color w:val="auto"/>
                <w:kern w:val="0"/>
              </w:rPr>
            </w:pPr>
            <w:r>
              <w:rPr>
                <w:color w:val="auto"/>
                <w:kern w:val="0"/>
              </w:rPr>
              <w:t>本项目废气污染物主要为污水处理过程中散发出的恶臭气味，主要来源于有机物生物降解过程产生的还原性有毒有害气态物质，经水解、曝气或自身挥发而逸入环境中，属于无组织排放，主要污染因子以NH</w:t>
            </w:r>
            <w:r>
              <w:rPr>
                <w:color w:val="auto"/>
                <w:kern w:val="0"/>
                <w:vertAlign w:val="subscript"/>
              </w:rPr>
              <w:t>3</w:t>
            </w:r>
            <w:r>
              <w:rPr>
                <w:color w:val="auto"/>
                <w:kern w:val="0"/>
              </w:rPr>
              <w:t>、H</w:t>
            </w:r>
            <w:r>
              <w:rPr>
                <w:color w:val="auto"/>
                <w:kern w:val="0"/>
                <w:vertAlign w:val="subscript"/>
              </w:rPr>
              <w:t>2</w:t>
            </w:r>
            <w:r>
              <w:rPr>
                <w:color w:val="auto"/>
                <w:kern w:val="0"/>
              </w:rPr>
              <w:t>S为主。本项目采用NH</w:t>
            </w:r>
            <w:r>
              <w:rPr>
                <w:color w:val="auto"/>
                <w:kern w:val="0"/>
                <w:vertAlign w:val="subscript"/>
              </w:rPr>
              <w:t>3</w:t>
            </w:r>
            <w:r>
              <w:rPr>
                <w:color w:val="auto"/>
                <w:kern w:val="0"/>
              </w:rPr>
              <w:t>和H</w:t>
            </w:r>
            <w:r>
              <w:rPr>
                <w:color w:val="auto"/>
                <w:kern w:val="0"/>
                <w:vertAlign w:val="subscript"/>
              </w:rPr>
              <w:t>2</w:t>
            </w:r>
            <w:r>
              <w:rPr>
                <w:color w:val="auto"/>
                <w:kern w:val="0"/>
              </w:rPr>
              <w:t>S作为本项目的特征恶臭污染物来评价污水处理站恶臭的环境影响。</w:t>
            </w:r>
          </w:p>
          <w:p>
            <w:pPr>
              <w:adjustRightInd w:val="0"/>
              <w:snapToGrid w:val="0"/>
              <w:spacing w:line="360" w:lineRule="auto"/>
              <w:ind w:firstLine="480" w:firstLineChars="200"/>
              <w:rPr>
                <w:color w:val="auto"/>
              </w:rPr>
            </w:pPr>
            <w:r>
              <w:rPr>
                <w:color w:val="auto"/>
              </w:rPr>
              <w:t>目前应用的恶臭治理方法主要有氧化法、吸收法和吸附法，另外，还有空气稀释法、掩蔽法、小球除臭法等。在美国主要采用高温直接催化燃烧、活性炭吸附、湿法吸收等方法；日本除了上述方法外，还采用臭氧氧化、生物氧化等方法。</w:t>
            </w:r>
          </w:p>
          <w:p>
            <w:pPr>
              <w:pStyle w:val="46"/>
              <w:spacing w:before="0" w:line="360" w:lineRule="auto"/>
              <w:ind w:firstLine="480"/>
              <w:rPr>
                <w:color w:val="auto"/>
              </w:rPr>
            </w:pPr>
            <w:r>
              <w:rPr>
                <w:color w:val="auto"/>
              </w:rPr>
              <w:t>考虑到本项目</w:t>
            </w:r>
            <w:r>
              <w:rPr>
                <w:rFonts w:hint="eastAsia"/>
                <w:color w:val="auto"/>
              </w:rPr>
              <w:t>处理规模较小</w:t>
            </w:r>
            <w:r>
              <w:rPr>
                <w:color w:val="auto"/>
              </w:rPr>
              <w:t>，本次环评要求将</w:t>
            </w:r>
            <w:bookmarkStart w:id="3" w:name="OLE_LINK92"/>
            <w:bookmarkStart w:id="4" w:name="OLE_LINK93"/>
            <w:r>
              <w:rPr>
                <w:rFonts w:hint="eastAsia"/>
                <w:color w:val="auto"/>
              </w:rPr>
              <w:t>化粪池、</w:t>
            </w:r>
            <w:r>
              <w:rPr>
                <w:color w:val="auto"/>
              </w:rPr>
              <w:t>一体化设备通过加盖</w:t>
            </w:r>
            <w:bookmarkEnd w:id="3"/>
            <w:bookmarkEnd w:id="4"/>
            <w:bookmarkStart w:id="5" w:name="OLE_LINK94"/>
            <w:r>
              <w:rPr>
                <w:rFonts w:hint="eastAsia"/>
                <w:color w:val="auto"/>
              </w:rPr>
              <w:t>进行密闭</w:t>
            </w:r>
            <w:r>
              <w:rPr>
                <w:color w:val="auto"/>
              </w:rPr>
              <w:t>，</w:t>
            </w:r>
            <w:r>
              <w:rPr>
                <w:rFonts w:hint="eastAsia"/>
                <w:color w:val="auto"/>
              </w:rPr>
              <w:t>并定期喷洒生物除臭剂，周围栽种吸污植物等措施进行处理</w:t>
            </w:r>
            <w:r>
              <w:rPr>
                <w:color w:val="auto"/>
              </w:rPr>
              <w:t>。</w:t>
            </w:r>
            <w:bookmarkEnd w:id="5"/>
          </w:p>
          <w:p>
            <w:pPr>
              <w:pStyle w:val="56"/>
              <w:spacing w:before="120" w:after="120"/>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w:t>
            </w:r>
            <w:r>
              <w:rPr>
                <w:rFonts w:hint="eastAsia" w:ascii="Times New Roman" w:hAnsi="Times New Roman" w:eastAsia="黑体"/>
                <w:color w:val="auto"/>
                <w:spacing w:val="20"/>
                <w:sz w:val="24"/>
                <w:szCs w:val="24"/>
                <w:lang w:val="en-US" w:eastAsia="zh-CN"/>
              </w:rPr>
              <w:t>5</w:t>
            </w:r>
            <w:r>
              <w:rPr>
                <w:rFonts w:ascii="Times New Roman" w:hAnsi="Times New Roman" w:eastAsia="黑体"/>
                <w:color w:val="auto"/>
                <w:spacing w:val="20"/>
                <w:sz w:val="24"/>
                <w:szCs w:val="24"/>
              </w:rPr>
              <w:t xml:space="preserve">  项目恶臭气体排放情况表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01"/>
              <w:gridCol w:w="962"/>
              <w:gridCol w:w="913"/>
              <w:gridCol w:w="634"/>
              <w:gridCol w:w="634"/>
              <w:gridCol w:w="445"/>
              <w:gridCol w:w="644"/>
              <w:gridCol w:w="445"/>
              <w:gridCol w:w="569"/>
              <w:gridCol w:w="629"/>
              <w:gridCol w:w="837"/>
              <w:gridCol w:w="725"/>
              <w:gridCol w:w="76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产污环节</w:t>
                  </w:r>
                </w:p>
              </w:tc>
              <w:tc>
                <w:tcPr>
                  <w:tcW w:w="962"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污染物名称</w:t>
                  </w:r>
                </w:p>
              </w:tc>
              <w:tc>
                <w:tcPr>
                  <w:tcW w:w="2181" w:type="dxa"/>
                  <w:gridSpan w:val="3"/>
                  <w:noWrap w:val="0"/>
                  <w:vAlign w:val="center"/>
                </w:tcPr>
                <w:p>
                  <w:pPr>
                    <w:pStyle w:val="62"/>
                    <w:snapToGrid w:val="0"/>
                    <w:spacing w:line="240" w:lineRule="auto"/>
                    <w:ind w:left="0" w:right="0" w:firstLine="0"/>
                    <w:jc w:val="center"/>
                    <w:rPr>
                      <w:color w:val="auto"/>
                      <w:sz w:val="18"/>
                      <w:szCs w:val="18"/>
                    </w:rPr>
                  </w:pPr>
                  <w:r>
                    <w:rPr>
                      <w:color w:val="auto"/>
                      <w:sz w:val="18"/>
                      <w:szCs w:val="18"/>
                    </w:rPr>
                    <w:t>产生状况</w:t>
                  </w:r>
                </w:p>
              </w:tc>
              <w:tc>
                <w:tcPr>
                  <w:tcW w:w="445"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治理措施</w:t>
                  </w:r>
                </w:p>
              </w:tc>
              <w:tc>
                <w:tcPr>
                  <w:tcW w:w="644"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去除率</w:t>
                  </w:r>
                </w:p>
              </w:tc>
              <w:tc>
                <w:tcPr>
                  <w:tcW w:w="2480" w:type="dxa"/>
                  <w:gridSpan w:val="4"/>
                  <w:noWrap w:val="0"/>
                  <w:vAlign w:val="center"/>
                </w:tcPr>
                <w:p>
                  <w:pPr>
                    <w:pStyle w:val="62"/>
                    <w:snapToGrid w:val="0"/>
                    <w:spacing w:line="240" w:lineRule="auto"/>
                    <w:ind w:left="0" w:right="0" w:firstLine="0"/>
                    <w:jc w:val="center"/>
                    <w:rPr>
                      <w:color w:val="auto"/>
                      <w:sz w:val="18"/>
                      <w:szCs w:val="18"/>
                    </w:rPr>
                  </w:pPr>
                  <w:r>
                    <w:rPr>
                      <w:color w:val="auto"/>
                      <w:sz w:val="18"/>
                      <w:szCs w:val="18"/>
                    </w:rPr>
                    <w:t>排放情况</w:t>
                  </w:r>
                </w:p>
              </w:tc>
              <w:tc>
                <w:tcPr>
                  <w:tcW w:w="725"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排放标准</w:t>
                  </w:r>
                </w:p>
                <w:p>
                  <w:pPr>
                    <w:pStyle w:val="62"/>
                    <w:snapToGrid w:val="0"/>
                    <w:spacing w:line="240" w:lineRule="auto"/>
                    <w:ind w:left="0" w:right="0" w:firstLine="0"/>
                    <w:jc w:val="center"/>
                    <w:rPr>
                      <w:color w:val="auto"/>
                      <w:sz w:val="18"/>
                      <w:szCs w:val="18"/>
                    </w:rPr>
                  </w:pPr>
                  <w:r>
                    <w:rPr>
                      <w:color w:val="auto"/>
                      <w:sz w:val="18"/>
                      <w:szCs w:val="18"/>
                    </w:rPr>
                    <w:t>kg/h</w:t>
                  </w:r>
                </w:p>
              </w:tc>
              <w:tc>
                <w:tcPr>
                  <w:tcW w:w="762"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排放方式</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01" w:type="dxa"/>
                  <w:vMerge w:val="continue"/>
                  <w:noWrap w:val="0"/>
                  <w:vAlign w:val="center"/>
                </w:tcPr>
                <w:p>
                  <w:pPr>
                    <w:pStyle w:val="62"/>
                    <w:snapToGrid w:val="0"/>
                    <w:spacing w:line="240" w:lineRule="auto"/>
                    <w:ind w:left="0" w:right="0" w:firstLine="0"/>
                    <w:jc w:val="center"/>
                    <w:rPr>
                      <w:color w:val="auto"/>
                      <w:sz w:val="18"/>
                      <w:szCs w:val="18"/>
                    </w:rPr>
                  </w:pPr>
                </w:p>
              </w:tc>
              <w:tc>
                <w:tcPr>
                  <w:tcW w:w="962" w:type="dxa"/>
                  <w:vMerge w:val="continue"/>
                  <w:noWrap w:val="0"/>
                  <w:vAlign w:val="center"/>
                </w:tcPr>
                <w:p>
                  <w:pPr>
                    <w:pStyle w:val="62"/>
                    <w:snapToGrid w:val="0"/>
                    <w:spacing w:line="240" w:lineRule="auto"/>
                    <w:ind w:left="0" w:right="0" w:firstLine="0"/>
                    <w:jc w:val="center"/>
                    <w:rPr>
                      <w:color w:val="auto"/>
                      <w:sz w:val="18"/>
                      <w:szCs w:val="18"/>
                    </w:rPr>
                  </w:pPr>
                </w:p>
              </w:tc>
              <w:tc>
                <w:tcPr>
                  <w:tcW w:w="913" w:type="dxa"/>
                  <w:noWrap w:val="0"/>
                  <w:vAlign w:val="center"/>
                </w:tcPr>
                <w:p>
                  <w:pPr>
                    <w:pStyle w:val="62"/>
                    <w:snapToGrid w:val="0"/>
                    <w:spacing w:line="240" w:lineRule="auto"/>
                    <w:ind w:left="0" w:right="0" w:firstLine="0"/>
                    <w:jc w:val="center"/>
                    <w:rPr>
                      <w:color w:val="auto"/>
                      <w:sz w:val="18"/>
                      <w:szCs w:val="18"/>
                    </w:rPr>
                  </w:pPr>
                  <w:r>
                    <w:rPr>
                      <w:color w:val="auto"/>
                      <w:sz w:val="18"/>
                      <w:szCs w:val="18"/>
                    </w:rPr>
                    <w:t>浓度</w:t>
                  </w:r>
                </w:p>
                <w:p>
                  <w:pPr>
                    <w:pStyle w:val="62"/>
                    <w:snapToGrid w:val="0"/>
                    <w:spacing w:line="240" w:lineRule="auto"/>
                    <w:ind w:left="0" w:right="0" w:firstLine="0"/>
                    <w:jc w:val="center"/>
                    <w:rPr>
                      <w:color w:val="auto"/>
                      <w:sz w:val="18"/>
                      <w:szCs w:val="18"/>
                    </w:rPr>
                  </w:pPr>
                  <w:r>
                    <w:rPr>
                      <w:color w:val="auto"/>
                      <w:sz w:val="18"/>
                      <w:szCs w:val="18"/>
                    </w:rPr>
                    <w:t>mg/m³</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速率</w:t>
                  </w:r>
                </w:p>
                <w:p>
                  <w:pPr>
                    <w:pStyle w:val="62"/>
                    <w:snapToGrid w:val="0"/>
                    <w:spacing w:line="240" w:lineRule="auto"/>
                    <w:ind w:left="0" w:right="0" w:firstLine="0"/>
                    <w:jc w:val="center"/>
                    <w:rPr>
                      <w:color w:val="auto"/>
                      <w:sz w:val="18"/>
                      <w:szCs w:val="18"/>
                    </w:rPr>
                  </w:pPr>
                  <w:r>
                    <w:rPr>
                      <w:color w:val="auto"/>
                      <w:sz w:val="18"/>
                      <w:szCs w:val="18"/>
                    </w:rPr>
                    <w:t>kg/h</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产生量</w:t>
                  </w:r>
                </w:p>
                <w:p>
                  <w:pPr>
                    <w:pStyle w:val="62"/>
                    <w:snapToGrid w:val="0"/>
                    <w:spacing w:line="240" w:lineRule="auto"/>
                    <w:ind w:left="0" w:right="0" w:firstLine="0"/>
                    <w:jc w:val="center"/>
                    <w:rPr>
                      <w:color w:val="auto"/>
                      <w:sz w:val="18"/>
                      <w:szCs w:val="18"/>
                    </w:rPr>
                  </w:pPr>
                  <w:r>
                    <w:rPr>
                      <w:color w:val="auto"/>
                      <w:sz w:val="18"/>
                      <w:szCs w:val="18"/>
                    </w:rPr>
                    <w:t>t/a</w:t>
                  </w:r>
                </w:p>
              </w:tc>
              <w:tc>
                <w:tcPr>
                  <w:tcW w:w="445" w:type="dxa"/>
                  <w:vMerge w:val="continue"/>
                  <w:noWrap w:val="0"/>
                  <w:vAlign w:val="center"/>
                </w:tcPr>
                <w:p>
                  <w:pPr>
                    <w:pStyle w:val="62"/>
                    <w:snapToGrid w:val="0"/>
                    <w:spacing w:line="240" w:lineRule="auto"/>
                    <w:ind w:left="0" w:right="0" w:firstLine="0"/>
                    <w:jc w:val="both"/>
                    <w:rPr>
                      <w:color w:val="auto"/>
                      <w:sz w:val="18"/>
                      <w:szCs w:val="18"/>
                    </w:rPr>
                  </w:pPr>
                </w:p>
              </w:tc>
              <w:tc>
                <w:tcPr>
                  <w:tcW w:w="644" w:type="dxa"/>
                  <w:vMerge w:val="continue"/>
                  <w:noWrap w:val="0"/>
                  <w:vAlign w:val="center"/>
                </w:tcPr>
                <w:p>
                  <w:pPr>
                    <w:pStyle w:val="62"/>
                    <w:snapToGrid w:val="0"/>
                    <w:spacing w:line="240" w:lineRule="auto"/>
                    <w:ind w:left="0" w:right="0" w:firstLine="0"/>
                    <w:jc w:val="center"/>
                    <w:rPr>
                      <w:color w:val="auto"/>
                      <w:sz w:val="18"/>
                      <w:szCs w:val="18"/>
                    </w:rPr>
                  </w:pPr>
                </w:p>
              </w:tc>
              <w:tc>
                <w:tcPr>
                  <w:tcW w:w="445" w:type="dxa"/>
                  <w:noWrap w:val="0"/>
                  <w:vAlign w:val="center"/>
                </w:tcPr>
                <w:p>
                  <w:pPr>
                    <w:pStyle w:val="62"/>
                    <w:snapToGrid w:val="0"/>
                    <w:spacing w:line="240" w:lineRule="auto"/>
                    <w:ind w:left="0" w:right="0" w:firstLine="0"/>
                    <w:jc w:val="center"/>
                    <w:rPr>
                      <w:color w:val="auto"/>
                      <w:sz w:val="18"/>
                      <w:szCs w:val="18"/>
                    </w:rPr>
                  </w:pPr>
                  <w:r>
                    <w:rPr>
                      <w:color w:val="auto"/>
                      <w:sz w:val="18"/>
                      <w:szCs w:val="18"/>
                    </w:rPr>
                    <w:t>污染物名称</w:t>
                  </w:r>
                </w:p>
              </w:tc>
              <w:tc>
                <w:tcPr>
                  <w:tcW w:w="569" w:type="dxa"/>
                  <w:noWrap w:val="0"/>
                  <w:vAlign w:val="center"/>
                </w:tcPr>
                <w:p>
                  <w:pPr>
                    <w:pStyle w:val="62"/>
                    <w:snapToGrid w:val="0"/>
                    <w:spacing w:line="240" w:lineRule="auto"/>
                    <w:ind w:left="0" w:right="0" w:firstLine="0"/>
                    <w:jc w:val="center"/>
                    <w:rPr>
                      <w:color w:val="auto"/>
                      <w:sz w:val="18"/>
                      <w:szCs w:val="18"/>
                    </w:rPr>
                  </w:pPr>
                  <w:r>
                    <w:rPr>
                      <w:color w:val="auto"/>
                      <w:sz w:val="18"/>
                      <w:szCs w:val="18"/>
                    </w:rPr>
                    <w:t>浓度</w:t>
                  </w:r>
                </w:p>
                <w:p>
                  <w:pPr>
                    <w:pStyle w:val="62"/>
                    <w:snapToGrid w:val="0"/>
                    <w:spacing w:line="240" w:lineRule="auto"/>
                    <w:ind w:left="0" w:right="0" w:firstLine="0"/>
                    <w:jc w:val="center"/>
                    <w:rPr>
                      <w:color w:val="auto"/>
                      <w:sz w:val="18"/>
                      <w:szCs w:val="18"/>
                    </w:rPr>
                  </w:pPr>
                  <w:r>
                    <w:rPr>
                      <w:color w:val="auto"/>
                      <w:sz w:val="18"/>
                      <w:szCs w:val="18"/>
                    </w:rPr>
                    <w:t>mg/m³</w:t>
                  </w:r>
                </w:p>
              </w:tc>
              <w:tc>
                <w:tcPr>
                  <w:tcW w:w="629" w:type="dxa"/>
                  <w:noWrap w:val="0"/>
                  <w:vAlign w:val="center"/>
                </w:tcPr>
                <w:p>
                  <w:pPr>
                    <w:pStyle w:val="62"/>
                    <w:snapToGrid w:val="0"/>
                    <w:spacing w:line="240" w:lineRule="auto"/>
                    <w:ind w:left="0" w:right="0" w:firstLine="0"/>
                    <w:jc w:val="center"/>
                    <w:rPr>
                      <w:color w:val="auto"/>
                      <w:sz w:val="18"/>
                      <w:szCs w:val="18"/>
                    </w:rPr>
                  </w:pPr>
                  <w:r>
                    <w:rPr>
                      <w:color w:val="auto"/>
                      <w:sz w:val="18"/>
                      <w:szCs w:val="18"/>
                    </w:rPr>
                    <w:t>速率</w:t>
                  </w:r>
                </w:p>
                <w:p>
                  <w:pPr>
                    <w:pStyle w:val="62"/>
                    <w:snapToGrid w:val="0"/>
                    <w:spacing w:line="240" w:lineRule="auto"/>
                    <w:ind w:left="0" w:right="0" w:firstLine="0"/>
                    <w:jc w:val="center"/>
                    <w:rPr>
                      <w:color w:val="auto"/>
                      <w:sz w:val="18"/>
                      <w:szCs w:val="18"/>
                    </w:rPr>
                  </w:pPr>
                  <w:r>
                    <w:rPr>
                      <w:color w:val="auto"/>
                      <w:sz w:val="18"/>
                      <w:szCs w:val="18"/>
                    </w:rPr>
                    <w:t>kg/h</w:t>
                  </w:r>
                </w:p>
              </w:tc>
              <w:tc>
                <w:tcPr>
                  <w:tcW w:w="837" w:type="dxa"/>
                  <w:noWrap w:val="0"/>
                  <w:vAlign w:val="center"/>
                </w:tcPr>
                <w:p>
                  <w:pPr>
                    <w:pStyle w:val="62"/>
                    <w:snapToGrid w:val="0"/>
                    <w:spacing w:line="240" w:lineRule="auto"/>
                    <w:ind w:left="0" w:right="0" w:firstLine="0"/>
                    <w:jc w:val="center"/>
                    <w:rPr>
                      <w:color w:val="auto"/>
                      <w:sz w:val="18"/>
                      <w:szCs w:val="18"/>
                    </w:rPr>
                  </w:pPr>
                  <w:r>
                    <w:rPr>
                      <w:color w:val="auto"/>
                      <w:sz w:val="18"/>
                      <w:szCs w:val="18"/>
                    </w:rPr>
                    <w:t>排放量</w:t>
                  </w:r>
                </w:p>
                <w:p>
                  <w:pPr>
                    <w:pStyle w:val="62"/>
                    <w:snapToGrid w:val="0"/>
                    <w:spacing w:line="240" w:lineRule="auto"/>
                    <w:ind w:left="0" w:right="0" w:firstLine="0"/>
                    <w:jc w:val="center"/>
                    <w:rPr>
                      <w:color w:val="auto"/>
                      <w:sz w:val="18"/>
                      <w:szCs w:val="18"/>
                    </w:rPr>
                  </w:pPr>
                  <w:r>
                    <w:rPr>
                      <w:color w:val="auto"/>
                      <w:sz w:val="18"/>
                      <w:szCs w:val="18"/>
                    </w:rPr>
                    <w:t>t/a</w:t>
                  </w:r>
                </w:p>
              </w:tc>
              <w:tc>
                <w:tcPr>
                  <w:tcW w:w="725" w:type="dxa"/>
                  <w:vMerge w:val="continue"/>
                  <w:noWrap w:val="0"/>
                  <w:vAlign w:val="center"/>
                </w:tcPr>
                <w:p>
                  <w:pPr>
                    <w:pStyle w:val="62"/>
                    <w:snapToGrid w:val="0"/>
                    <w:spacing w:line="240" w:lineRule="auto"/>
                    <w:ind w:left="0" w:right="0" w:firstLine="0"/>
                    <w:jc w:val="center"/>
                    <w:rPr>
                      <w:color w:val="auto"/>
                      <w:sz w:val="18"/>
                      <w:szCs w:val="18"/>
                    </w:rPr>
                  </w:pPr>
                </w:p>
              </w:tc>
              <w:tc>
                <w:tcPr>
                  <w:tcW w:w="762" w:type="dxa"/>
                  <w:vMerge w:val="continue"/>
                  <w:noWrap w:val="0"/>
                  <w:vAlign w:val="center"/>
                </w:tcPr>
                <w:p>
                  <w:pPr>
                    <w:pStyle w:val="62"/>
                    <w:snapToGrid w:val="0"/>
                    <w:spacing w:line="240" w:lineRule="auto"/>
                    <w:ind w:left="0" w:right="0" w:firstLine="0"/>
                    <w:jc w:val="center"/>
                    <w:rPr>
                      <w:color w:val="auto"/>
                      <w:sz w:val="18"/>
                      <w:szCs w:val="18"/>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01"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污水处理区</w:t>
                  </w:r>
                </w:p>
              </w:tc>
              <w:tc>
                <w:tcPr>
                  <w:tcW w:w="962" w:type="dxa"/>
                  <w:noWrap w:val="0"/>
                  <w:vAlign w:val="center"/>
                </w:tcPr>
                <w:p>
                  <w:pPr>
                    <w:pStyle w:val="62"/>
                    <w:snapToGrid w:val="0"/>
                    <w:spacing w:line="240" w:lineRule="auto"/>
                    <w:ind w:left="0" w:right="0" w:firstLine="0"/>
                    <w:jc w:val="center"/>
                    <w:rPr>
                      <w:bCs/>
                      <w:color w:val="auto"/>
                      <w:sz w:val="18"/>
                      <w:szCs w:val="18"/>
                    </w:rPr>
                  </w:pPr>
                  <w:r>
                    <w:rPr>
                      <w:bCs/>
                      <w:color w:val="auto"/>
                      <w:sz w:val="18"/>
                      <w:szCs w:val="18"/>
                    </w:rPr>
                    <w:t>NH</w:t>
                  </w:r>
                  <w:r>
                    <w:rPr>
                      <w:bCs/>
                      <w:color w:val="auto"/>
                      <w:sz w:val="18"/>
                      <w:szCs w:val="18"/>
                      <w:vertAlign w:val="subscript"/>
                    </w:rPr>
                    <w:t>3</w:t>
                  </w:r>
                </w:p>
              </w:tc>
              <w:tc>
                <w:tcPr>
                  <w:tcW w:w="913" w:type="dxa"/>
                  <w:noWrap w:val="0"/>
                  <w:vAlign w:val="center"/>
                </w:tcPr>
                <w:p>
                  <w:pPr>
                    <w:widowControl/>
                    <w:adjustRightInd w:val="0"/>
                    <w:snapToGrid w:val="0"/>
                    <w:jc w:val="center"/>
                    <w:textAlignment w:val="center"/>
                    <w:rPr>
                      <w:color w:val="auto"/>
                      <w:sz w:val="18"/>
                      <w:szCs w:val="18"/>
                    </w:rPr>
                  </w:pPr>
                  <w:r>
                    <w:rPr>
                      <w:color w:val="auto"/>
                      <w:sz w:val="18"/>
                      <w:szCs w:val="18"/>
                    </w:rPr>
                    <w:t>3.3</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0.0005</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0.00438</w:t>
                  </w:r>
                </w:p>
              </w:tc>
              <w:tc>
                <w:tcPr>
                  <w:tcW w:w="445" w:type="dxa"/>
                  <w:vMerge w:val="restart"/>
                  <w:noWrap w:val="0"/>
                  <w:vAlign w:val="center"/>
                </w:tcPr>
                <w:p>
                  <w:pPr>
                    <w:pStyle w:val="62"/>
                    <w:snapToGrid w:val="0"/>
                    <w:spacing w:line="240" w:lineRule="auto"/>
                    <w:ind w:left="0" w:right="0" w:firstLine="0"/>
                    <w:jc w:val="center"/>
                    <w:rPr>
                      <w:rFonts w:hint="eastAsia"/>
                      <w:color w:val="auto"/>
                      <w:sz w:val="18"/>
                      <w:szCs w:val="18"/>
                    </w:rPr>
                  </w:pPr>
                  <w:r>
                    <w:rPr>
                      <w:rFonts w:hint="eastAsia"/>
                      <w:color w:val="auto"/>
                      <w:sz w:val="18"/>
                      <w:szCs w:val="18"/>
                    </w:rPr>
                    <w:t>加盖密闭，喷洒除臭剂</w:t>
                  </w:r>
                </w:p>
              </w:tc>
              <w:tc>
                <w:tcPr>
                  <w:tcW w:w="644"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去除率90%</w:t>
                  </w:r>
                </w:p>
              </w:tc>
              <w:tc>
                <w:tcPr>
                  <w:tcW w:w="445" w:type="dxa"/>
                  <w:noWrap w:val="0"/>
                  <w:vAlign w:val="center"/>
                </w:tcPr>
                <w:p>
                  <w:pPr>
                    <w:pStyle w:val="62"/>
                    <w:snapToGrid w:val="0"/>
                    <w:spacing w:line="240" w:lineRule="auto"/>
                    <w:ind w:left="0" w:right="0" w:firstLine="0"/>
                    <w:jc w:val="center"/>
                    <w:rPr>
                      <w:color w:val="auto"/>
                      <w:sz w:val="18"/>
                      <w:szCs w:val="18"/>
                    </w:rPr>
                  </w:pPr>
                  <w:r>
                    <w:rPr>
                      <w:bCs/>
                      <w:color w:val="auto"/>
                      <w:sz w:val="18"/>
                      <w:szCs w:val="18"/>
                    </w:rPr>
                    <w:t>NH</w:t>
                  </w:r>
                  <w:r>
                    <w:rPr>
                      <w:bCs/>
                      <w:color w:val="auto"/>
                      <w:sz w:val="18"/>
                      <w:szCs w:val="18"/>
                      <w:vertAlign w:val="subscript"/>
                    </w:rPr>
                    <w:t>3</w:t>
                  </w:r>
                </w:p>
              </w:tc>
              <w:tc>
                <w:tcPr>
                  <w:tcW w:w="569" w:type="dxa"/>
                  <w:noWrap w:val="0"/>
                  <w:vAlign w:val="center"/>
                </w:tcPr>
                <w:p>
                  <w:pPr>
                    <w:widowControl/>
                    <w:adjustRightInd w:val="0"/>
                    <w:snapToGrid w:val="0"/>
                    <w:jc w:val="left"/>
                    <w:textAlignment w:val="center"/>
                    <w:rPr>
                      <w:color w:val="auto"/>
                      <w:sz w:val="18"/>
                      <w:szCs w:val="18"/>
                    </w:rPr>
                  </w:pPr>
                  <w:r>
                    <w:rPr>
                      <w:color w:val="auto"/>
                      <w:sz w:val="18"/>
                      <w:szCs w:val="18"/>
                    </w:rPr>
                    <w:t>0.33</w:t>
                  </w:r>
                </w:p>
              </w:tc>
              <w:tc>
                <w:tcPr>
                  <w:tcW w:w="629" w:type="dxa"/>
                  <w:noWrap w:val="0"/>
                  <w:vAlign w:val="center"/>
                </w:tcPr>
                <w:p>
                  <w:pPr>
                    <w:widowControl/>
                    <w:adjustRightInd w:val="0"/>
                    <w:snapToGrid w:val="0"/>
                    <w:jc w:val="center"/>
                    <w:textAlignment w:val="center"/>
                    <w:rPr>
                      <w:color w:val="auto"/>
                      <w:sz w:val="18"/>
                      <w:szCs w:val="18"/>
                    </w:rPr>
                  </w:pPr>
                  <w:r>
                    <w:rPr>
                      <w:color w:val="auto"/>
                      <w:sz w:val="18"/>
                      <w:szCs w:val="18"/>
                    </w:rPr>
                    <w:t>0.0005</w:t>
                  </w:r>
                </w:p>
              </w:tc>
              <w:tc>
                <w:tcPr>
                  <w:tcW w:w="837" w:type="dxa"/>
                  <w:noWrap w:val="0"/>
                  <w:vAlign w:val="center"/>
                </w:tcPr>
                <w:p>
                  <w:pPr>
                    <w:widowControl/>
                    <w:adjustRightInd w:val="0"/>
                    <w:snapToGrid w:val="0"/>
                    <w:jc w:val="center"/>
                    <w:textAlignment w:val="center"/>
                    <w:rPr>
                      <w:color w:val="auto"/>
                      <w:sz w:val="18"/>
                      <w:szCs w:val="18"/>
                    </w:rPr>
                  </w:pPr>
                  <w:r>
                    <w:rPr>
                      <w:color w:val="auto"/>
                      <w:sz w:val="18"/>
                      <w:szCs w:val="18"/>
                    </w:rPr>
                    <w:t>0.000438</w:t>
                  </w:r>
                </w:p>
              </w:tc>
              <w:tc>
                <w:tcPr>
                  <w:tcW w:w="725" w:type="dxa"/>
                  <w:noWrap w:val="0"/>
                  <w:vAlign w:val="center"/>
                </w:tcPr>
                <w:p>
                  <w:pPr>
                    <w:pStyle w:val="62"/>
                    <w:snapToGrid w:val="0"/>
                    <w:spacing w:line="240" w:lineRule="auto"/>
                    <w:ind w:left="0" w:right="0" w:firstLine="0"/>
                    <w:jc w:val="center"/>
                    <w:rPr>
                      <w:color w:val="auto"/>
                      <w:sz w:val="18"/>
                      <w:szCs w:val="18"/>
                    </w:rPr>
                  </w:pPr>
                  <w:r>
                    <w:rPr>
                      <w:color w:val="auto"/>
                      <w:sz w:val="18"/>
                      <w:szCs w:val="18"/>
                    </w:rPr>
                    <w:t>0.33</w:t>
                  </w:r>
                </w:p>
              </w:tc>
              <w:tc>
                <w:tcPr>
                  <w:tcW w:w="762" w:type="dxa"/>
                  <w:vMerge w:val="restart"/>
                  <w:noWrap w:val="0"/>
                  <w:vAlign w:val="center"/>
                </w:tcPr>
                <w:p>
                  <w:pPr>
                    <w:pStyle w:val="62"/>
                    <w:snapToGrid w:val="0"/>
                    <w:spacing w:line="240" w:lineRule="auto"/>
                    <w:ind w:left="0" w:right="0" w:firstLine="0"/>
                    <w:jc w:val="center"/>
                    <w:rPr>
                      <w:color w:val="auto"/>
                      <w:sz w:val="18"/>
                      <w:szCs w:val="18"/>
                    </w:rPr>
                  </w:pPr>
                  <w:r>
                    <w:rPr>
                      <w:color w:val="auto"/>
                      <w:sz w:val="18"/>
                      <w:szCs w:val="18"/>
                    </w:rPr>
                    <w:t>连续</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vMerge w:val="continue"/>
                  <w:noWrap w:val="0"/>
                  <w:vAlign w:val="center"/>
                </w:tcPr>
                <w:p>
                  <w:pPr>
                    <w:pStyle w:val="62"/>
                    <w:snapToGrid w:val="0"/>
                    <w:spacing w:line="240" w:lineRule="auto"/>
                    <w:ind w:left="0" w:right="0" w:firstLine="0"/>
                    <w:jc w:val="center"/>
                    <w:rPr>
                      <w:color w:val="auto"/>
                      <w:sz w:val="18"/>
                      <w:szCs w:val="18"/>
                    </w:rPr>
                  </w:pPr>
                </w:p>
              </w:tc>
              <w:tc>
                <w:tcPr>
                  <w:tcW w:w="962" w:type="dxa"/>
                  <w:noWrap w:val="0"/>
                  <w:vAlign w:val="center"/>
                </w:tcPr>
                <w:p>
                  <w:pPr>
                    <w:pStyle w:val="62"/>
                    <w:snapToGrid w:val="0"/>
                    <w:spacing w:line="240" w:lineRule="auto"/>
                    <w:ind w:left="0" w:right="0" w:firstLine="0"/>
                    <w:jc w:val="center"/>
                    <w:rPr>
                      <w:color w:val="auto"/>
                      <w:sz w:val="18"/>
                      <w:szCs w:val="18"/>
                    </w:rPr>
                  </w:pPr>
                  <w:r>
                    <w:rPr>
                      <w:bCs/>
                      <w:color w:val="auto"/>
                      <w:sz w:val="18"/>
                      <w:szCs w:val="18"/>
                    </w:rPr>
                    <w:t>H</w:t>
                  </w:r>
                  <w:r>
                    <w:rPr>
                      <w:bCs/>
                      <w:color w:val="auto"/>
                      <w:sz w:val="18"/>
                      <w:szCs w:val="18"/>
                      <w:vertAlign w:val="subscript"/>
                    </w:rPr>
                    <w:t>2</w:t>
                  </w:r>
                  <w:r>
                    <w:rPr>
                      <w:bCs/>
                      <w:color w:val="auto"/>
                      <w:sz w:val="18"/>
                      <w:szCs w:val="18"/>
                    </w:rPr>
                    <w:t>S</w:t>
                  </w:r>
                </w:p>
              </w:tc>
              <w:tc>
                <w:tcPr>
                  <w:tcW w:w="913" w:type="dxa"/>
                  <w:noWrap w:val="0"/>
                  <w:vAlign w:val="center"/>
                </w:tcPr>
                <w:p>
                  <w:pPr>
                    <w:widowControl/>
                    <w:adjustRightInd w:val="0"/>
                    <w:snapToGrid w:val="0"/>
                    <w:jc w:val="center"/>
                    <w:textAlignment w:val="center"/>
                    <w:rPr>
                      <w:color w:val="auto"/>
                      <w:sz w:val="18"/>
                      <w:szCs w:val="18"/>
                    </w:rPr>
                  </w:pPr>
                  <w:r>
                    <w:rPr>
                      <w:color w:val="auto"/>
                      <w:sz w:val="18"/>
                      <w:szCs w:val="18"/>
                    </w:rPr>
                    <w:t>0.036</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0.00011</w:t>
                  </w:r>
                </w:p>
              </w:tc>
              <w:tc>
                <w:tcPr>
                  <w:tcW w:w="634" w:type="dxa"/>
                  <w:noWrap w:val="0"/>
                  <w:vAlign w:val="center"/>
                </w:tcPr>
                <w:p>
                  <w:pPr>
                    <w:pStyle w:val="62"/>
                    <w:snapToGrid w:val="0"/>
                    <w:spacing w:line="240" w:lineRule="auto"/>
                    <w:ind w:left="0" w:right="0" w:firstLine="0"/>
                    <w:jc w:val="center"/>
                    <w:rPr>
                      <w:color w:val="auto"/>
                      <w:sz w:val="18"/>
                      <w:szCs w:val="18"/>
                    </w:rPr>
                  </w:pPr>
                  <w:r>
                    <w:rPr>
                      <w:color w:val="auto"/>
                      <w:sz w:val="18"/>
                      <w:szCs w:val="18"/>
                    </w:rPr>
                    <w:t>0.00096</w:t>
                  </w:r>
                </w:p>
              </w:tc>
              <w:tc>
                <w:tcPr>
                  <w:tcW w:w="445" w:type="dxa"/>
                  <w:vMerge w:val="continue"/>
                  <w:noWrap w:val="0"/>
                  <w:vAlign w:val="center"/>
                </w:tcPr>
                <w:p>
                  <w:pPr>
                    <w:pStyle w:val="62"/>
                    <w:snapToGrid w:val="0"/>
                    <w:spacing w:line="240" w:lineRule="auto"/>
                    <w:ind w:left="0" w:right="0" w:firstLine="0"/>
                    <w:jc w:val="center"/>
                    <w:rPr>
                      <w:color w:val="auto"/>
                      <w:sz w:val="18"/>
                      <w:szCs w:val="18"/>
                    </w:rPr>
                  </w:pPr>
                </w:p>
              </w:tc>
              <w:tc>
                <w:tcPr>
                  <w:tcW w:w="644" w:type="dxa"/>
                  <w:vMerge w:val="continue"/>
                  <w:noWrap w:val="0"/>
                  <w:vAlign w:val="center"/>
                </w:tcPr>
                <w:p>
                  <w:pPr>
                    <w:pStyle w:val="62"/>
                    <w:snapToGrid w:val="0"/>
                    <w:spacing w:line="240" w:lineRule="auto"/>
                    <w:ind w:left="0" w:right="0" w:firstLine="0"/>
                    <w:jc w:val="center"/>
                    <w:rPr>
                      <w:color w:val="auto"/>
                      <w:sz w:val="18"/>
                      <w:szCs w:val="18"/>
                    </w:rPr>
                  </w:pPr>
                </w:p>
              </w:tc>
              <w:tc>
                <w:tcPr>
                  <w:tcW w:w="445" w:type="dxa"/>
                  <w:noWrap w:val="0"/>
                  <w:vAlign w:val="center"/>
                </w:tcPr>
                <w:p>
                  <w:pPr>
                    <w:widowControl/>
                    <w:adjustRightInd w:val="0"/>
                    <w:snapToGrid w:val="0"/>
                    <w:jc w:val="left"/>
                    <w:textAlignment w:val="center"/>
                    <w:rPr>
                      <w:color w:val="auto"/>
                      <w:sz w:val="18"/>
                      <w:szCs w:val="18"/>
                    </w:rPr>
                  </w:pPr>
                  <w:r>
                    <w:rPr>
                      <w:bCs/>
                      <w:color w:val="auto"/>
                      <w:sz w:val="18"/>
                      <w:szCs w:val="18"/>
                    </w:rPr>
                    <w:t>H</w:t>
                  </w:r>
                  <w:r>
                    <w:rPr>
                      <w:bCs/>
                      <w:color w:val="auto"/>
                      <w:sz w:val="18"/>
                      <w:szCs w:val="18"/>
                      <w:vertAlign w:val="subscript"/>
                    </w:rPr>
                    <w:t>2</w:t>
                  </w:r>
                  <w:r>
                    <w:rPr>
                      <w:bCs/>
                      <w:color w:val="auto"/>
                      <w:sz w:val="18"/>
                      <w:szCs w:val="18"/>
                    </w:rPr>
                    <w:t>S</w:t>
                  </w:r>
                </w:p>
              </w:tc>
              <w:tc>
                <w:tcPr>
                  <w:tcW w:w="569" w:type="dxa"/>
                  <w:noWrap w:val="0"/>
                  <w:vAlign w:val="center"/>
                </w:tcPr>
                <w:p>
                  <w:pPr>
                    <w:widowControl/>
                    <w:adjustRightInd w:val="0"/>
                    <w:snapToGrid w:val="0"/>
                    <w:jc w:val="left"/>
                    <w:textAlignment w:val="center"/>
                    <w:rPr>
                      <w:color w:val="auto"/>
                      <w:sz w:val="18"/>
                      <w:szCs w:val="18"/>
                    </w:rPr>
                  </w:pPr>
                  <w:r>
                    <w:rPr>
                      <w:color w:val="auto"/>
                      <w:sz w:val="18"/>
                      <w:szCs w:val="18"/>
                    </w:rPr>
                    <w:t>0.0036</w:t>
                  </w:r>
                </w:p>
              </w:tc>
              <w:tc>
                <w:tcPr>
                  <w:tcW w:w="629" w:type="dxa"/>
                  <w:noWrap w:val="0"/>
                  <w:vAlign w:val="center"/>
                </w:tcPr>
                <w:p>
                  <w:pPr>
                    <w:widowControl/>
                    <w:adjustRightInd w:val="0"/>
                    <w:snapToGrid w:val="0"/>
                    <w:jc w:val="left"/>
                    <w:textAlignment w:val="center"/>
                    <w:rPr>
                      <w:color w:val="auto"/>
                      <w:sz w:val="18"/>
                      <w:szCs w:val="18"/>
                    </w:rPr>
                  </w:pPr>
                  <w:r>
                    <w:rPr>
                      <w:color w:val="auto"/>
                      <w:sz w:val="18"/>
                      <w:szCs w:val="18"/>
                    </w:rPr>
                    <w:t>0.00011</w:t>
                  </w:r>
                </w:p>
              </w:tc>
              <w:tc>
                <w:tcPr>
                  <w:tcW w:w="837" w:type="dxa"/>
                  <w:noWrap w:val="0"/>
                  <w:vAlign w:val="center"/>
                </w:tcPr>
                <w:p>
                  <w:pPr>
                    <w:widowControl/>
                    <w:adjustRightInd w:val="0"/>
                    <w:snapToGrid w:val="0"/>
                    <w:jc w:val="left"/>
                    <w:textAlignment w:val="center"/>
                    <w:rPr>
                      <w:color w:val="auto"/>
                      <w:sz w:val="18"/>
                      <w:szCs w:val="18"/>
                    </w:rPr>
                  </w:pPr>
                  <w:r>
                    <w:rPr>
                      <w:color w:val="auto"/>
                      <w:sz w:val="18"/>
                      <w:szCs w:val="18"/>
                    </w:rPr>
                    <w:t>0.000096</w:t>
                  </w:r>
                </w:p>
              </w:tc>
              <w:tc>
                <w:tcPr>
                  <w:tcW w:w="725" w:type="dxa"/>
                  <w:noWrap w:val="0"/>
                  <w:vAlign w:val="center"/>
                </w:tcPr>
                <w:p>
                  <w:pPr>
                    <w:pStyle w:val="62"/>
                    <w:snapToGrid w:val="0"/>
                    <w:spacing w:line="240" w:lineRule="auto"/>
                    <w:ind w:left="0" w:right="0" w:firstLine="0"/>
                    <w:jc w:val="center"/>
                    <w:rPr>
                      <w:color w:val="auto"/>
                      <w:sz w:val="18"/>
                      <w:szCs w:val="18"/>
                    </w:rPr>
                  </w:pPr>
                  <w:r>
                    <w:rPr>
                      <w:color w:val="auto"/>
                      <w:sz w:val="18"/>
                      <w:szCs w:val="18"/>
                    </w:rPr>
                    <w:t>4.9</w:t>
                  </w:r>
                </w:p>
              </w:tc>
              <w:tc>
                <w:tcPr>
                  <w:tcW w:w="762" w:type="dxa"/>
                  <w:vMerge w:val="continue"/>
                  <w:noWrap w:val="0"/>
                  <w:vAlign w:val="center"/>
                </w:tcPr>
                <w:p>
                  <w:pPr>
                    <w:pStyle w:val="62"/>
                    <w:snapToGrid w:val="0"/>
                    <w:spacing w:line="240" w:lineRule="auto"/>
                    <w:ind w:left="0" w:right="0" w:firstLine="0"/>
                    <w:jc w:val="center"/>
                    <w:rPr>
                      <w:color w:val="auto"/>
                      <w:sz w:val="18"/>
                      <w:szCs w:val="18"/>
                    </w:rPr>
                  </w:pPr>
                </w:p>
              </w:tc>
            </w:tr>
          </w:tbl>
          <w:p>
            <w:pPr>
              <w:pStyle w:val="46"/>
              <w:spacing w:before="0" w:line="360" w:lineRule="auto"/>
              <w:ind w:firstLine="482"/>
              <w:rPr>
                <w:b/>
                <w:bCs/>
                <w:color w:val="auto"/>
              </w:rPr>
            </w:pPr>
            <w:r>
              <w:rPr>
                <w:b/>
                <w:bCs/>
                <w:color w:val="auto"/>
              </w:rPr>
              <w:t>2.废水污染源分析</w:t>
            </w:r>
          </w:p>
          <w:p>
            <w:pPr>
              <w:adjustRightInd w:val="0"/>
              <w:snapToGrid w:val="0"/>
              <w:spacing w:line="360" w:lineRule="auto"/>
              <w:ind w:firstLine="480" w:firstLineChars="200"/>
              <w:rPr>
                <w:color w:val="auto"/>
              </w:rPr>
            </w:pPr>
            <w:r>
              <w:rPr>
                <w:color w:val="auto"/>
              </w:rPr>
              <w:t>本项目运营后，主要用水环节为生产、生活用水和设备、场地冲洗用水等。生活污水和冲洗废水收集后进入化粪池，纳入污水处理设备处理。</w:t>
            </w:r>
          </w:p>
          <w:p>
            <w:pPr>
              <w:adjustRightInd w:val="0"/>
              <w:snapToGrid w:val="0"/>
              <w:spacing w:line="360" w:lineRule="auto"/>
              <w:ind w:firstLine="480" w:firstLineChars="200"/>
              <w:rPr>
                <w:color w:val="auto"/>
              </w:rPr>
            </w:pPr>
            <w:r>
              <w:rPr>
                <w:color w:val="auto"/>
              </w:rPr>
              <w:t>生产污水：如果污水处理设备出现故障，出现污水超标排放，还可能造成大量污水未经处理集中排放，可能对受纳水体产生较大影响。本污水处理设备设计处理规模为60m</w:t>
            </w:r>
            <w:r>
              <w:rPr>
                <w:color w:val="auto"/>
                <w:vertAlign w:val="superscript"/>
              </w:rPr>
              <w:t>3</w:t>
            </w:r>
            <w:r>
              <w:rPr>
                <w:color w:val="auto"/>
              </w:rPr>
              <w:t>/d，污水处理站设计进水水质：</w:t>
            </w:r>
            <w:r>
              <w:rPr>
                <w:bCs/>
                <w:color w:val="auto"/>
              </w:rPr>
              <w:t>COD≤300mg/L、BOD</w:t>
            </w:r>
            <w:r>
              <w:rPr>
                <w:bCs/>
                <w:color w:val="auto"/>
                <w:vertAlign w:val="subscript"/>
              </w:rPr>
              <w:t>5</w:t>
            </w:r>
            <w:r>
              <w:rPr>
                <w:bCs/>
                <w:color w:val="auto"/>
              </w:rPr>
              <w:t>≤150mg/L、SS≤150mg/L、NH</w:t>
            </w:r>
            <w:r>
              <w:rPr>
                <w:bCs/>
                <w:color w:val="auto"/>
                <w:vertAlign w:val="subscript"/>
              </w:rPr>
              <w:t>3</w:t>
            </w:r>
            <w:r>
              <w:rPr>
                <w:bCs/>
                <w:color w:val="auto"/>
              </w:rPr>
              <w:t>-N≤20mg/L、pH6～9。污水排放标准达到四川省《农村生活污水处理设施水污染物排放标准》（DB51/ 2626-2019）一级标准，出水水质为：COD≤60mg/L、BOD</w:t>
            </w:r>
            <w:r>
              <w:rPr>
                <w:bCs/>
                <w:color w:val="auto"/>
                <w:vertAlign w:val="subscript"/>
              </w:rPr>
              <w:t>5</w:t>
            </w:r>
            <w:r>
              <w:rPr>
                <w:bCs/>
                <w:color w:val="auto"/>
              </w:rPr>
              <w:t>≤10mg/L、SS≤20mg/L、NH</w:t>
            </w:r>
            <w:r>
              <w:rPr>
                <w:bCs/>
                <w:color w:val="auto"/>
                <w:vertAlign w:val="subscript"/>
              </w:rPr>
              <w:t>3</w:t>
            </w:r>
            <w:r>
              <w:rPr>
                <w:bCs/>
                <w:color w:val="auto"/>
              </w:rPr>
              <w:t>-N≤8mg/L。</w:t>
            </w:r>
          </w:p>
          <w:p>
            <w:pPr>
              <w:adjustRightInd w:val="0"/>
              <w:snapToGrid w:val="0"/>
              <w:spacing w:line="360" w:lineRule="auto"/>
              <w:ind w:firstLine="480" w:firstLineChars="200"/>
              <w:rPr>
                <w:color w:val="auto"/>
              </w:rPr>
            </w:pPr>
            <w:r>
              <w:rPr>
                <w:color w:val="auto"/>
              </w:rPr>
              <w:t>站内生活污水：本项目</w:t>
            </w:r>
            <w:r>
              <w:rPr>
                <w:rFonts w:hint="eastAsia"/>
                <w:color w:val="auto"/>
              </w:rPr>
              <w:t>劳动</w:t>
            </w:r>
            <w:r>
              <w:rPr>
                <w:color w:val="auto"/>
              </w:rPr>
              <w:t>定员1人，</w:t>
            </w:r>
            <w:r>
              <w:rPr>
                <w:rFonts w:hint="eastAsia"/>
                <w:color w:val="auto"/>
              </w:rPr>
              <w:t>为兼职人员（为附近村民），其生活污水纳入本项目污水处理设施处理；其</w:t>
            </w:r>
            <w:r>
              <w:rPr>
                <w:color w:val="auto"/>
              </w:rPr>
              <w:t>用水定额0.08m</w:t>
            </w:r>
            <w:r>
              <w:rPr>
                <w:color w:val="auto"/>
                <w:vertAlign w:val="superscript"/>
              </w:rPr>
              <w:t>3</w:t>
            </w:r>
            <w:r>
              <w:rPr>
                <w:color w:val="auto"/>
              </w:rPr>
              <w:t>/d，则每天用水量总量为0.08m</w:t>
            </w:r>
            <w:r>
              <w:rPr>
                <w:color w:val="auto"/>
                <w:vertAlign w:val="superscript"/>
              </w:rPr>
              <w:t>3</w:t>
            </w:r>
            <w:r>
              <w:rPr>
                <w:color w:val="auto"/>
              </w:rPr>
              <w:t>/d，污水排放量按排污系数0.8确定，则预测生活污水每天排放量为0.064m</w:t>
            </w:r>
            <w:r>
              <w:rPr>
                <w:color w:val="auto"/>
                <w:vertAlign w:val="superscript"/>
              </w:rPr>
              <w:t>3</w:t>
            </w:r>
            <w:r>
              <w:rPr>
                <w:color w:val="auto"/>
              </w:rPr>
              <w:t>/d</w:t>
            </w:r>
            <w:r>
              <w:rPr>
                <w:color w:val="auto"/>
                <w:kern w:val="0"/>
              </w:rPr>
              <w:t>。类比同行业，厂区冲洗用水约0.4m</w:t>
            </w:r>
            <w:r>
              <w:rPr>
                <w:color w:val="auto"/>
                <w:kern w:val="0"/>
                <w:vertAlign w:val="superscript"/>
              </w:rPr>
              <w:t>3</w:t>
            </w:r>
            <w:r>
              <w:rPr>
                <w:color w:val="auto"/>
                <w:kern w:val="0"/>
              </w:rPr>
              <w:t>/d，排污系数按0.8计，则冲洗废水为0.32m</w:t>
            </w:r>
            <w:r>
              <w:rPr>
                <w:color w:val="auto"/>
                <w:kern w:val="0"/>
                <w:vertAlign w:val="superscript"/>
              </w:rPr>
              <w:t>3</w:t>
            </w:r>
            <w:r>
              <w:rPr>
                <w:color w:val="auto"/>
                <w:kern w:val="0"/>
              </w:rPr>
              <w:t>/d。生活污水与冲洗废水一同汇入</w:t>
            </w:r>
            <w:r>
              <w:rPr>
                <w:color w:val="auto"/>
              </w:rPr>
              <w:t>污水处理站处理。本项目水平衡图如下：</w:t>
            </w:r>
          </w:p>
          <w:p>
            <w:pPr>
              <w:spacing w:line="360" w:lineRule="auto"/>
              <w:ind w:firstLine="480" w:firstLineChars="200"/>
              <w:rPr>
                <w:rFonts w:eastAsia="黑体"/>
                <w:bCs/>
                <w:color w:val="auto"/>
                <w:sz w:val="21"/>
                <w:szCs w:val="21"/>
              </w:rPr>
            </w:pPr>
            <w:r>
              <w:rPr>
                <w:color w:val="auto"/>
              </w:rPr>
              <w:drawing>
                <wp:inline distT="0" distB="0" distL="114300" distR="114300">
                  <wp:extent cx="5234305" cy="2631440"/>
                  <wp:effectExtent l="0" t="0" r="4445" b="16510"/>
                  <wp:docPr id="10" name="图片 39" descr="微信图片_2018122223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9" descr="微信图片_20181222232735"/>
                          <pic:cNvPicPr>
                            <a:picLocks noChangeAspect="1"/>
                          </pic:cNvPicPr>
                        </pic:nvPicPr>
                        <pic:blipFill>
                          <a:blip r:embed="rId32"/>
                          <a:srcRect l="6145" t="5203" r="1610" b="4898"/>
                          <a:stretch>
                            <a:fillRect/>
                          </a:stretch>
                        </pic:blipFill>
                        <pic:spPr>
                          <a:xfrm>
                            <a:off x="0" y="0"/>
                            <a:ext cx="5234305" cy="2631440"/>
                          </a:xfrm>
                          <a:prstGeom prst="rect">
                            <a:avLst/>
                          </a:prstGeom>
                          <a:noFill/>
                          <a:ln>
                            <a:noFill/>
                          </a:ln>
                        </pic:spPr>
                      </pic:pic>
                    </a:graphicData>
                  </a:graphic>
                </wp:inline>
              </w:drawing>
            </w:r>
          </w:p>
          <w:p>
            <w:pPr>
              <w:adjustRightInd w:val="0"/>
              <w:snapToGrid w:val="0"/>
              <w:spacing w:line="360" w:lineRule="auto"/>
              <w:ind w:firstLine="480" w:firstLineChars="200"/>
              <w:jc w:val="center"/>
              <w:rPr>
                <w:rStyle w:val="106"/>
                <w:rFonts w:eastAsia="黑体"/>
                <w:bCs/>
                <w:color w:val="auto"/>
              </w:rPr>
            </w:pPr>
            <w:r>
              <w:rPr>
                <w:rStyle w:val="106"/>
                <w:rFonts w:eastAsia="黑体"/>
                <w:color w:val="auto"/>
              </w:rPr>
              <w:t>图5-6  项目水平衡图</w:t>
            </w:r>
          </w:p>
          <w:p>
            <w:pPr>
              <w:adjustRightInd w:val="0"/>
              <w:snapToGrid w:val="0"/>
              <w:spacing w:line="360" w:lineRule="auto"/>
              <w:ind w:firstLine="480" w:firstLineChars="200"/>
              <w:rPr>
                <w:color w:val="auto"/>
              </w:rPr>
            </w:pPr>
            <w:r>
              <w:rPr>
                <w:color w:val="auto"/>
              </w:rPr>
              <w:t>运营期满负荷条件下，污水处理站排放口各污染物排放浓度和排放量见表5-</w:t>
            </w:r>
            <w:r>
              <w:rPr>
                <w:rFonts w:hint="eastAsia"/>
                <w:color w:val="auto"/>
                <w:lang w:val="en-US" w:eastAsia="zh-CN"/>
              </w:rPr>
              <w:t>6</w:t>
            </w:r>
            <w:r>
              <w:rPr>
                <w:color w:val="auto"/>
              </w:rPr>
              <w:t>。</w:t>
            </w:r>
          </w:p>
          <w:p>
            <w:pPr>
              <w:pStyle w:val="56"/>
              <w:spacing w:before="120" w:after="120"/>
              <w:jc w:val="center"/>
              <w:rPr>
                <w:rFonts w:ascii="Times New Roman" w:hAnsi="Times New Roman" w:eastAsia="黑体"/>
                <w:color w:val="auto"/>
                <w:spacing w:val="20"/>
                <w:sz w:val="24"/>
                <w:szCs w:val="24"/>
              </w:rPr>
            </w:pPr>
            <w:r>
              <w:rPr>
                <w:rFonts w:ascii="Times New Roman" w:hAnsi="Times New Roman" w:eastAsia="黑体"/>
                <w:color w:val="auto"/>
                <w:spacing w:val="20"/>
                <w:sz w:val="24"/>
                <w:szCs w:val="24"/>
              </w:rPr>
              <w:t>表5-</w:t>
            </w:r>
            <w:r>
              <w:rPr>
                <w:rFonts w:hint="eastAsia" w:ascii="Times New Roman" w:hAnsi="Times New Roman" w:eastAsia="黑体"/>
                <w:color w:val="auto"/>
                <w:spacing w:val="20"/>
                <w:sz w:val="24"/>
                <w:szCs w:val="24"/>
                <w:lang w:val="en-US" w:eastAsia="zh-CN"/>
              </w:rPr>
              <w:t>6</w:t>
            </w:r>
            <w:r>
              <w:rPr>
                <w:rFonts w:ascii="Times New Roman" w:hAnsi="Times New Roman" w:eastAsia="黑体"/>
                <w:color w:val="auto"/>
                <w:spacing w:val="20"/>
                <w:sz w:val="24"/>
                <w:szCs w:val="24"/>
              </w:rPr>
              <w:t xml:space="preserve">  污水处理前后“两本账”分析</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1"/>
              <w:gridCol w:w="1520"/>
              <w:gridCol w:w="1278"/>
              <w:gridCol w:w="1278"/>
              <w:gridCol w:w="1279"/>
              <w:gridCol w:w="1335"/>
              <w:gridCol w:w="13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1031" w:type="dxa"/>
                  <w:noWrap w:val="0"/>
                  <w:vAlign w:val="center"/>
                </w:tcPr>
                <w:p>
                  <w:pPr>
                    <w:jc w:val="center"/>
                    <w:rPr>
                      <w:b/>
                      <w:color w:val="auto"/>
                      <w:sz w:val="21"/>
                      <w:szCs w:val="21"/>
                    </w:rPr>
                  </w:pPr>
                  <w:r>
                    <w:rPr>
                      <w:b/>
                      <w:color w:val="auto"/>
                      <w:sz w:val="21"/>
                      <w:szCs w:val="21"/>
                    </w:rPr>
                    <w:t>序号</w:t>
                  </w:r>
                </w:p>
              </w:tc>
              <w:tc>
                <w:tcPr>
                  <w:tcW w:w="1520" w:type="dxa"/>
                  <w:noWrap w:val="0"/>
                  <w:vAlign w:val="center"/>
                </w:tcPr>
                <w:p>
                  <w:pPr>
                    <w:jc w:val="center"/>
                    <w:rPr>
                      <w:b/>
                      <w:color w:val="auto"/>
                      <w:sz w:val="21"/>
                      <w:szCs w:val="21"/>
                    </w:rPr>
                  </w:pPr>
                  <w:r>
                    <w:rPr>
                      <w:b/>
                      <w:color w:val="auto"/>
                      <w:sz w:val="21"/>
                      <w:szCs w:val="21"/>
                    </w:rPr>
                    <w:t>污染物名称</w:t>
                  </w:r>
                </w:p>
              </w:tc>
              <w:tc>
                <w:tcPr>
                  <w:tcW w:w="1278" w:type="dxa"/>
                  <w:noWrap w:val="0"/>
                  <w:vAlign w:val="center"/>
                </w:tcPr>
                <w:p>
                  <w:pPr>
                    <w:jc w:val="center"/>
                    <w:rPr>
                      <w:b/>
                      <w:color w:val="auto"/>
                      <w:sz w:val="21"/>
                      <w:szCs w:val="21"/>
                    </w:rPr>
                  </w:pPr>
                  <w:r>
                    <w:rPr>
                      <w:b/>
                      <w:color w:val="auto"/>
                      <w:sz w:val="21"/>
                      <w:szCs w:val="21"/>
                    </w:rPr>
                    <w:t>产生浓度（mg/L）</w:t>
                  </w:r>
                </w:p>
              </w:tc>
              <w:tc>
                <w:tcPr>
                  <w:tcW w:w="1278" w:type="dxa"/>
                  <w:noWrap w:val="0"/>
                  <w:vAlign w:val="center"/>
                </w:tcPr>
                <w:p>
                  <w:pPr>
                    <w:jc w:val="center"/>
                    <w:rPr>
                      <w:b/>
                      <w:color w:val="auto"/>
                      <w:sz w:val="21"/>
                      <w:szCs w:val="21"/>
                    </w:rPr>
                  </w:pPr>
                  <w:r>
                    <w:rPr>
                      <w:b/>
                      <w:color w:val="auto"/>
                      <w:sz w:val="21"/>
                      <w:szCs w:val="21"/>
                    </w:rPr>
                    <w:t>产生量（t/a）</w:t>
                  </w:r>
                </w:p>
              </w:tc>
              <w:tc>
                <w:tcPr>
                  <w:tcW w:w="1279" w:type="dxa"/>
                  <w:noWrap w:val="0"/>
                  <w:vAlign w:val="center"/>
                </w:tcPr>
                <w:p>
                  <w:pPr>
                    <w:jc w:val="center"/>
                    <w:rPr>
                      <w:b/>
                      <w:color w:val="auto"/>
                      <w:sz w:val="21"/>
                      <w:szCs w:val="21"/>
                    </w:rPr>
                  </w:pPr>
                  <w:r>
                    <w:rPr>
                      <w:b/>
                      <w:color w:val="auto"/>
                      <w:sz w:val="21"/>
                      <w:szCs w:val="21"/>
                    </w:rPr>
                    <w:t>排放浓度（mg/L）</w:t>
                  </w:r>
                </w:p>
              </w:tc>
              <w:tc>
                <w:tcPr>
                  <w:tcW w:w="1335" w:type="dxa"/>
                  <w:noWrap w:val="0"/>
                  <w:vAlign w:val="center"/>
                </w:tcPr>
                <w:p>
                  <w:pPr>
                    <w:jc w:val="center"/>
                    <w:rPr>
                      <w:b/>
                      <w:color w:val="auto"/>
                      <w:sz w:val="21"/>
                      <w:szCs w:val="21"/>
                    </w:rPr>
                  </w:pPr>
                  <w:r>
                    <w:rPr>
                      <w:b/>
                      <w:color w:val="auto"/>
                      <w:sz w:val="21"/>
                      <w:szCs w:val="21"/>
                    </w:rPr>
                    <w:t>排放量（t/a）</w:t>
                  </w:r>
                </w:p>
              </w:tc>
              <w:tc>
                <w:tcPr>
                  <w:tcW w:w="1335" w:type="dxa"/>
                  <w:noWrap w:val="0"/>
                  <w:vAlign w:val="center"/>
                </w:tcPr>
                <w:p>
                  <w:pPr>
                    <w:jc w:val="center"/>
                    <w:rPr>
                      <w:b/>
                      <w:color w:val="auto"/>
                      <w:sz w:val="21"/>
                      <w:szCs w:val="21"/>
                    </w:rPr>
                  </w:pPr>
                  <w:r>
                    <w:rPr>
                      <w:b/>
                      <w:color w:val="auto"/>
                      <w:sz w:val="21"/>
                      <w:szCs w:val="21"/>
                    </w:rPr>
                    <w:t>削减量（t/a）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1031" w:type="dxa"/>
                  <w:noWrap w:val="0"/>
                  <w:vAlign w:val="center"/>
                </w:tcPr>
                <w:p>
                  <w:pPr>
                    <w:jc w:val="center"/>
                    <w:rPr>
                      <w:bCs/>
                      <w:color w:val="auto"/>
                      <w:sz w:val="21"/>
                      <w:szCs w:val="21"/>
                    </w:rPr>
                  </w:pPr>
                  <w:r>
                    <w:rPr>
                      <w:bCs/>
                      <w:color w:val="auto"/>
                      <w:sz w:val="21"/>
                      <w:szCs w:val="21"/>
                    </w:rPr>
                    <w:t>1</w:t>
                  </w:r>
                </w:p>
              </w:tc>
              <w:tc>
                <w:tcPr>
                  <w:tcW w:w="1520" w:type="dxa"/>
                  <w:noWrap w:val="0"/>
                  <w:vAlign w:val="center"/>
                </w:tcPr>
                <w:p>
                  <w:pPr>
                    <w:jc w:val="center"/>
                    <w:rPr>
                      <w:bCs/>
                      <w:color w:val="auto"/>
                      <w:sz w:val="21"/>
                      <w:szCs w:val="21"/>
                    </w:rPr>
                  </w:pPr>
                  <w:r>
                    <w:rPr>
                      <w:bCs/>
                      <w:color w:val="auto"/>
                      <w:sz w:val="21"/>
                      <w:szCs w:val="21"/>
                    </w:rPr>
                    <w:t>COD</w:t>
                  </w:r>
                </w:p>
              </w:tc>
              <w:tc>
                <w:tcPr>
                  <w:tcW w:w="1278" w:type="dxa"/>
                  <w:noWrap w:val="0"/>
                  <w:vAlign w:val="center"/>
                </w:tcPr>
                <w:p>
                  <w:pPr>
                    <w:jc w:val="center"/>
                    <w:rPr>
                      <w:bCs/>
                      <w:color w:val="auto"/>
                      <w:sz w:val="21"/>
                      <w:szCs w:val="21"/>
                    </w:rPr>
                  </w:pPr>
                  <w:r>
                    <w:rPr>
                      <w:bCs/>
                      <w:color w:val="auto"/>
                      <w:sz w:val="21"/>
                      <w:szCs w:val="21"/>
                    </w:rPr>
                    <w:t>300</w:t>
                  </w:r>
                </w:p>
              </w:tc>
              <w:tc>
                <w:tcPr>
                  <w:tcW w:w="1278" w:type="dxa"/>
                  <w:noWrap w:val="0"/>
                  <w:vAlign w:val="center"/>
                </w:tcPr>
                <w:p>
                  <w:pPr>
                    <w:widowControl/>
                    <w:jc w:val="center"/>
                    <w:textAlignment w:val="center"/>
                    <w:rPr>
                      <w:bCs/>
                      <w:color w:val="auto"/>
                      <w:sz w:val="21"/>
                      <w:szCs w:val="21"/>
                    </w:rPr>
                  </w:pPr>
                  <w:r>
                    <w:rPr>
                      <w:color w:val="auto"/>
                      <w:kern w:val="0"/>
                      <w:sz w:val="22"/>
                      <w:szCs w:val="22"/>
                      <w:lang w:bidi="ar"/>
                    </w:rPr>
                    <w:t>6.57</w:t>
                  </w:r>
                </w:p>
              </w:tc>
              <w:tc>
                <w:tcPr>
                  <w:tcW w:w="1279" w:type="dxa"/>
                  <w:noWrap w:val="0"/>
                  <w:vAlign w:val="center"/>
                </w:tcPr>
                <w:p>
                  <w:pPr>
                    <w:jc w:val="center"/>
                    <w:rPr>
                      <w:bCs/>
                      <w:color w:val="auto"/>
                      <w:sz w:val="21"/>
                      <w:szCs w:val="21"/>
                    </w:rPr>
                  </w:pPr>
                  <w:r>
                    <w:rPr>
                      <w:bCs/>
                      <w:color w:val="auto"/>
                      <w:sz w:val="21"/>
                      <w:szCs w:val="21"/>
                    </w:rPr>
                    <w:t>60</w:t>
                  </w:r>
                </w:p>
              </w:tc>
              <w:tc>
                <w:tcPr>
                  <w:tcW w:w="1335" w:type="dxa"/>
                  <w:noWrap w:val="0"/>
                  <w:vAlign w:val="center"/>
                </w:tcPr>
                <w:p>
                  <w:pPr>
                    <w:widowControl/>
                    <w:jc w:val="center"/>
                    <w:textAlignment w:val="center"/>
                    <w:rPr>
                      <w:bCs/>
                      <w:color w:val="auto"/>
                      <w:sz w:val="21"/>
                      <w:szCs w:val="21"/>
                    </w:rPr>
                  </w:pPr>
                  <w:r>
                    <w:rPr>
                      <w:color w:val="auto"/>
                      <w:kern w:val="0"/>
                      <w:sz w:val="22"/>
                      <w:szCs w:val="22"/>
                      <w:lang w:bidi="ar"/>
                    </w:rPr>
                    <w:t>1.314</w:t>
                  </w:r>
                </w:p>
              </w:tc>
              <w:tc>
                <w:tcPr>
                  <w:tcW w:w="1335" w:type="dxa"/>
                  <w:noWrap w:val="0"/>
                  <w:vAlign w:val="center"/>
                </w:tcPr>
                <w:p>
                  <w:pPr>
                    <w:widowControl/>
                    <w:jc w:val="center"/>
                    <w:textAlignment w:val="center"/>
                    <w:rPr>
                      <w:bCs/>
                      <w:color w:val="auto"/>
                      <w:sz w:val="21"/>
                      <w:szCs w:val="21"/>
                    </w:rPr>
                  </w:pPr>
                  <w:r>
                    <w:rPr>
                      <w:bCs/>
                      <w:color w:val="auto"/>
                      <w:sz w:val="21"/>
                      <w:szCs w:val="21"/>
                    </w:rPr>
                    <w:t>5.256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1031" w:type="dxa"/>
                  <w:noWrap w:val="0"/>
                  <w:vAlign w:val="center"/>
                </w:tcPr>
                <w:p>
                  <w:pPr>
                    <w:jc w:val="center"/>
                    <w:rPr>
                      <w:bCs/>
                      <w:color w:val="auto"/>
                      <w:sz w:val="21"/>
                      <w:szCs w:val="21"/>
                    </w:rPr>
                  </w:pPr>
                  <w:r>
                    <w:rPr>
                      <w:bCs/>
                      <w:color w:val="auto"/>
                      <w:sz w:val="21"/>
                      <w:szCs w:val="21"/>
                    </w:rPr>
                    <w:t>2</w:t>
                  </w:r>
                </w:p>
              </w:tc>
              <w:tc>
                <w:tcPr>
                  <w:tcW w:w="1520" w:type="dxa"/>
                  <w:noWrap w:val="0"/>
                  <w:vAlign w:val="center"/>
                </w:tcPr>
                <w:p>
                  <w:pPr>
                    <w:jc w:val="center"/>
                    <w:rPr>
                      <w:bCs/>
                      <w:color w:val="auto"/>
                      <w:sz w:val="21"/>
                      <w:szCs w:val="21"/>
                    </w:rPr>
                  </w:pPr>
                  <w:r>
                    <w:rPr>
                      <w:bCs/>
                      <w:color w:val="auto"/>
                      <w:sz w:val="21"/>
                      <w:szCs w:val="21"/>
                    </w:rPr>
                    <w:t>BOD</w:t>
                  </w:r>
                  <w:r>
                    <w:rPr>
                      <w:bCs/>
                      <w:color w:val="auto"/>
                      <w:sz w:val="21"/>
                      <w:szCs w:val="21"/>
                      <w:vertAlign w:val="subscript"/>
                    </w:rPr>
                    <w:t>5</w:t>
                  </w:r>
                </w:p>
              </w:tc>
              <w:tc>
                <w:tcPr>
                  <w:tcW w:w="1278" w:type="dxa"/>
                  <w:noWrap w:val="0"/>
                  <w:vAlign w:val="center"/>
                </w:tcPr>
                <w:p>
                  <w:pPr>
                    <w:jc w:val="center"/>
                    <w:rPr>
                      <w:bCs/>
                      <w:color w:val="auto"/>
                      <w:sz w:val="21"/>
                      <w:szCs w:val="21"/>
                    </w:rPr>
                  </w:pPr>
                  <w:r>
                    <w:rPr>
                      <w:bCs/>
                      <w:color w:val="auto"/>
                      <w:sz w:val="21"/>
                      <w:szCs w:val="21"/>
                    </w:rPr>
                    <w:t>150</w:t>
                  </w:r>
                </w:p>
              </w:tc>
              <w:tc>
                <w:tcPr>
                  <w:tcW w:w="1278" w:type="dxa"/>
                  <w:noWrap w:val="0"/>
                  <w:vAlign w:val="center"/>
                </w:tcPr>
                <w:p>
                  <w:pPr>
                    <w:widowControl/>
                    <w:jc w:val="center"/>
                    <w:textAlignment w:val="center"/>
                    <w:rPr>
                      <w:bCs/>
                      <w:color w:val="auto"/>
                      <w:sz w:val="21"/>
                      <w:szCs w:val="21"/>
                    </w:rPr>
                  </w:pPr>
                  <w:r>
                    <w:rPr>
                      <w:color w:val="auto"/>
                      <w:kern w:val="0"/>
                      <w:sz w:val="22"/>
                      <w:szCs w:val="22"/>
                      <w:lang w:bidi="ar"/>
                    </w:rPr>
                    <w:t>3.285</w:t>
                  </w:r>
                </w:p>
              </w:tc>
              <w:tc>
                <w:tcPr>
                  <w:tcW w:w="1279" w:type="dxa"/>
                  <w:noWrap w:val="0"/>
                  <w:vAlign w:val="center"/>
                </w:tcPr>
                <w:p>
                  <w:pPr>
                    <w:jc w:val="center"/>
                    <w:rPr>
                      <w:bCs/>
                      <w:color w:val="auto"/>
                      <w:sz w:val="21"/>
                      <w:szCs w:val="21"/>
                    </w:rPr>
                  </w:pPr>
                  <w:r>
                    <w:rPr>
                      <w:bCs/>
                      <w:color w:val="auto"/>
                      <w:sz w:val="21"/>
                      <w:szCs w:val="21"/>
                    </w:rPr>
                    <w:t>10</w:t>
                  </w:r>
                </w:p>
              </w:tc>
              <w:tc>
                <w:tcPr>
                  <w:tcW w:w="1335" w:type="dxa"/>
                  <w:noWrap w:val="0"/>
                  <w:vAlign w:val="center"/>
                </w:tcPr>
                <w:p>
                  <w:pPr>
                    <w:widowControl/>
                    <w:jc w:val="center"/>
                    <w:textAlignment w:val="center"/>
                    <w:rPr>
                      <w:bCs/>
                      <w:color w:val="auto"/>
                      <w:sz w:val="21"/>
                      <w:szCs w:val="21"/>
                    </w:rPr>
                  </w:pPr>
                  <w:r>
                    <w:rPr>
                      <w:color w:val="auto"/>
                      <w:kern w:val="0"/>
                      <w:sz w:val="22"/>
                      <w:szCs w:val="22"/>
                      <w:lang w:bidi="ar"/>
                    </w:rPr>
                    <w:t>0.219</w:t>
                  </w:r>
                </w:p>
              </w:tc>
              <w:tc>
                <w:tcPr>
                  <w:tcW w:w="1335" w:type="dxa"/>
                  <w:noWrap w:val="0"/>
                  <w:vAlign w:val="center"/>
                </w:tcPr>
                <w:p>
                  <w:pPr>
                    <w:widowControl/>
                    <w:jc w:val="center"/>
                    <w:textAlignment w:val="center"/>
                    <w:rPr>
                      <w:bCs/>
                      <w:color w:val="auto"/>
                      <w:sz w:val="21"/>
                      <w:szCs w:val="21"/>
                    </w:rPr>
                  </w:pPr>
                  <w:r>
                    <w:rPr>
                      <w:bCs/>
                      <w:color w:val="auto"/>
                      <w:sz w:val="21"/>
                      <w:szCs w:val="21"/>
                    </w:rPr>
                    <w:t>3.066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 w:hRule="atLeast"/>
                <w:jc w:val="center"/>
              </w:trPr>
              <w:tc>
                <w:tcPr>
                  <w:tcW w:w="1031" w:type="dxa"/>
                  <w:noWrap w:val="0"/>
                  <w:vAlign w:val="center"/>
                </w:tcPr>
                <w:p>
                  <w:pPr>
                    <w:jc w:val="center"/>
                    <w:rPr>
                      <w:bCs/>
                      <w:color w:val="auto"/>
                      <w:sz w:val="21"/>
                      <w:szCs w:val="21"/>
                    </w:rPr>
                  </w:pPr>
                  <w:r>
                    <w:rPr>
                      <w:bCs/>
                      <w:color w:val="auto"/>
                      <w:sz w:val="21"/>
                      <w:szCs w:val="21"/>
                    </w:rPr>
                    <w:t>3</w:t>
                  </w:r>
                </w:p>
              </w:tc>
              <w:tc>
                <w:tcPr>
                  <w:tcW w:w="1520" w:type="dxa"/>
                  <w:noWrap w:val="0"/>
                  <w:vAlign w:val="center"/>
                </w:tcPr>
                <w:p>
                  <w:pPr>
                    <w:jc w:val="center"/>
                    <w:rPr>
                      <w:bCs/>
                      <w:color w:val="auto"/>
                      <w:sz w:val="21"/>
                      <w:szCs w:val="21"/>
                    </w:rPr>
                  </w:pPr>
                  <w:r>
                    <w:rPr>
                      <w:bCs/>
                      <w:color w:val="auto"/>
                      <w:sz w:val="21"/>
                      <w:szCs w:val="21"/>
                    </w:rPr>
                    <w:t>SS</w:t>
                  </w:r>
                </w:p>
              </w:tc>
              <w:tc>
                <w:tcPr>
                  <w:tcW w:w="1278" w:type="dxa"/>
                  <w:noWrap w:val="0"/>
                  <w:vAlign w:val="center"/>
                </w:tcPr>
                <w:p>
                  <w:pPr>
                    <w:jc w:val="center"/>
                    <w:rPr>
                      <w:bCs/>
                      <w:color w:val="auto"/>
                      <w:sz w:val="21"/>
                      <w:szCs w:val="21"/>
                    </w:rPr>
                  </w:pPr>
                  <w:r>
                    <w:rPr>
                      <w:bCs/>
                      <w:color w:val="auto"/>
                      <w:sz w:val="21"/>
                      <w:szCs w:val="21"/>
                    </w:rPr>
                    <w:t>150</w:t>
                  </w:r>
                </w:p>
              </w:tc>
              <w:tc>
                <w:tcPr>
                  <w:tcW w:w="1278" w:type="dxa"/>
                  <w:noWrap w:val="0"/>
                  <w:vAlign w:val="center"/>
                </w:tcPr>
                <w:p>
                  <w:pPr>
                    <w:widowControl/>
                    <w:jc w:val="center"/>
                    <w:textAlignment w:val="center"/>
                    <w:rPr>
                      <w:bCs/>
                      <w:color w:val="auto"/>
                      <w:sz w:val="21"/>
                      <w:szCs w:val="21"/>
                    </w:rPr>
                  </w:pPr>
                  <w:r>
                    <w:rPr>
                      <w:color w:val="auto"/>
                      <w:kern w:val="0"/>
                      <w:sz w:val="22"/>
                      <w:szCs w:val="22"/>
                      <w:lang w:bidi="ar"/>
                    </w:rPr>
                    <w:t>3.285</w:t>
                  </w:r>
                </w:p>
              </w:tc>
              <w:tc>
                <w:tcPr>
                  <w:tcW w:w="1279" w:type="dxa"/>
                  <w:noWrap w:val="0"/>
                  <w:vAlign w:val="center"/>
                </w:tcPr>
                <w:p>
                  <w:pPr>
                    <w:jc w:val="center"/>
                    <w:rPr>
                      <w:bCs/>
                      <w:color w:val="auto"/>
                      <w:sz w:val="21"/>
                      <w:szCs w:val="21"/>
                    </w:rPr>
                  </w:pPr>
                  <w:r>
                    <w:rPr>
                      <w:bCs/>
                      <w:color w:val="auto"/>
                      <w:sz w:val="21"/>
                      <w:szCs w:val="21"/>
                    </w:rPr>
                    <w:t>20</w:t>
                  </w:r>
                </w:p>
              </w:tc>
              <w:tc>
                <w:tcPr>
                  <w:tcW w:w="1335" w:type="dxa"/>
                  <w:noWrap w:val="0"/>
                  <w:vAlign w:val="center"/>
                </w:tcPr>
                <w:p>
                  <w:pPr>
                    <w:widowControl/>
                    <w:jc w:val="center"/>
                    <w:textAlignment w:val="center"/>
                    <w:rPr>
                      <w:bCs/>
                      <w:color w:val="auto"/>
                      <w:sz w:val="21"/>
                      <w:szCs w:val="21"/>
                    </w:rPr>
                  </w:pPr>
                  <w:r>
                    <w:rPr>
                      <w:color w:val="auto"/>
                      <w:kern w:val="0"/>
                      <w:sz w:val="22"/>
                      <w:szCs w:val="22"/>
                      <w:lang w:bidi="ar"/>
                    </w:rPr>
                    <w:t>0.438</w:t>
                  </w:r>
                </w:p>
              </w:tc>
              <w:tc>
                <w:tcPr>
                  <w:tcW w:w="1335" w:type="dxa"/>
                  <w:noWrap w:val="0"/>
                  <w:vAlign w:val="center"/>
                </w:tcPr>
                <w:p>
                  <w:pPr>
                    <w:widowControl/>
                    <w:jc w:val="center"/>
                    <w:textAlignment w:val="center"/>
                    <w:rPr>
                      <w:bCs/>
                      <w:color w:val="auto"/>
                      <w:sz w:val="21"/>
                      <w:szCs w:val="21"/>
                    </w:rPr>
                  </w:pPr>
                  <w:r>
                    <w:rPr>
                      <w:color w:val="auto"/>
                      <w:kern w:val="0"/>
                      <w:sz w:val="22"/>
                      <w:szCs w:val="22"/>
                      <w:lang w:bidi="ar"/>
                    </w:rPr>
                    <w:t>2.847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 w:hRule="atLeast"/>
                <w:jc w:val="center"/>
              </w:trPr>
              <w:tc>
                <w:tcPr>
                  <w:tcW w:w="1031" w:type="dxa"/>
                  <w:tcBorders>
                    <w:bottom w:val="single" w:color="auto" w:sz="4" w:space="0"/>
                  </w:tcBorders>
                  <w:noWrap w:val="0"/>
                  <w:vAlign w:val="center"/>
                </w:tcPr>
                <w:p>
                  <w:pPr>
                    <w:jc w:val="center"/>
                    <w:rPr>
                      <w:bCs/>
                      <w:color w:val="auto"/>
                      <w:sz w:val="21"/>
                      <w:szCs w:val="21"/>
                    </w:rPr>
                  </w:pPr>
                  <w:r>
                    <w:rPr>
                      <w:bCs/>
                      <w:color w:val="auto"/>
                      <w:sz w:val="21"/>
                      <w:szCs w:val="21"/>
                    </w:rPr>
                    <w:t>4</w:t>
                  </w:r>
                </w:p>
              </w:tc>
              <w:tc>
                <w:tcPr>
                  <w:tcW w:w="1520" w:type="dxa"/>
                  <w:tcBorders>
                    <w:bottom w:val="single" w:color="auto" w:sz="4" w:space="0"/>
                  </w:tcBorders>
                  <w:noWrap w:val="0"/>
                  <w:vAlign w:val="center"/>
                </w:tcPr>
                <w:p>
                  <w:pPr>
                    <w:jc w:val="center"/>
                    <w:rPr>
                      <w:bCs/>
                      <w:color w:val="auto"/>
                      <w:sz w:val="21"/>
                      <w:szCs w:val="21"/>
                    </w:rPr>
                  </w:pPr>
                  <w:r>
                    <w:rPr>
                      <w:bCs/>
                      <w:color w:val="auto"/>
                      <w:sz w:val="21"/>
                      <w:szCs w:val="21"/>
                    </w:rPr>
                    <w:t>NH</w:t>
                  </w:r>
                  <w:r>
                    <w:rPr>
                      <w:bCs/>
                      <w:color w:val="auto"/>
                      <w:sz w:val="21"/>
                      <w:szCs w:val="21"/>
                      <w:vertAlign w:val="subscript"/>
                    </w:rPr>
                    <w:t>3</w:t>
                  </w:r>
                  <w:r>
                    <w:rPr>
                      <w:bCs/>
                      <w:color w:val="auto"/>
                      <w:sz w:val="21"/>
                      <w:szCs w:val="21"/>
                    </w:rPr>
                    <w:t>-N</w:t>
                  </w:r>
                </w:p>
              </w:tc>
              <w:tc>
                <w:tcPr>
                  <w:tcW w:w="1278" w:type="dxa"/>
                  <w:tcBorders>
                    <w:bottom w:val="single" w:color="auto" w:sz="4" w:space="0"/>
                  </w:tcBorders>
                  <w:noWrap w:val="0"/>
                  <w:vAlign w:val="center"/>
                </w:tcPr>
                <w:p>
                  <w:pPr>
                    <w:jc w:val="center"/>
                    <w:rPr>
                      <w:bCs/>
                      <w:color w:val="auto"/>
                      <w:sz w:val="21"/>
                      <w:szCs w:val="21"/>
                    </w:rPr>
                  </w:pPr>
                  <w:r>
                    <w:rPr>
                      <w:bCs/>
                      <w:color w:val="auto"/>
                      <w:sz w:val="21"/>
                      <w:szCs w:val="21"/>
                    </w:rPr>
                    <w:t>20</w:t>
                  </w:r>
                </w:p>
              </w:tc>
              <w:tc>
                <w:tcPr>
                  <w:tcW w:w="1278" w:type="dxa"/>
                  <w:tcBorders>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0.438</w:t>
                  </w:r>
                </w:p>
              </w:tc>
              <w:tc>
                <w:tcPr>
                  <w:tcW w:w="1279" w:type="dxa"/>
                  <w:tcBorders>
                    <w:bottom w:val="single" w:color="auto" w:sz="4" w:space="0"/>
                  </w:tcBorders>
                  <w:noWrap w:val="0"/>
                  <w:vAlign w:val="center"/>
                </w:tcPr>
                <w:p>
                  <w:pPr>
                    <w:jc w:val="center"/>
                    <w:rPr>
                      <w:bCs/>
                      <w:color w:val="auto"/>
                      <w:sz w:val="21"/>
                      <w:szCs w:val="21"/>
                    </w:rPr>
                  </w:pPr>
                  <w:r>
                    <w:rPr>
                      <w:bCs/>
                      <w:color w:val="auto"/>
                      <w:sz w:val="21"/>
                      <w:szCs w:val="21"/>
                    </w:rPr>
                    <w:t>8（15）</w:t>
                  </w:r>
                </w:p>
              </w:tc>
              <w:tc>
                <w:tcPr>
                  <w:tcW w:w="1335" w:type="dxa"/>
                  <w:tcBorders>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0.1752（</w:t>
                  </w:r>
                  <w:r>
                    <w:rPr>
                      <w:color w:val="auto"/>
                      <w:sz w:val="22"/>
                      <w:szCs w:val="22"/>
                    </w:rPr>
                    <w:t>0.3285</w:t>
                  </w:r>
                  <w:r>
                    <w:rPr>
                      <w:color w:val="auto"/>
                      <w:kern w:val="0"/>
                      <w:sz w:val="22"/>
                      <w:szCs w:val="22"/>
                      <w:lang w:bidi="ar"/>
                    </w:rPr>
                    <w:t>）</w:t>
                  </w:r>
                </w:p>
              </w:tc>
              <w:tc>
                <w:tcPr>
                  <w:tcW w:w="1335" w:type="dxa"/>
                  <w:tcBorders>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0.2628（</w:t>
                  </w:r>
                  <w:r>
                    <w:rPr>
                      <w:color w:val="auto"/>
                      <w:sz w:val="22"/>
                      <w:szCs w:val="22"/>
                    </w:rPr>
                    <w:t>0.1095</w:t>
                  </w:r>
                  <w:r>
                    <w:rPr>
                      <w:color w:val="auto"/>
                      <w:kern w:val="0"/>
                      <w:sz w:val="22"/>
                      <w:szCs w:val="22"/>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 w:hRule="atLeast"/>
                <w:jc w:val="center"/>
              </w:trPr>
              <w:tc>
                <w:tcPr>
                  <w:tcW w:w="1031" w:type="dxa"/>
                  <w:tcBorders>
                    <w:top w:val="single" w:color="auto" w:sz="4" w:space="0"/>
                    <w:bottom w:val="single" w:color="auto" w:sz="4" w:space="0"/>
                  </w:tcBorders>
                  <w:noWrap w:val="0"/>
                  <w:vAlign w:val="center"/>
                </w:tcPr>
                <w:p>
                  <w:pPr>
                    <w:jc w:val="center"/>
                    <w:rPr>
                      <w:bCs/>
                      <w:color w:val="auto"/>
                      <w:sz w:val="21"/>
                      <w:szCs w:val="21"/>
                    </w:rPr>
                  </w:pPr>
                  <w:r>
                    <w:rPr>
                      <w:bCs/>
                      <w:color w:val="auto"/>
                      <w:sz w:val="21"/>
                      <w:szCs w:val="21"/>
                    </w:rPr>
                    <w:t>5</w:t>
                  </w:r>
                </w:p>
              </w:tc>
              <w:tc>
                <w:tcPr>
                  <w:tcW w:w="1520" w:type="dxa"/>
                  <w:tcBorders>
                    <w:top w:val="single" w:color="auto" w:sz="4" w:space="0"/>
                    <w:bottom w:val="single" w:color="auto" w:sz="4" w:space="0"/>
                  </w:tcBorders>
                  <w:noWrap w:val="0"/>
                  <w:vAlign w:val="center"/>
                </w:tcPr>
                <w:p>
                  <w:pPr>
                    <w:jc w:val="center"/>
                    <w:rPr>
                      <w:bCs/>
                      <w:color w:val="auto"/>
                      <w:sz w:val="21"/>
                      <w:szCs w:val="21"/>
                    </w:rPr>
                  </w:pPr>
                  <w:r>
                    <w:rPr>
                      <w:bCs/>
                      <w:color w:val="auto"/>
                      <w:sz w:val="21"/>
                      <w:szCs w:val="21"/>
                    </w:rPr>
                    <w:t>TN</w:t>
                  </w:r>
                </w:p>
              </w:tc>
              <w:tc>
                <w:tcPr>
                  <w:tcW w:w="1278" w:type="dxa"/>
                  <w:tcBorders>
                    <w:top w:val="single" w:color="auto" w:sz="4" w:space="0"/>
                    <w:bottom w:val="single" w:color="auto" w:sz="4" w:space="0"/>
                  </w:tcBorders>
                  <w:noWrap w:val="0"/>
                  <w:vAlign w:val="center"/>
                </w:tcPr>
                <w:p>
                  <w:pPr>
                    <w:jc w:val="center"/>
                    <w:rPr>
                      <w:bCs/>
                      <w:color w:val="auto"/>
                      <w:sz w:val="21"/>
                      <w:szCs w:val="21"/>
                    </w:rPr>
                  </w:pPr>
                  <w:r>
                    <w:rPr>
                      <w:bCs/>
                      <w:color w:val="auto"/>
                      <w:sz w:val="21"/>
                      <w:szCs w:val="21"/>
                    </w:rPr>
                    <w:t>30</w:t>
                  </w:r>
                </w:p>
              </w:tc>
              <w:tc>
                <w:tcPr>
                  <w:tcW w:w="1278" w:type="dxa"/>
                  <w:tcBorders>
                    <w:top w:val="single" w:color="auto" w:sz="4" w:space="0"/>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0.657</w:t>
                  </w:r>
                </w:p>
              </w:tc>
              <w:tc>
                <w:tcPr>
                  <w:tcW w:w="1279" w:type="dxa"/>
                  <w:tcBorders>
                    <w:top w:val="single" w:color="auto" w:sz="4" w:space="0"/>
                    <w:bottom w:val="single" w:color="auto" w:sz="4" w:space="0"/>
                  </w:tcBorders>
                  <w:noWrap w:val="0"/>
                  <w:vAlign w:val="center"/>
                </w:tcPr>
                <w:p>
                  <w:pPr>
                    <w:jc w:val="center"/>
                    <w:rPr>
                      <w:bCs/>
                      <w:color w:val="auto"/>
                      <w:sz w:val="21"/>
                      <w:szCs w:val="21"/>
                    </w:rPr>
                  </w:pPr>
                  <w:r>
                    <w:rPr>
                      <w:bCs/>
                      <w:color w:val="auto"/>
                      <w:sz w:val="21"/>
                      <w:szCs w:val="21"/>
                    </w:rPr>
                    <w:t>20</w:t>
                  </w:r>
                </w:p>
              </w:tc>
              <w:tc>
                <w:tcPr>
                  <w:tcW w:w="1335" w:type="dxa"/>
                  <w:tcBorders>
                    <w:top w:val="single" w:color="auto" w:sz="4" w:space="0"/>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0.438</w:t>
                  </w:r>
                </w:p>
              </w:tc>
              <w:tc>
                <w:tcPr>
                  <w:tcW w:w="1335" w:type="dxa"/>
                  <w:tcBorders>
                    <w:top w:val="single" w:color="auto" w:sz="4" w:space="0"/>
                    <w:bottom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0.219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jc w:val="center"/>
              </w:trPr>
              <w:tc>
                <w:tcPr>
                  <w:tcW w:w="1031" w:type="dxa"/>
                  <w:tcBorders>
                    <w:top w:val="single" w:color="auto" w:sz="4" w:space="0"/>
                  </w:tcBorders>
                  <w:noWrap w:val="0"/>
                  <w:vAlign w:val="center"/>
                </w:tcPr>
                <w:p>
                  <w:pPr>
                    <w:jc w:val="center"/>
                    <w:rPr>
                      <w:bCs/>
                      <w:color w:val="auto"/>
                      <w:sz w:val="21"/>
                      <w:szCs w:val="21"/>
                    </w:rPr>
                  </w:pPr>
                  <w:r>
                    <w:rPr>
                      <w:bCs/>
                      <w:color w:val="auto"/>
                      <w:sz w:val="21"/>
                      <w:szCs w:val="21"/>
                    </w:rPr>
                    <w:t>6</w:t>
                  </w:r>
                </w:p>
              </w:tc>
              <w:tc>
                <w:tcPr>
                  <w:tcW w:w="1520" w:type="dxa"/>
                  <w:tcBorders>
                    <w:top w:val="single" w:color="auto" w:sz="4" w:space="0"/>
                  </w:tcBorders>
                  <w:noWrap w:val="0"/>
                  <w:vAlign w:val="center"/>
                </w:tcPr>
                <w:p>
                  <w:pPr>
                    <w:jc w:val="center"/>
                    <w:rPr>
                      <w:bCs/>
                      <w:color w:val="auto"/>
                      <w:sz w:val="21"/>
                      <w:szCs w:val="21"/>
                    </w:rPr>
                  </w:pPr>
                  <w:r>
                    <w:rPr>
                      <w:bCs/>
                      <w:color w:val="auto"/>
                      <w:sz w:val="21"/>
                      <w:szCs w:val="21"/>
                    </w:rPr>
                    <w:t>TP</w:t>
                  </w:r>
                </w:p>
              </w:tc>
              <w:tc>
                <w:tcPr>
                  <w:tcW w:w="1278" w:type="dxa"/>
                  <w:tcBorders>
                    <w:top w:val="single" w:color="auto" w:sz="4" w:space="0"/>
                  </w:tcBorders>
                  <w:noWrap w:val="0"/>
                  <w:vAlign w:val="center"/>
                </w:tcPr>
                <w:p>
                  <w:pPr>
                    <w:jc w:val="center"/>
                    <w:rPr>
                      <w:bCs/>
                      <w:color w:val="auto"/>
                      <w:sz w:val="21"/>
                      <w:szCs w:val="21"/>
                    </w:rPr>
                  </w:pPr>
                  <w:r>
                    <w:rPr>
                      <w:bCs/>
                      <w:color w:val="auto"/>
                      <w:sz w:val="21"/>
                      <w:szCs w:val="21"/>
                    </w:rPr>
                    <w:t>4</w:t>
                  </w:r>
                </w:p>
              </w:tc>
              <w:tc>
                <w:tcPr>
                  <w:tcW w:w="1278" w:type="dxa"/>
                  <w:tcBorders>
                    <w:top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0.0876</w:t>
                  </w:r>
                </w:p>
              </w:tc>
              <w:tc>
                <w:tcPr>
                  <w:tcW w:w="1279" w:type="dxa"/>
                  <w:tcBorders>
                    <w:top w:val="single" w:color="auto" w:sz="4" w:space="0"/>
                  </w:tcBorders>
                  <w:noWrap w:val="0"/>
                  <w:vAlign w:val="center"/>
                </w:tcPr>
                <w:p>
                  <w:pPr>
                    <w:jc w:val="center"/>
                    <w:rPr>
                      <w:bCs/>
                      <w:color w:val="auto"/>
                      <w:sz w:val="21"/>
                      <w:szCs w:val="21"/>
                    </w:rPr>
                  </w:pPr>
                  <w:r>
                    <w:rPr>
                      <w:bCs/>
                      <w:color w:val="auto"/>
                      <w:sz w:val="21"/>
                      <w:szCs w:val="21"/>
                    </w:rPr>
                    <w:t>1.5</w:t>
                  </w:r>
                </w:p>
              </w:tc>
              <w:tc>
                <w:tcPr>
                  <w:tcW w:w="1335" w:type="dxa"/>
                  <w:tcBorders>
                    <w:top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0.03285</w:t>
                  </w:r>
                </w:p>
              </w:tc>
              <w:tc>
                <w:tcPr>
                  <w:tcW w:w="1335" w:type="dxa"/>
                  <w:tcBorders>
                    <w:top w:val="single" w:color="auto" w:sz="4" w:space="0"/>
                  </w:tcBorders>
                  <w:noWrap w:val="0"/>
                  <w:vAlign w:val="center"/>
                </w:tcPr>
                <w:p>
                  <w:pPr>
                    <w:widowControl/>
                    <w:jc w:val="center"/>
                    <w:textAlignment w:val="center"/>
                    <w:rPr>
                      <w:bCs/>
                      <w:color w:val="auto"/>
                      <w:sz w:val="21"/>
                      <w:szCs w:val="21"/>
                    </w:rPr>
                  </w:pPr>
                  <w:r>
                    <w:rPr>
                      <w:color w:val="auto"/>
                      <w:kern w:val="0"/>
                      <w:sz w:val="22"/>
                      <w:szCs w:val="22"/>
                      <w:lang w:bidi="ar"/>
                    </w:rPr>
                    <w:t>0.05475</w:t>
                  </w:r>
                </w:p>
              </w:tc>
            </w:tr>
          </w:tbl>
          <w:p>
            <w:pPr>
              <w:adjustRightInd w:val="0"/>
              <w:snapToGrid w:val="0"/>
              <w:spacing w:line="360" w:lineRule="auto"/>
              <w:ind w:firstLine="480" w:firstLineChars="200"/>
              <w:rPr>
                <w:color w:val="auto"/>
              </w:rPr>
            </w:pPr>
            <w:r>
              <w:rPr>
                <w:color w:val="auto"/>
              </w:rPr>
              <w:t>此外，如果污水收集管道发生阻塞、渗漏或是满溢等事故，将对地下水及地表水产生污染，对人群健康和生态环境产生不良影响。</w:t>
            </w:r>
          </w:p>
          <w:p>
            <w:pPr>
              <w:adjustRightInd w:val="0"/>
              <w:snapToGrid w:val="0"/>
              <w:spacing w:line="360" w:lineRule="auto"/>
              <w:ind w:firstLine="482" w:firstLineChars="200"/>
              <w:rPr>
                <w:b/>
                <w:color w:val="auto"/>
              </w:rPr>
            </w:pPr>
            <w:r>
              <w:rPr>
                <w:b/>
                <w:color w:val="auto"/>
              </w:rPr>
              <w:t>3.噪声污染分析</w:t>
            </w:r>
          </w:p>
          <w:p>
            <w:pPr>
              <w:adjustRightInd w:val="0"/>
              <w:snapToGrid w:val="0"/>
              <w:spacing w:line="360" w:lineRule="auto"/>
              <w:ind w:firstLine="480" w:firstLineChars="200"/>
              <w:rPr>
                <w:color w:val="auto"/>
              </w:rPr>
            </w:pPr>
            <w:r>
              <w:rPr>
                <w:color w:val="auto"/>
              </w:rPr>
              <w:t>本项目主要噪声来源于传动机械工作时产生的噪声，本项目主要噪声源有鼓风机、污水提升泵等。根据类似设备噪声强度调查，主要的机械设备噪声值见表5-</w:t>
            </w:r>
            <w:r>
              <w:rPr>
                <w:rFonts w:hint="eastAsia"/>
                <w:color w:val="auto"/>
                <w:lang w:val="en-US" w:eastAsia="zh-CN"/>
              </w:rPr>
              <w:t>7</w:t>
            </w:r>
            <w:r>
              <w:rPr>
                <w:color w:val="auto"/>
              </w:rPr>
              <w:t>。</w:t>
            </w:r>
          </w:p>
          <w:p>
            <w:pPr>
              <w:adjustRightInd w:val="0"/>
              <w:snapToGrid w:val="0"/>
              <w:spacing w:line="360" w:lineRule="auto"/>
              <w:ind w:firstLine="480" w:firstLineChars="200"/>
              <w:jc w:val="center"/>
              <w:rPr>
                <w:rStyle w:val="106"/>
                <w:rFonts w:eastAsia="黑体"/>
                <w:color w:val="auto"/>
              </w:rPr>
            </w:pPr>
            <w:r>
              <w:rPr>
                <w:rStyle w:val="106"/>
                <w:rFonts w:eastAsia="黑体"/>
                <w:color w:val="auto"/>
              </w:rPr>
              <w:t>表5-</w:t>
            </w:r>
            <w:r>
              <w:rPr>
                <w:rStyle w:val="106"/>
                <w:rFonts w:hint="eastAsia" w:eastAsia="黑体"/>
                <w:color w:val="auto"/>
                <w:lang w:val="en-US"/>
              </w:rPr>
              <w:t>7</w:t>
            </w:r>
            <w:r>
              <w:rPr>
                <w:rStyle w:val="106"/>
                <w:rFonts w:eastAsia="黑体"/>
                <w:color w:val="auto"/>
              </w:rPr>
              <w:t xml:space="preserve">  主要产噪设备源强一览表</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1"/>
              <w:gridCol w:w="2615"/>
              <w:gridCol w:w="1839"/>
              <w:gridCol w:w="1879"/>
              <w:gridCol w:w="14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1051" w:type="dxa"/>
                  <w:tcBorders>
                    <w:bottom w:val="single" w:color="000000" w:sz="4" w:space="0"/>
                  </w:tcBorders>
                  <w:noWrap w:val="0"/>
                  <w:vAlign w:val="center"/>
                </w:tcPr>
                <w:p>
                  <w:pPr>
                    <w:jc w:val="center"/>
                    <w:rPr>
                      <w:b/>
                      <w:color w:val="auto"/>
                      <w:sz w:val="21"/>
                      <w:szCs w:val="21"/>
                    </w:rPr>
                  </w:pPr>
                  <w:r>
                    <w:rPr>
                      <w:b/>
                      <w:color w:val="auto"/>
                      <w:sz w:val="21"/>
                      <w:szCs w:val="21"/>
                    </w:rPr>
                    <w:t>序号</w:t>
                  </w:r>
                </w:p>
              </w:tc>
              <w:tc>
                <w:tcPr>
                  <w:tcW w:w="2615" w:type="dxa"/>
                  <w:tcBorders>
                    <w:bottom w:val="single" w:color="000000" w:sz="4" w:space="0"/>
                  </w:tcBorders>
                  <w:noWrap w:val="0"/>
                  <w:vAlign w:val="center"/>
                </w:tcPr>
                <w:p>
                  <w:pPr>
                    <w:jc w:val="center"/>
                    <w:rPr>
                      <w:b/>
                      <w:color w:val="auto"/>
                      <w:sz w:val="21"/>
                      <w:szCs w:val="21"/>
                    </w:rPr>
                  </w:pPr>
                  <w:r>
                    <w:rPr>
                      <w:b/>
                      <w:color w:val="auto"/>
                      <w:sz w:val="21"/>
                      <w:szCs w:val="21"/>
                    </w:rPr>
                    <w:t>设备名称</w:t>
                  </w:r>
                </w:p>
              </w:tc>
              <w:tc>
                <w:tcPr>
                  <w:tcW w:w="1839" w:type="dxa"/>
                  <w:tcBorders>
                    <w:bottom w:val="single" w:color="000000" w:sz="4" w:space="0"/>
                  </w:tcBorders>
                  <w:noWrap w:val="0"/>
                  <w:vAlign w:val="center"/>
                </w:tcPr>
                <w:p>
                  <w:pPr>
                    <w:jc w:val="center"/>
                    <w:rPr>
                      <w:b/>
                      <w:color w:val="auto"/>
                      <w:sz w:val="21"/>
                      <w:szCs w:val="21"/>
                    </w:rPr>
                  </w:pPr>
                  <w:r>
                    <w:rPr>
                      <w:b/>
                      <w:color w:val="auto"/>
                      <w:sz w:val="21"/>
                      <w:szCs w:val="21"/>
                    </w:rPr>
                    <w:t>数量（台）</w:t>
                  </w:r>
                </w:p>
              </w:tc>
              <w:tc>
                <w:tcPr>
                  <w:tcW w:w="1879" w:type="dxa"/>
                  <w:tcBorders>
                    <w:bottom w:val="single" w:color="000000" w:sz="4" w:space="0"/>
                  </w:tcBorders>
                  <w:noWrap w:val="0"/>
                  <w:vAlign w:val="center"/>
                </w:tcPr>
                <w:p>
                  <w:pPr>
                    <w:jc w:val="center"/>
                    <w:rPr>
                      <w:b/>
                      <w:color w:val="auto"/>
                      <w:sz w:val="21"/>
                      <w:szCs w:val="21"/>
                    </w:rPr>
                  </w:pPr>
                  <w:r>
                    <w:rPr>
                      <w:b/>
                      <w:color w:val="auto"/>
                      <w:sz w:val="21"/>
                      <w:szCs w:val="21"/>
                    </w:rPr>
                    <w:t>源强（dB（A））</w:t>
                  </w:r>
                </w:p>
              </w:tc>
              <w:tc>
                <w:tcPr>
                  <w:tcW w:w="1436" w:type="dxa"/>
                  <w:tcBorders>
                    <w:bottom w:val="single" w:color="000000" w:sz="4" w:space="0"/>
                  </w:tcBorders>
                  <w:noWrap w:val="0"/>
                  <w:vAlign w:val="center"/>
                </w:tcPr>
                <w:p>
                  <w:pPr>
                    <w:jc w:val="center"/>
                    <w:rPr>
                      <w:b/>
                      <w:color w:val="auto"/>
                      <w:sz w:val="21"/>
                      <w:szCs w:val="21"/>
                    </w:rPr>
                  </w:pPr>
                  <w:r>
                    <w:rPr>
                      <w:b/>
                      <w:color w:val="auto"/>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1051" w:type="dxa"/>
                  <w:tcBorders>
                    <w:top w:val="single" w:color="000000" w:sz="4" w:space="0"/>
                    <w:bottom w:val="single" w:color="000000" w:sz="4" w:space="0"/>
                  </w:tcBorders>
                  <w:noWrap w:val="0"/>
                  <w:vAlign w:val="center"/>
                </w:tcPr>
                <w:p>
                  <w:pPr>
                    <w:jc w:val="center"/>
                    <w:rPr>
                      <w:rFonts w:hint="eastAsia"/>
                      <w:bCs/>
                      <w:color w:val="auto"/>
                      <w:sz w:val="21"/>
                      <w:szCs w:val="21"/>
                    </w:rPr>
                  </w:pPr>
                  <w:r>
                    <w:rPr>
                      <w:rFonts w:hint="eastAsia"/>
                      <w:bCs/>
                      <w:color w:val="auto"/>
                      <w:sz w:val="21"/>
                      <w:szCs w:val="21"/>
                    </w:rPr>
                    <w:t>1</w:t>
                  </w:r>
                </w:p>
              </w:tc>
              <w:tc>
                <w:tcPr>
                  <w:tcW w:w="2615" w:type="dxa"/>
                  <w:tcBorders>
                    <w:top w:val="single" w:color="000000" w:sz="4" w:space="0"/>
                    <w:bottom w:val="single" w:color="000000" w:sz="4" w:space="0"/>
                  </w:tcBorders>
                  <w:noWrap w:val="0"/>
                  <w:vAlign w:val="center"/>
                </w:tcPr>
                <w:p>
                  <w:pPr>
                    <w:jc w:val="center"/>
                    <w:rPr>
                      <w:bCs/>
                      <w:color w:val="auto"/>
                      <w:sz w:val="21"/>
                      <w:szCs w:val="21"/>
                    </w:rPr>
                  </w:pPr>
                  <w:r>
                    <w:rPr>
                      <w:bCs/>
                      <w:color w:val="auto"/>
                      <w:sz w:val="21"/>
                      <w:szCs w:val="21"/>
                    </w:rPr>
                    <w:t>污水提升泵</w:t>
                  </w:r>
                </w:p>
              </w:tc>
              <w:tc>
                <w:tcPr>
                  <w:tcW w:w="1839" w:type="dxa"/>
                  <w:tcBorders>
                    <w:top w:val="single" w:color="000000" w:sz="4" w:space="0"/>
                    <w:bottom w:val="single" w:color="000000" w:sz="4" w:space="0"/>
                  </w:tcBorders>
                  <w:noWrap w:val="0"/>
                  <w:vAlign w:val="center"/>
                </w:tcPr>
                <w:p>
                  <w:pPr>
                    <w:jc w:val="center"/>
                    <w:rPr>
                      <w:bCs/>
                      <w:color w:val="auto"/>
                      <w:sz w:val="21"/>
                      <w:szCs w:val="21"/>
                    </w:rPr>
                  </w:pPr>
                  <w:r>
                    <w:rPr>
                      <w:bCs/>
                      <w:color w:val="auto"/>
                      <w:sz w:val="21"/>
                      <w:szCs w:val="21"/>
                    </w:rPr>
                    <w:t>2（1用1备）</w:t>
                  </w:r>
                </w:p>
              </w:tc>
              <w:tc>
                <w:tcPr>
                  <w:tcW w:w="1879" w:type="dxa"/>
                  <w:tcBorders>
                    <w:top w:val="single" w:color="000000" w:sz="4" w:space="0"/>
                    <w:bottom w:val="single" w:color="000000" w:sz="4" w:space="0"/>
                  </w:tcBorders>
                  <w:noWrap w:val="0"/>
                  <w:vAlign w:val="center"/>
                </w:tcPr>
                <w:p>
                  <w:pPr>
                    <w:jc w:val="center"/>
                    <w:rPr>
                      <w:rFonts w:hint="eastAsia"/>
                      <w:bCs/>
                      <w:color w:val="auto"/>
                      <w:sz w:val="21"/>
                      <w:szCs w:val="21"/>
                    </w:rPr>
                  </w:pPr>
                  <w:r>
                    <w:rPr>
                      <w:rFonts w:hint="eastAsia"/>
                      <w:bCs/>
                      <w:color w:val="auto"/>
                      <w:sz w:val="21"/>
                      <w:szCs w:val="21"/>
                    </w:rPr>
                    <w:t>65</w:t>
                  </w:r>
                </w:p>
              </w:tc>
              <w:tc>
                <w:tcPr>
                  <w:tcW w:w="1436" w:type="dxa"/>
                  <w:tcBorders>
                    <w:top w:val="single" w:color="000000" w:sz="4" w:space="0"/>
                    <w:bottom w:val="single" w:color="000000" w:sz="4" w:space="0"/>
                  </w:tcBorders>
                  <w:noWrap w:val="0"/>
                  <w:vAlign w:val="center"/>
                </w:tcPr>
                <w:p>
                  <w:pPr>
                    <w:jc w:val="center"/>
                    <w:rPr>
                      <w:bCs/>
                      <w:color w:val="auto"/>
                      <w:sz w:val="21"/>
                      <w:szCs w:val="21"/>
                    </w:rPr>
                  </w:pPr>
                  <w:r>
                    <w:rPr>
                      <w:bCs/>
                      <w:color w:val="auto"/>
                      <w:sz w:val="21"/>
                      <w:szCs w:val="21"/>
                    </w:rPr>
                    <w:t>连续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1051" w:type="dxa"/>
                  <w:tcBorders>
                    <w:top w:val="single" w:color="000000" w:sz="4" w:space="0"/>
                    <w:bottom w:val="single" w:color="000000" w:sz="4" w:space="0"/>
                  </w:tcBorders>
                  <w:noWrap w:val="0"/>
                  <w:vAlign w:val="center"/>
                </w:tcPr>
                <w:p>
                  <w:pPr>
                    <w:jc w:val="center"/>
                    <w:rPr>
                      <w:rFonts w:hint="eastAsia"/>
                      <w:bCs/>
                      <w:color w:val="auto"/>
                      <w:sz w:val="21"/>
                      <w:szCs w:val="21"/>
                    </w:rPr>
                  </w:pPr>
                  <w:r>
                    <w:rPr>
                      <w:rFonts w:hint="eastAsia"/>
                      <w:bCs/>
                      <w:color w:val="auto"/>
                      <w:sz w:val="21"/>
                      <w:szCs w:val="21"/>
                    </w:rPr>
                    <w:t>2</w:t>
                  </w:r>
                </w:p>
              </w:tc>
              <w:tc>
                <w:tcPr>
                  <w:tcW w:w="2615" w:type="dxa"/>
                  <w:tcBorders>
                    <w:top w:val="single" w:color="000000" w:sz="4" w:space="0"/>
                    <w:bottom w:val="single" w:color="000000" w:sz="4" w:space="0"/>
                  </w:tcBorders>
                  <w:noWrap w:val="0"/>
                  <w:vAlign w:val="center"/>
                </w:tcPr>
                <w:p>
                  <w:pPr>
                    <w:jc w:val="center"/>
                    <w:rPr>
                      <w:color w:val="auto"/>
                      <w:sz w:val="21"/>
                      <w:szCs w:val="21"/>
                    </w:rPr>
                  </w:pPr>
                  <w:r>
                    <w:rPr>
                      <w:color w:val="auto"/>
                      <w:sz w:val="21"/>
                      <w:szCs w:val="21"/>
                    </w:rPr>
                    <w:t>鼓风机</w:t>
                  </w:r>
                </w:p>
              </w:tc>
              <w:tc>
                <w:tcPr>
                  <w:tcW w:w="1839" w:type="dxa"/>
                  <w:tcBorders>
                    <w:top w:val="single" w:color="000000" w:sz="4" w:space="0"/>
                    <w:bottom w:val="single" w:color="000000" w:sz="4" w:space="0"/>
                  </w:tcBorders>
                  <w:noWrap w:val="0"/>
                  <w:vAlign w:val="center"/>
                </w:tcPr>
                <w:p>
                  <w:pPr>
                    <w:jc w:val="center"/>
                    <w:rPr>
                      <w:bCs/>
                      <w:color w:val="auto"/>
                      <w:sz w:val="21"/>
                      <w:szCs w:val="21"/>
                    </w:rPr>
                  </w:pPr>
                  <w:r>
                    <w:rPr>
                      <w:bCs/>
                      <w:color w:val="auto"/>
                      <w:sz w:val="21"/>
                      <w:szCs w:val="21"/>
                    </w:rPr>
                    <w:t>2（1用1备）</w:t>
                  </w:r>
                </w:p>
              </w:tc>
              <w:tc>
                <w:tcPr>
                  <w:tcW w:w="1879" w:type="dxa"/>
                  <w:tcBorders>
                    <w:top w:val="single" w:color="000000" w:sz="4" w:space="0"/>
                    <w:bottom w:val="single" w:color="000000" w:sz="4" w:space="0"/>
                  </w:tcBorders>
                  <w:noWrap w:val="0"/>
                  <w:vAlign w:val="center"/>
                </w:tcPr>
                <w:p>
                  <w:pPr>
                    <w:jc w:val="center"/>
                    <w:rPr>
                      <w:bCs/>
                      <w:color w:val="auto"/>
                      <w:sz w:val="21"/>
                      <w:szCs w:val="21"/>
                    </w:rPr>
                  </w:pPr>
                  <w:r>
                    <w:rPr>
                      <w:rFonts w:hint="eastAsia"/>
                      <w:bCs/>
                      <w:color w:val="auto"/>
                      <w:sz w:val="21"/>
                      <w:szCs w:val="21"/>
                    </w:rPr>
                    <w:t>85</w:t>
                  </w:r>
                </w:p>
              </w:tc>
              <w:tc>
                <w:tcPr>
                  <w:tcW w:w="1436" w:type="dxa"/>
                  <w:tcBorders>
                    <w:top w:val="single" w:color="000000" w:sz="4" w:space="0"/>
                    <w:bottom w:val="single" w:color="000000" w:sz="4" w:space="0"/>
                  </w:tcBorders>
                  <w:noWrap w:val="0"/>
                  <w:vAlign w:val="center"/>
                </w:tcPr>
                <w:p>
                  <w:pPr>
                    <w:jc w:val="center"/>
                    <w:rPr>
                      <w:bCs/>
                      <w:color w:val="auto"/>
                      <w:sz w:val="21"/>
                      <w:szCs w:val="21"/>
                    </w:rPr>
                  </w:pPr>
                  <w:r>
                    <w:rPr>
                      <w:bCs/>
                      <w:color w:val="auto"/>
                      <w:sz w:val="21"/>
                      <w:szCs w:val="21"/>
                    </w:rPr>
                    <w:t>连续</w:t>
                  </w:r>
                </w:p>
              </w:tc>
            </w:tr>
          </w:tbl>
          <w:p>
            <w:pPr>
              <w:spacing w:line="360" w:lineRule="auto"/>
              <w:ind w:firstLine="480" w:firstLineChars="200"/>
              <w:rPr>
                <w:b/>
                <w:bCs/>
                <w:color w:val="auto"/>
              </w:rPr>
            </w:pPr>
            <w:r>
              <w:rPr>
                <w:color w:val="auto"/>
              </w:rPr>
              <w:t>污水厂内功率较大的潜污泵等，大部分位于水面以下，环评要求将风机等位于地上的高噪声设备设置在隔声间内。机泵类设备还应加装防振垫片，以减少震动引起的噪声。同时，项目运行期间应定期对设备进行检查维修，以避免设备因故障运行而产生高分贝噪声。</w:t>
            </w:r>
          </w:p>
          <w:p>
            <w:pPr>
              <w:pStyle w:val="46"/>
              <w:spacing w:before="0" w:line="360" w:lineRule="auto"/>
              <w:ind w:firstLine="482"/>
              <w:rPr>
                <w:b/>
                <w:bCs/>
                <w:color w:val="auto"/>
              </w:rPr>
            </w:pPr>
            <w:r>
              <w:rPr>
                <w:b/>
                <w:bCs/>
                <w:color w:val="auto"/>
              </w:rPr>
              <w:t>4.固体废物分析</w:t>
            </w:r>
          </w:p>
          <w:p>
            <w:pPr>
              <w:spacing w:line="360" w:lineRule="auto"/>
              <w:ind w:firstLine="480" w:firstLineChars="200"/>
              <w:rPr>
                <w:snapToGrid w:val="0"/>
                <w:color w:val="auto"/>
                <w:kern w:val="0"/>
              </w:rPr>
            </w:pPr>
            <w:r>
              <w:rPr>
                <w:snapToGrid w:val="0"/>
                <w:color w:val="auto"/>
                <w:kern w:val="0"/>
              </w:rPr>
              <w:t>本项目固体废物主要为格栅栅渣、污泥</w:t>
            </w:r>
            <w:r>
              <w:rPr>
                <w:rFonts w:hint="eastAsia"/>
                <w:snapToGrid w:val="0"/>
                <w:color w:val="auto"/>
                <w:kern w:val="0"/>
              </w:rPr>
              <w:t>、</w:t>
            </w:r>
            <w:r>
              <w:rPr>
                <w:rFonts w:hint="eastAsia"/>
                <w:color w:val="auto"/>
              </w:rPr>
              <w:t>人工湿地产生的枯枝败叶、废旧填料</w:t>
            </w:r>
            <w:r>
              <w:rPr>
                <w:snapToGrid w:val="0"/>
                <w:color w:val="auto"/>
                <w:kern w:val="0"/>
              </w:rPr>
              <w:t>以及员工产生的生活垃圾等。污水处理站产生的污泥量较少，根据设计方案本项目的</w:t>
            </w:r>
            <w:r>
              <w:rPr>
                <w:color w:val="auto"/>
                <w:kern w:val="0"/>
              </w:rPr>
              <w:t>剩余污泥</w:t>
            </w:r>
            <w:r>
              <w:rPr>
                <w:rFonts w:hint="eastAsia"/>
                <w:color w:val="auto"/>
                <w:kern w:val="0"/>
              </w:rPr>
              <w:t>采用吸粪车定期外运峨边县城市污水处理厂进行处理</w:t>
            </w:r>
            <w:r>
              <w:rPr>
                <w:color w:val="auto"/>
                <w:kern w:val="0"/>
              </w:rPr>
              <w:t>，</w:t>
            </w:r>
            <w:r>
              <w:rPr>
                <w:snapToGrid w:val="0"/>
                <w:color w:val="auto"/>
                <w:kern w:val="0"/>
              </w:rPr>
              <w:t>格栅栅渣和生活垃圾由环卫部门统一清运。</w:t>
            </w:r>
          </w:p>
          <w:p>
            <w:pPr>
              <w:spacing w:line="360" w:lineRule="auto"/>
              <w:ind w:firstLine="480"/>
              <w:rPr>
                <w:rFonts w:hint="eastAsia"/>
                <w:snapToGrid w:val="0"/>
                <w:color w:val="auto"/>
                <w:kern w:val="0"/>
              </w:rPr>
            </w:pPr>
            <w:r>
              <w:rPr>
                <w:snapToGrid w:val="0"/>
                <w:color w:val="auto"/>
                <w:kern w:val="0"/>
              </w:rPr>
              <w:t>根据同类污水处理站处理工艺类比，栅渣产生量按照20g/m</w:t>
            </w:r>
            <w:r>
              <w:rPr>
                <w:snapToGrid w:val="0"/>
                <w:color w:val="auto"/>
                <w:kern w:val="0"/>
                <w:vertAlign w:val="superscript"/>
              </w:rPr>
              <w:t>3</w:t>
            </w:r>
            <w:r>
              <w:rPr>
                <w:snapToGrid w:val="0"/>
                <w:color w:val="auto"/>
                <w:kern w:val="0"/>
              </w:rPr>
              <w:t>水进行估算，则本项目格栅栅渣量为0.0012t/d，年产生栅渣量约为0.438t/a。根据进水水质、处理程度以及污泥产率计算，按</w:t>
            </w:r>
            <w:r>
              <w:rPr>
                <w:color w:val="auto"/>
                <w:kern w:val="0"/>
                <w:lang w:bidi="ar"/>
              </w:rPr>
              <w:t>平均每去除1kg的BOD</w:t>
            </w:r>
            <w:r>
              <w:rPr>
                <w:color w:val="auto"/>
                <w:kern w:val="0"/>
                <w:sz w:val="16"/>
                <w:szCs w:val="16"/>
                <w:lang w:bidi="ar"/>
              </w:rPr>
              <w:t>5</w:t>
            </w:r>
            <w:r>
              <w:rPr>
                <w:color w:val="auto"/>
                <w:kern w:val="0"/>
                <w:lang w:bidi="ar"/>
              </w:rPr>
              <w:t>产生的污泥量为0.25kg，则新鲜污泥量为0.7665t/a</w:t>
            </w:r>
            <w:r>
              <w:rPr>
                <w:rFonts w:hint="eastAsia"/>
                <w:color w:val="auto"/>
                <w:kern w:val="0"/>
                <w:lang w:bidi="ar"/>
              </w:rPr>
              <w:t>（含水率约98%）</w:t>
            </w:r>
            <w:r>
              <w:rPr>
                <w:snapToGrid w:val="0"/>
                <w:color w:val="auto"/>
                <w:kern w:val="0"/>
              </w:rPr>
              <w:t>。生活垃圾产生量按每人每天0.5kg计，则产生量为0.18t/a，厂区定点垃圾桶收集后，由环卫部门统一清运。</w:t>
            </w:r>
            <w:r>
              <w:rPr>
                <w:rFonts w:hint="eastAsia"/>
                <w:snapToGrid w:val="0"/>
                <w:color w:val="auto"/>
                <w:kern w:val="0"/>
              </w:rPr>
              <w:t>一体化设备</w:t>
            </w:r>
            <w:r>
              <w:rPr>
                <w:snapToGrid w:val="0"/>
                <w:color w:val="auto"/>
                <w:kern w:val="0"/>
              </w:rPr>
              <w:t>填料</w:t>
            </w:r>
            <w:r>
              <w:rPr>
                <w:rFonts w:hint="eastAsia"/>
                <w:snapToGrid w:val="0"/>
                <w:color w:val="auto"/>
                <w:kern w:val="0"/>
              </w:rPr>
              <w:t>更换</w:t>
            </w:r>
            <w:r>
              <w:rPr>
                <w:snapToGrid w:val="0"/>
                <w:color w:val="auto"/>
                <w:kern w:val="0"/>
              </w:rPr>
              <w:t>产生约0.</w:t>
            </w:r>
            <w:r>
              <w:rPr>
                <w:rFonts w:hint="eastAsia"/>
                <w:snapToGrid w:val="0"/>
                <w:color w:val="auto"/>
                <w:kern w:val="0"/>
              </w:rPr>
              <w:t>0</w:t>
            </w:r>
            <w:r>
              <w:rPr>
                <w:snapToGrid w:val="0"/>
                <w:color w:val="auto"/>
                <w:kern w:val="0"/>
              </w:rPr>
              <w:t>5t/a，</w:t>
            </w:r>
            <w:r>
              <w:rPr>
                <w:color w:val="auto"/>
              </w:rPr>
              <w:t>废弃填料经统一收集后交由厂家回收利用。</w:t>
            </w:r>
            <w:r>
              <w:rPr>
                <w:rFonts w:hint="eastAsia"/>
                <w:color w:val="auto"/>
              </w:rPr>
              <w:t>人工湿地产生的枯枝败叶产生量约为0</w:t>
            </w:r>
            <w:r>
              <w:rPr>
                <w:color w:val="auto"/>
              </w:rPr>
              <w:t>.1t/a</w:t>
            </w:r>
            <w:r>
              <w:rPr>
                <w:rFonts w:hint="eastAsia"/>
                <w:color w:val="auto"/>
              </w:rPr>
              <w:t>，</w:t>
            </w:r>
            <w:r>
              <w:rPr>
                <w:rFonts w:hint="eastAsia"/>
                <w:snapToGrid w:val="0"/>
                <w:color w:val="auto"/>
              </w:rPr>
              <w:t>收集晒干后交由当地居民用作生物燃料</w:t>
            </w:r>
            <w:r>
              <w:rPr>
                <w:rFonts w:hint="eastAsia"/>
                <w:color w:val="auto"/>
              </w:rPr>
              <w:t>。</w:t>
            </w:r>
          </w:p>
          <w:p>
            <w:pPr>
              <w:spacing w:line="360" w:lineRule="auto"/>
              <w:jc w:val="center"/>
              <w:rPr>
                <w:rStyle w:val="106"/>
                <w:rFonts w:eastAsia="黑体"/>
                <w:color w:val="auto"/>
              </w:rPr>
            </w:pPr>
            <w:r>
              <w:rPr>
                <w:rStyle w:val="106"/>
                <w:rFonts w:eastAsia="黑体"/>
                <w:color w:val="auto"/>
              </w:rPr>
              <w:t>表5-</w:t>
            </w:r>
            <w:r>
              <w:rPr>
                <w:rStyle w:val="106"/>
                <w:rFonts w:hint="eastAsia" w:eastAsia="黑体"/>
                <w:color w:val="auto"/>
                <w:lang w:val="en-US"/>
              </w:rPr>
              <w:t>8</w:t>
            </w:r>
            <w:r>
              <w:rPr>
                <w:rStyle w:val="106"/>
                <w:rFonts w:eastAsia="黑体"/>
                <w:color w:val="auto"/>
              </w:rPr>
              <w:t xml:space="preserve">  固废产生情况一览表</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23"/>
              <w:gridCol w:w="2367"/>
              <w:gridCol w:w="4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
                      <w:color w:val="auto"/>
                      <w:sz w:val="21"/>
                      <w:szCs w:val="21"/>
                    </w:rPr>
                  </w:pPr>
                  <w:r>
                    <w:rPr>
                      <w:b/>
                      <w:color w:val="auto"/>
                      <w:sz w:val="21"/>
                      <w:szCs w:val="21"/>
                    </w:rPr>
                    <w:t>污染物种类</w:t>
                  </w:r>
                </w:p>
              </w:tc>
              <w:tc>
                <w:tcPr>
                  <w:tcW w:w="2367" w:type="dxa"/>
                  <w:noWrap w:val="0"/>
                  <w:vAlign w:val="center"/>
                </w:tcPr>
                <w:p>
                  <w:pPr>
                    <w:jc w:val="center"/>
                    <w:rPr>
                      <w:b/>
                      <w:color w:val="auto"/>
                      <w:sz w:val="21"/>
                      <w:szCs w:val="21"/>
                    </w:rPr>
                  </w:pPr>
                  <w:r>
                    <w:rPr>
                      <w:b/>
                      <w:color w:val="auto"/>
                      <w:sz w:val="21"/>
                      <w:szCs w:val="21"/>
                    </w:rPr>
                    <w:t>产生量</w:t>
                  </w:r>
                </w:p>
              </w:tc>
              <w:tc>
                <w:tcPr>
                  <w:tcW w:w="4670" w:type="dxa"/>
                  <w:noWrap w:val="0"/>
                  <w:vAlign w:val="center"/>
                </w:tcPr>
                <w:p>
                  <w:pPr>
                    <w:jc w:val="center"/>
                    <w:rPr>
                      <w:b/>
                      <w:color w:val="auto"/>
                      <w:sz w:val="21"/>
                      <w:szCs w:val="21"/>
                    </w:rPr>
                  </w:pPr>
                  <w:r>
                    <w:rPr>
                      <w:b/>
                      <w:color w:val="auto"/>
                      <w:sz w:val="21"/>
                      <w:szCs w:val="21"/>
                    </w:rPr>
                    <w:t>处理方式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Cs/>
                      <w:color w:val="auto"/>
                      <w:sz w:val="21"/>
                      <w:szCs w:val="21"/>
                    </w:rPr>
                  </w:pPr>
                  <w:r>
                    <w:rPr>
                      <w:bCs/>
                      <w:color w:val="auto"/>
                      <w:sz w:val="21"/>
                      <w:szCs w:val="21"/>
                    </w:rPr>
                    <w:t>格栅渣</w:t>
                  </w:r>
                </w:p>
              </w:tc>
              <w:tc>
                <w:tcPr>
                  <w:tcW w:w="2367" w:type="dxa"/>
                  <w:noWrap w:val="0"/>
                  <w:vAlign w:val="center"/>
                </w:tcPr>
                <w:p>
                  <w:pPr>
                    <w:jc w:val="center"/>
                    <w:rPr>
                      <w:bCs/>
                      <w:color w:val="auto"/>
                      <w:sz w:val="21"/>
                      <w:szCs w:val="21"/>
                    </w:rPr>
                  </w:pPr>
                  <w:r>
                    <w:rPr>
                      <w:bCs/>
                      <w:color w:val="auto"/>
                      <w:sz w:val="21"/>
                      <w:szCs w:val="21"/>
                    </w:rPr>
                    <w:t>0.438t/a</w:t>
                  </w:r>
                </w:p>
              </w:tc>
              <w:tc>
                <w:tcPr>
                  <w:tcW w:w="4670" w:type="dxa"/>
                  <w:noWrap w:val="0"/>
                  <w:vAlign w:val="center"/>
                </w:tcPr>
                <w:p>
                  <w:pPr>
                    <w:jc w:val="center"/>
                    <w:rPr>
                      <w:bCs/>
                      <w:color w:val="auto"/>
                      <w:sz w:val="21"/>
                      <w:szCs w:val="21"/>
                    </w:rPr>
                  </w:pPr>
                  <w:r>
                    <w:rPr>
                      <w:bCs/>
                      <w:color w:val="auto"/>
                      <w:sz w:val="21"/>
                      <w:szCs w:val="21"/>
                    </w:rPr>
                    <w:t>交由环卫部门统一清运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Cs/>
                      <w:color w:val="auto"/>
                      <w:sz w:val="21"/>
                      <w:szCs w:val="21"/>
                    </w:rPr>
                  </w:pPr>
                  <w:r>
                    <w:rPr>
                      <w:bCs/>
                      <w:color w:val="auto"/>
                      <w:sz w:val="21"/>
                      <w:szCs w:val="21"/>
                    </w:rPr>
                    <w:t>污泥</w:t>
                  </w:r>
                </w:p>
              </w:tc>
              <w:tc>
                <w:tcPr>
                  <w:tcW w:w="2367" w:type="dxa"/>
                  <w:noWrap w:val="0"/>
                  <w:vAlign w:val="center"/>
                </w:tcPr>
                <w:p>
                  <w:pPr>
                    <w:jc w:val="center"/>
                    <w:rPr>
                      <w:rFonts w:hint="eastAsia"/>
                      <w:bCs/>
                      <w:color w:val="auto"/>
                      <w:sz w:val="21"/>
                      <w:szCs w:val="21"/>
                    </w:rPr>
                  </w:pPr>
                  <w:r>
                    <w:rPr>
                      <w:bCs/>
                      <w:color w:val="auto"/>
                      <w:sz w:val="21"/>
                      <w:szCs w:val="21"/>
                    </w:rPr>
                    <w:t>0.765t/a</w:t>
                  </w:r>
                  <w:r>
                    <w:rPr>
                      <w:rFonts w:hint="eastAsia"/>
                      <w:bCs/>
                      <w:color w:val="auto"/>
                      <w:sz w:val="21"/>
                      <w:szCs w:val="21"/>
                    </w:rPr>
                    <w:t>（含水率98%）</w:t>
                  </w:r>
                </w:p>
              </w:tc>
              <w:tc>
                <w:tcPr>
                  <w:tcW w:w="4670" w:type="dxa"/>
                  <w:noWrap w:val="0"/>
                  <w:vAlign w:val="center"/>
                </w:tcPr>
                <w:p>
                  <w:pPr>
                    <w:jc w:val="center"/>
                    <w:rPr>
                      <w:rFonts w:hint="eastAsia"/>
                      <w:bCs/>
                      <w:color w:val="auto"/>
                      <w:sz w:val="21"/>
                      <w:szCs w:val="21"/>
                    </w:rPr>
                  </w:pPr>
                  <w:r>
                    <w:rPr>
                      <w:rFonts w:hint="eastAsia"/>
                      <w:bCs/>
                      <w:color w:val="auto"/>
                      <w:sz w:val="21"/>
                      <w:szCs w:val="21"/>
                    </w:rPr>
                    <w:t>采用吸粪车定期外运至</w:t>
                  </w:r>
                  <w:r>
                    <w:rPr>
                      <w:bCs/>
                      <w:color w:val="auto"/>
                      <w:sz w:val="21"/>
                      <w:szCs w:val="21"/>
                    </w:rPr>
                    <w:t>峨边县城市生活污水处理厂</w:t>
                  </w:r>
                  <w:r>
                    <w:rPr>
                      <w:rFonts w:hint="eastAsia"/>
                      <w:bCs/>
                      <w:color w:val="auto"/>
                      <w:sz w:val="21"/>
                      <w:szCs w:val="21"/>
                    </w:rPr>
                    <w:t>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Cs/>
                      <w:color w:val="auto"/>
                      <w:sz w:val="21"/>
                      <w:szCs w:val="21"/>
                    </w:rPr>
                  </w:pPr>
                  <w:r>
                    <w:rPr>
                      <w:bCs/>
                      <w:color w:val="auto"/>
                      <w:sz w:val="21"/>
                      <w:szCs w:val="21"/>
                    </w:rPr>
                    <w:t>生活垃圾</w:t>
                  </w:r>
                </w:p>
              </w:tc>
              <w:tc>
                <w:tcPr>
                  <w:tcW w:w="2367" w:type="dxa"/>
                  <w:noWrap w:val="0"/>
                  <w:vAlign w:val="center"/>
                </w:tcPr>
                <w:p>
                  <w:pPr>
                    <w:jc w:val="center"/>
                    <w:rPr>
                      <w:bCs/>
                      <w:color w:val="auto"/>
                      <w:sz w:val="21"/>
                      <w:szCs w:val="21"/>
                    </w:rPr>
                  </w:pPr>
                  <w:r>
                    <w:rPr>
                      <w:bCs/>
                      <w:color w:val="auto"/>
                      <w:sz w:val="21"/>
                      <w:szCs w:val="21"/>
                    </w:rPr>
                    <w:t>0.18t/a</w:t>
                  </w:r>
                </w:p>
              </w:tc>
              <w:tc>
                <w:tcPr>
                  <w:tcW w:w="4670" w:type="dxa"/>
                  <w:noWrap w:val="0"/>
                  <w:vAlign w:val="center"/>
                </w:tcPr>
                <w:p>
                  <w:pPr>
                    <w:jc w:val="center"/>
                    <w:rPr>
                      <w:bCs/>
                      <w:color w:val="auto"/>
                      <w:sz w:val="21"/>
                      <w:szCs w:val="21"/>
                    </w:rPr>
                  </w:pPr>
                  <w:r>
                    <w:rPr>
                      <w:bCs/>
                      <w:color w:val="auto"/>
                      <w:sz w:val="21"/>
                      <w:szCs w:val="21"/>
                    </w:rPr>
                    <w:t>交由环卫部门统一清运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Cs/>
                      <w:color w:val="auto"/>
                      <w:sz w:val="21"/>
                      <w:szCs w:val="21"/>
                    </w:rPr>
                  </w:pPr>
                  <w:r>
                    <w:rPr>
                      <w:rFonts w:hint="eastAsia"/>
                      <w:color w:val="auto"/>
                      <w:sz w:val="21"/>
                      <w:szCs w:val="21"/>
                    </w:rPr>
                    <w:t>人工湿地产生的枯枝败叶</w:t>
                  </w:r>
                </w:p>
              </w:tc>
              <w:tc>
                <w:tcPr>
                  <w:tcW w:w="2367" w:type="dxa"/>
                  <w:noWrap w:val="0"/>
                  <w:vAlign w:val="center"/>
                </w:tcPr>
                <w:p>
                  <w:pPr>
                    <w:jc w:val="center"/>
                    <w:rPr>
                      <w:bCs/>
                      <w:color w:val="auto"/>
                      <w:sz w:val="21"/>
                      <w:szCs w:val="21"/>
                    </w:rPr>
                  </w:pPr>
                  <w:r>
                    <w:rPr>
                      <w:rFonts w:hint="eastAsia"/>
                      <w:bCs/>
                      <w:color w:val="auto"/>
                      <w:sz w:val="21"/>
                      <w:szCs w:val="21"/>
                    </w:rPr>
                    <w:t>0</w:t>
                  </w:r>
                  <w:r>
                    <w:rPr>
                      <w:bCs/>
                      <w:color w:val="auto"/>
                      <w:sz w:val="21"/>
                      <w:szCs w:val="21"/>
                    </w:rPr>
                    <w:t>.1t/a</w:t>
                  </w:r>
                </w:p>
              </w:tc>
              <w:tc>
                <w:tcPr>
                  <w:tcW w:w="4670" w:type="dxa"/>
                  <w:noWrap w:val="0"/>
                  <w:vAlign w:val="center"/>
                </w:tcPr>
                <w:p>
                  <w:pPr>
                    <w:jc w:val="center"/>
                    <w:rPr>
                      <w:bCs/>
                      <w:color w:val="auto"/>
                      <w:sz w:val="21"/>
                      <w:szCs w:val="21"/>
                    </w:rPr>
                  </w:pPr>
                  <w:r>
                    <w:rPr>
                      <w:rFonts w:hint="eastAsia"/>
                      <w:bCs/>
                      <w:color w:val="auto"/>
                      <w:sz w:val="21"/>
                      <w:szCs w:val="21"/>
                    </w:rPr>
                    <w:t>收集晒干后交由当地居民用作生物燃料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023" w:type="dxa"/>
                  <w:noWrap w:val="0"/>
                  <w:vAlign w:val="center"/>
                </w:tcPr>
                <w:p>
                  <w:pPr>
                    <w:jc w:val="center"/>
                    <w:rPr>
                      <w:bCs/>
                      <w:color w:val="auto"/>
                      <w:sz w:val="21"/>
                      <w:szCs w:val="21"/>
                    </w:rPr>
                  </w:pPr>
                  <w:r>
                    <w:rPr>
                      <w:bCs/>
                      <w:color w:val="auto"/>
                      <w:sz w:val="21"/>
                      <w:szCs w:val="21"/>
                    </w:rPr>
                    <w:t>废填料</w:t>
                  </w:r>
                </w:p>
              </w:tc>
              <w:tc>
                <w:tcPr>
                  <w:tcW w:w="2367" w:type="dxa"/>
                  <w:noWrap w:val="0"/>
                  <w:vAlign w:val="center"/>
                </w:tcPr>
                <w:p>
                  <w:pPr>
                    <w:jc w:val="center"/>
                    <w:rPr>
                      <w:bCs/>
                      <w:color w:val="auto"/>
                      <w:sz w:val="21"/>
                      <w:szCs w:val="21"/>
                    </w:rPr>
                  </w:pPr>
                  <w:r>
                    <w:rPr>
                      <w:bCs/>
                      <w:color w:val="auto"/>
                      <w:sz w:val="21"/>
                      <w:szCs w:val="21"/>
                    </w:rPr>
                    <w:t>0.</w:t>
                  </w:r>
                  <w:r>
                    <w:rPr>
                      <w:rFonts w:hint="eastAsia"/>
                      <w:bCs/>
                      <w:color w:val="auto"/>
                      <w:sz w:val="21"/>
                      <w:szCs w:val="21"/>
                    </w:rPr>
                    <w:t>0</w:t>
                  </w:r>
                  <w:r>
                    <w:rPr>
                      <w:bCs/>
                      <w:color w:val="auto"/>
                      <w:sz w:val="21"/>
                      <w:szCs w:val="21"/>
                    </w:rPr>
                    <w:t>5</w:t>
                  </w:r>
                  <w:r>
                    <w:rPr>
                      <w:snapToGrid w:val="0"/>
                      <w:color w:val="auto"/>
                      <w:kern w:val="0"/>
                      <w:sz w:val="21"/>
                      <w:szCs w:val="21"/>
                    </w:rPr>
                    <w:t>t/a</w:t>
                  </w:r>
                </w:p>
              </w:tc>
              <w:tc>
                <w:tcPr>
                  <w:tcW w:w="4670" w:type="dxa"/>
                  <w:noWrap w:val="0"/>
                  <w:vAlign w:val="center"/>
                </w:tcPr>
                <w:p>
                  <w:pPr>
                    <w:jc w:val="center"/>
                    <w:rPr>
                      <w:bCs/>
                      <w:color w:val="auto"/>
                      <w:sz w:val="21"/>
                      <w:szCs w:val="21"/>
                    </w:rPr>
                  </w:pPr>
                  <w:r>
                    <w:rPr>
                      <w:color w:val="auto"/>
                      <w:sz w:val="21"/>
                      <w:szCs w:val="21"/>
                    </w:rPr>
                    <w:t>统一收集后</w:t>
                  </w:r>
                  <w:r>
                    <w:rPr>
                      <w:snapToGrid w:val="0"/>
                      <w:color w:val="auto"/>
                      <w:kern w:val="0"/>
                      <w:sz w:val="21"/>
                      <w:szCs w:val="21"/>
                    </w:rPr>
                    <w:t>交由厂家回收利用</w:t>
                  </w:r>
                </w:p>
              </w:tc>
            </w:tr>
          </w:tbl>
          <w:p>
            <w:pPr>
              <w:pStyle w:val="46"/>
              <w:spacing w:before="0" w:line="360" w:lineRule="auto"/>
              <w:ind w:firstLine="482"/>
              <w:rPr>
                <w:b/>
                <w:bCs/>
                <w:color w:val="auto"/>
              </w:rPr>
            </w:pPr>
            <w:r>
              <w:rPr>
                <w:b/>
                <w:bCs/>
                <w:color w:val="auto"/>
              </w:rPr>
              <w:t>5、地下水污染源分析</w:t>
            </w:r>
          </w:p>
          <w:p>
            <w:pPr>
              <w:widowControl/>
              <w:adjustRightInd w:val="0"/>
              <w:snapToGrid w:val="0"/>
              <w:spacing w:line="360" w:lineRule="auto"/>
              <w:ind w:firstLine="480" w:firstLineChars="200"/>
              <w:jc w:val="left"/>
              <w:rPr>
                <w:color w:val="auto"/>
                <w:kern w:val="0"/>
                <w:lang w:bidi="ar"/>
              </w:rPr>
            </w:pPr>
            <w:r>
              <w:rPr>
                <w:color w:val="auto"/>
                <w:kern w:val="0"/>
                <w:lang w:bidi="ar"/>
              </w:rPr>
              <w:t>本项目污水处理站属于《环境影响评价技术导则-地下水环境》（HJ610-2016）中的Ⅲ类项目，跟据现场调查，本项目周围无集中式饮用水源地，不在集中式饮用水源地补给区，本项目所在区域为不敏感区域，故本项目地下水评价等级为三级。</w:t>
            </w:r>
          </w:p>
          <w:p>
            <w:pPr>
              <w:widowControl/>
              <w:adjustRightInd w:val="0"/>
              <w:snapToGrid w:val="0"/>
              <w:spacing w:line="360" w:lineRule="auto"/>
              <w:ind w:firstLine="480" w:firstLineChars="200"/>
              <w:jc w:val="left"/>
              <w:rPr>
                <w:color w:val="auto"/>
              </w:rPr>
            </w:pPr>
            <w:r>
              <w:rPr>
                <w:color w:val="auto"/>
                <w:kern w:val="0"/>
                <w:lang w:bidi="ar"/>
              </w:rPr>
              <w:t>根据调查，项目范围内地下水类型为浅层地下水，但因峨边彝族自治县属山丘地区，河流切割较深，浅层地下水主要从河川排泄，地表径流基本上包括了浅层地下水。为降低营运期对地下水的影响，建设单位采取如下措施：</w:t>
            </w:r>
          </w:p>
          <w:p>
            <w:pPr>
              <w:widowControl/>
              <w:adjustRightInd w:val="0"/>
              <w:snapToGrid w:val="0"/>
              <w:spacing w:line="360" w:lineRule="auto"/>
              <w:ind w:firstLine="480" w:firstLineChars="200"/>
              <w:jc w:val="left"/>
              <w:rPr>
                <w:color w:val="auto"/>
              </w:rPr>
            </w:pPr>
            <w:r>
              <w:rPr>
                <w:color w:val="auto"/>
                <w:kern w:val="0"/>
                <w:lang w:bidi="ar"/>
              </w:rPr>
              <w:t>（1）正常工况</w:t>
            </w:r>
          </w:p>
          <w:p>
            <w:pPr>
              <w:widowControl/>
              <w:adjustRightInd w:val="0"/>
              <w:snapToGrid w:val="0"/>
              <w:spacing w:line="360" w:lineRule="auto"/>
              <w:ind w:firstLine="480" w:firstLineChars="200"/>
              <w:jc w:val="left"/>
              <w:rPr>
                <w:color w:val="auto"/>
              </w:rPr>
            </w:pPr>
            <w:r>
              <w:rPr>
                <w:color w:val="auto"/>
                <w:kern w:val="0"/>
                <w:lang w:bidi="ar"/>
              </w:rPr>
              <w:t>本工程废水排放实行完全分流制。正常工况下，污水处理设施、污水处理站保持正常运行，污水处理站收集的废水经污水处理站处理达标后排入官料河。因此，正常工况下对厂区地下水水质的影响较小，可不予考虑。</w:t>
            </w:r>
          </w:p>
          <w:p>
            <w:pPr>
              <w:widowControl/>
              <w:adjustRightInd w:val="0"/>
              <w:snapToGrid w:val="0"/>
              <w:spacing w:line="360" w:lineRule="auto"/>
              <w:ind w:firstLine="480" w:firstLineChars="200"/>
              <w:jc w:val="left"/>
              <w:rPr>
                <w:color w:val="auto"/>
              </w:rPr>
            </w:pPr>
            <w:r>
              <w:rPr>
                <w:color w:val="auto"/>
                <w:kern w:val="0"/>
                <w:lang w:bidi="ar"/>
              </w:rPr>
              <w:t>（2）事故状态由于生产工艺及生产过程的复杂性，导致污废水处理过程中有发生“跑、冒、滴、漏”事故可能，一旦发生事故，尤其是在污水管网埋地部位，污废水一旦泄漏难以被发现且浓度较高，污水将会通过包气带渗入至地下水中，从而造成地下水污染，使地下水水质恶化。</w:t>
            </w:r>
          </w:p>
          <w:p>
            <w:pPr>
              <w:widowControl/>
              <w:adjustRightInd w:val="0"/>
              <w:snapToGrid w:val="0"/>
              <w:spacing w:line="360" w:lineRule="auto"/>
              <w:ind w:firstLine="480" w:firstLineChars="200"/>
              <w:jc w:val="left"/>
              <w:rPr>
                <w:color w:val="auto"/>
              </w:rPr>
            </w:pPr>
            <w:r>
              <w:rPr>
                <w:color w:val="auto"/>
                <w:kern w:val="0"/>
                <w:lang w:bidi="ar"/>
              </w:rPr>
              <w:t>本项目应编制应急预案，当发生污染物泄露事故后，必须立即启动应急预案，分析污染事故的发展趋势，并提出下一步预防和防治措施，迅速控制或切断事件灾害链，对污水进行封闭、截流，抽出污水送污水处理站集中处理，使污染地下水扩散得到有效抑制，最大限度地保护下游地下水水质安全，将损失降到最低限度。此外，污水管网的破裂及时发现，也不会造成长时间的连续泄露。所以在本项目投产后，对站内污水处理设施和排水管道仍必须采取可靠的防渗防漏措施，防止重大事故或者事故处理不及时污水泄漏对地下水环境造成污染。</w:t>
            </w:r>
          </w:p>
          <w:p>
            <w:pPr>
              <w:widowControl/>
              <w:adjustRightInd w:val="0"/>
              <w:snapToGrid w:val="0"/>
              <w:spacing w:line="360" w:lineRule="auto"/>
              <w:ind w:firstLine="480" w:firstLineChars="200"/>
              <w:jc w:val="left"/>
              <w:rPr>
                <w:color w:val="auto"/>
              </w:rPr>
            </w:pPr>
            <w:r>
              <w:rPr>
                <w:color w:val="auto"/>
                <w:kern w:val="0"/>
                <w:lang w:bidi="ar"/>
              </w:rPr>
              <w:t>①地下水环境保护措施</w:t>
            </w:r>
          </w:p>
          <w:p>
            <w:pPr>
              <w:widowControl/>
              <w:adjustRightInd w:val="0"/>
              <w:snapToGrid w:val="0"/>
              <w:spacing w:line="360" w:lineRule="auto"/>
              <w:ind w:firstLine="480" w:firstLineChars="200"/>
              <w:jc w:val="left"/>
              <w:rPr>
                <w:color w:val="auto"/>
              </w:rPr>
            </w:pPr>
            <w:r>
              <w:rPr>
                <w:color w:val="auto"/>
                <w:kern w:val="0"/>
                <w:lang w:bidi="ar"/>
              </w:rPr>
              <w:t>针对项目可能发生的地下水污染，地下水污染防治措施按照“源头控制、末端防治、污染监控、应急响应”相结合的原则，从污染物的产生、入渗、扩散、应急响应全阶段进行控制。</w:t>
            </w:r>
          </w:p>
          <w:p>
            <w:pPr>
              <w:widowControl/>
              <w:adjustRightInd w:val="0"/>
              <w:snapToGrid w:val="0"/>
              <w:spacing w:line="360" w:lineRule="auto"/>
              <w:ind w:firstLine="480" w:firstLineChars="200"/>
              <w:jc w:val="left"/>
              <w:rPr>
                <w:color w:val="auto"/>
              </w:rPr>
            </w:pPr>
            <w:r>
              <w:rPr>
                <w:color w:val="auto"/>
                <w:kern w:val="0"/>
                <w:lang w:bidi="ar"/>
              </w:rPr>
              <w:t>A.源头控制措施：主要包括在工艺、管道、设备、污水储存及处理构筑物采取相应措施，防止和降低污染物跑、冒、滴、漏，将污染物泄漏的环境风险事故降到最低程度；管线敷设尽量采用“可视化”原则，即管道尽可能地上敷设，做到污染物“早发现、早处理”，减少由于埋地管道泄漏而造成的地下水污染。</w:t>
            </w:r>
          </w:p>
          <w:p>
            <w:pPr>
              <w:widowControl/>
              <w:adjustRightInd w:val="0"/>
              <w:snapToGrid w:val="0"/>
              <w:spacing w:line="360" w:lineRule="auto"/>
              <w:ind w:firstLine="480" w:firstLineChars="200"/>
              <w:jc w:val="left"/>
              <w:rPr>
                <w:color w:val="auto"/>
              </w:rPr>
            </w:pPr>
            <w:r>
              <w:rPr>
                <w:color w:val="auto"/>
                <w:kern w:val="0"/>
                <w:lang w:bidi="ar"/>
              </w:rPr>
              <w:t>B.末端控制措施：主要包括厂内污染区地面的防渗措施和泄漏、渗漏污染物收集措施，即在污染区地面进行防渗处理，防止洒落地面的污染物渗入地下，并把滞留在地面的污染物收集起来，集中送至污水处理站处理；末端控制采取分区防渗，重点污染防治区、一般污染防治区和简单污染区防渗措施有区别的防渗原则。</w:t>
            </w:r>
          </w:p>
          <w:p>
            <w:pPr>
              <w:widowControl/>
              <w:adjustRightInd w:val="0"/>
              <w:snapToGrid w:val="0"/>
              <w:spacing w:line="360" w:lineRule="auto"/>
              <w:ind w:firstLine="480" w:firstLineChars="200"/>
              <w:jc w:val="left"/>
              <w:rPr>
                <w:color w:val="auto"/>
              </w:rPr>
            </w:pPr>
            <w:r>
              <w:rPr>
                <w:color w:val="auto"/>
                <w:kern w:val="0"/>
                <w:lang w:bidi="ar"/>
              </w:rPr>
              <w:t>C.污染监控体系：实施覆盖生产区的地下水污染监控系统，包括建立完善的检测制度、配备先进的检测仪器和设备、科学、合理设置地下水污染监控井，及时发现污染、及时控制。</w:t>
            </w:r>
          </w:p>
          <w:p>
            <w:pPr>
              <w:widowControl/>
              <w:adjustRightInd w:val="0"/>
              <w:snapToGrid w:val="0"/>
              <w:spacing w:line="360" w:lineRule="auto"/>
              <w:ind w:firstLine="480" w:firstLineChars="200"/>
              <w:jc w:val="left"/>
              <w:rPr>
                <w:color w:val="auto"/>
              </w:rPr>
            </w:pPr>
            <w:r>
              <w:rPr>
                <w:color w:val="auto"/>
                <w:kern w:val="0"/>
                <w:lang w:bidi="ar"/>
              </w:rPr>
              <w:t>D.应急响应措施：包括一旦发现地下水污染事故，立即启动应急预案、采取应急措施控制地下水污染，并使污染得到治理。</w:t>
            </w:r>
          </w:p>
          <w:p>
            <w:pPr>
              <w:widowControl/>
              <w:adjustRightInd w:val="0"/>
              <w:snapToGrid w:val="0"/>
              <w:spacing w:line="360" w:lineRule="auto"/>
              <w:ind w:firstLine="480" w:firstLineChars="200"/>
              <w:jc w:val="left"/>
              <w:rPr>
                <w:color w:val="auto"/>
                <w:kern w:val="0"/>
                <w:lang w:bidi="ar"/>
              </w:rPr>
            </w:pPr>
            <w:r>
              <w:rPr>
                <w:color w:val="auto"/>
                <w:kern w:val="0"/>
                <w:lang w:bidi="ar"/>
              </w:rPr>
              <w:t>②防治措施</w:t>
            </w:r>
          </w:p>
          <w:p>
            <w:pPr>
              <w:widowControl/>
              <w:adjustRightInd w:val="0"/>
              <w:snapToGrid w:val="0"/>
              <w:spacing w:line="360" w:lineRule="auto"/>
              <w:ind w:firstLine="480" w:firstLineChars="200"/>
              <w:jc w:val="left"/>
              <w:rPr>
                <w:color w:val="auto"/>
              </w:rPr>
            </w:pPr>
            <w:r>
              <w:rPr>
                <w:color w:val="auto"/>
                <w:kern w:val="0"/>
                <w:lang w:bidi="ar"/>
              </w:rPr>
              <w:t>A.污水处理站防渗措施</w:t>
            </w:r>
          </w:p>
          <w:p>
            <w:pPr>
              <w:widowControl/>
              <w:adjustRightInd w:val="0"/>
              <w:snapToGrid w:val="0"/>
              <w:spacing w:line="360" w:lineRule="auto"/>
              <w:ind w:firstLine="480" w:firstLineChars="200"/>
              <w:jc w:val="left"/>
              <w:rPr>
                <w:color w:val="auto"/>
              </w:rPr>
            </w:pPr>
            <w:r>
              <w:rPr>
                <w:color w:val="auto"/>
                <w:kern w:val="0"/>
                <w:lang w:bidi="ar"/>
              </w:rPr>
              <w:t>结构措施：水池均采用现浇防渗砼。砼中掺加抗裂防渗外加剂，用以补偿砼的收缩，避免砼温度、干缩引起的开裂，同时提高砼的密实度和抗渗性能，以防水为主。对于大型水池，由于砼量较大，要求连续浇注，尽量少设或不设施工缝。</w:t>
            </w:r>
          </w:p>
          <w:p>
            <w:pPr>
              <w:widowControl/>
              <w:adjustRightInd w:val="0"/>
              <w:snapToGrid w:val="0"/>
              <w:spacing w:line="360" w:lineRule="auto"/>
              <w:ind w:firstLine="480" w:firstLineChars="200"/>
              <w:jc w:val="left"/>
              <w:rPr>
                <w:color w:val="auto"/>
              </w:rPr>
            </w:pPr>
            <w:r>
              <w:rPr>
                <w:color w:val="auto"/>
                <w:kern w:val="0"/>
                <w:lang w:bidi="ar"/>
              </w:rPr>
              <w:t>混凝土的选择：混凝土包括普通砼和防水砼。普通砼指建筑物及构筑物的上部结构使用的砼，其强度等级为C30；防水砼指与水接触的贮水构筑物以及建(构)筑物地面以下的现浇钢筋混凝土，其强度等级为C30，抗渗等级为P8。管道支墩、设备基础以及构筑物内的二次浇筑的素混凝土均采用C20普通混凝土。基础及底板垫层采用C15普通混凝土。</w:t>
            </w:r>
          </w:p>
          <w:p>
            <w:pPr>
              <w:widowControl/>
              <w:adjustRightInd w:val="0"/>
              <w:snapToGrid w:val="0"/>
              <w:spacing w:line="360" w:lineRule="auto"/>
              <w:ind w:firstLine="480" w:firstLineChars="200"/>
              <w:jc w:val="left"/>
              <w:rPr>
                <w:color w:val="auto"/>
                <w:kern w:val="0"/>
                <w:lang w:bidi="ar"/>
              </w:rPr>
            </w:pPr>
            <w:r>
              <w:rPr>
                <w:color w:val="auto"/>
                <w:kern w:val="0"/>
                <w:lang w:bidi="ar"/>
              </w:rPr>
              <w:t>分区防渗措施：根据各厂区可能泄漏至地面区域污染物的性质和生产单元的构筑方式，结合本项目总平面布置情况，将本厂区分为重点防治区、一般防治区。</w:t>
            </w:r>
          </w:p>
          <w:p>
            <w:pPr>
              <w:widowControl/>
              <w:adjustRightInd w:val="0"/>
              <w:snapToGrid w:val="0"/>
              <w:spacing w:line="360" w:lineRule="auto"/>
              <w:ind w:firstLine="480" w:firstLineChars="200"/>
              <w:jc w:val="left"/>
              <w:rPr>
                <w:color w:val="auto"/>
                <w:kern w:val="0"/>
                <w:lang w:bidi="ar"/>
              </w:rPr>
            </w:pPr>
            <w:r>
              <w:rPr>
                <w:color w:val="auto"/>
                <w:kern w:val="0"/>
                <w:lang w:bidi="ar"/>
              </w:rPr>
              <w:t>重点防渗区：面积及长度较大池体，应根据需要设置变形缝或后浇加强带，采用后浇加强带处理时，应采用高标号混凝土并适当掺加外加剂；污水处理构筑物（池）做防腐处理；主要建构筑物混凝土强度等级C30，采用防水混凝土，其抗渗标号不小于P8；各种水池均为现浇钢筋混凝土结构；地下沟道外侧壁及底板采用钢筋混凝土防水地沟做法，P8抗渗混凝土并涂刷防渗涂料，减轻污水管线发生“跑、冒、滴、漏”事故时对地下水的影响。等效粘土防渗层Mb≥6.0m，K≤1×10</w:t>
            </w:r>
            <w:r>
              <w:rPr>
                <w:color w:val="auto"/>
                <w:kern w:val="0"/>
                <w:vertAlign w:val="superscript"/>
                <w:lang w:bidi="ar"/>
              </w:rPr>
              <w:t>-7</w:t>
            </w:r>
            <w:r>
              <w:rPr>
                <w:color w:val="auto"/>
                <w:kern w:val="0"/>
                <w:lang w:bidi="ar"/>
              </w:rPr>
              <w:t>cm/s。</w:t>
            </w:r>
          </w:p>
          <w:p>
            <w:pPr>
              <w:widowControl/>
              <w:adjustRightInd w:val="0"/>
              <w:snapToGrid w:val="0"/>
              <w:spacing w:line="360" w:lineRule="auto"/>
              <w:ind w:firstLine="480" w:firstLineChars="200"/>
              <w:jc w:val="left"/>
              <w:rPr>
                <w:color w:val="auto"/>
              </w:rPr>
            </w:pPr>
            <w:r>
              <w:rPr>
                <w:color w:val="auto"/>
                <w:kern w:val="0"/>
                <w:lang w:bidi="ar"/>
              </w:rPr>
              <w:t>一般防渗区：包括厂前区，仅产生部分生活污水，经管网进入污水处理区，该区主要采用P6抗渗混凝土进行防渗处理。等效粘土防渗层Mb≥1.5m，K≤1×10</w:t>
            </w:r>
            <w:r>
              <w:rPr>
                <w:color w:val="auto"/>
                <w:kern w:val="0"/>
                <w:vertAlign w:val="superscript"/>
                <w:lang w:bidi="ar"/>
              </w:rPr>
              <w:t>-7</w:t>
            </w:r>
            <w:r>
              <w:rPr>
                <w:color w:val="auto"/>
                <w:kern w:val="0"/>
                <w:lang w:bidi="ar"/>
              </w:rPr>
              <w:t>cm/s。</w:t>
            </w:r>
          </w:p>
          <w:p>
            <w:pPr>
              <w:widowControl/>
              <w:adjustRightInd w:val="0"/>
              <w:snapToGrid w:val="0"/>
              <w:spacing w:line="360" w:lineRule="auto"/>
              <w:ind w:firstLine="480" w:firstLineChars="200"/>
              <w:jc w:val="left"/>
              <w:rPr>
                <w:color w:val="auto"/>
              </w:rPr>
            </w:pPr>
            <w:r>
              <w:rPr>
                <w:color w:val="auto"/>
                <w:kern w:val="0"/>
                <w:lang w:bidi="ar"/>
              </w:rPr>
              <w:t>B.厂外污水管网防渗</w:t>
            </w:r>
          </w:p>
          <w:p>
            <w:pPr>
              <w:widowControl/>
              <w:adjustRightInd w:val="0"/>
              <w:snapToGrid w:val="0"/>
              <w:spacing w:line="360" w:lineRule="auto"/>
              <w:ind w:firstLine="480" w:firstLineChars="200"/>
              <w:jc w:val="left"/>
              <w:rPr>
                <w:color w:val="auto"/>
              </w:rPr>
            </w:pPr>
            <w:r>
              <w:rPr>
                <w:color w:val="auto"/>
                <w:kern w:val="0"/>
                <w:lang w:bidi="ar"/>
              </w:rPr>
              <w:t>配套污水管网以检查井作为防渗重点，按照重点防治区进行防渗处理，可采取P8抗渗混凝土并涂刷防渗涂料。</w:t>
            </w:r>
          </w:p>
          <w:p>
            <w:pPr>
              <w:spacing w:line="360" w:lineRule="auto"/>
              <w:jc w:val="center"/>
              <w:rPr>
                <w:rStyle w:val="106"/>
                <w:rFonts w:eastAsia="黑体"/>
                <w:color w:val="auto"/>
              </w:rPr>
            </w:pPr>
            <w:r>
              <w:rPr>
                <w:rStyle w:val="106"/>
                <w:rFonts w:eastAsia="黑体"/>
                <w:color w:val="auto"/>
              </w:rPr>
              <w:t>表5-</w:t>
            </w:r>
            <w:r>
              <w:rPr>
                <w:rStyle w:val="106"/>
                <w:rFonts w:hint="eastAsia" w:eastAsia="黑体"/>
                <w:color w:val="auto"/>
                <w:lang w:val="en-US"/>
              </w:rPr>
              <w:t>9</w:t>
            </w:r>
            <w:r>
              <w:rPr>
                <w:rStyle w:val="106"/>
                <w:rFonts w:eastAsia="黑体"/>
                <w:color w:val="auto"/>
              </w:rPr>
              <w:t xml:space="preserve">  污水处理站分区防渗区域</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36"/>
              <w:gridCol w:w="5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3236" w:type="dxa"/>
                  <w:noWrap w:val="0"/>
                  <w:vAlign w:val="center"/>
                </w:tcPr>
                <w:p>
                  <w:pPr>
                    <w:jc w:val="center"/>
                    <w:rPr>
                      <w:b/>
                      <w:color w:val="auto"/>
                      <w:sz w:val="21"/>
                      <w:szCs w:val="21"/>
                    </w:rPr>
                  </w:pPr>
                  <w:r>
                    <w:rPr>
                      <w:b/>
                      <w:color w:val="auto"/>
                      <w:sz w:val="21"/>
                      <w:szCs w:val="21"/>
                    </w:rPr>
                    <w:t>防渗等级</w:t>
                  </w:r>
                </w:p>
              </w:tc>
              <w:tc>
                <w:tcPr>
                  <w:tcW w:w="5819" w:type="dxa"/>
                  <w:noWrap w:val="0"/>
                  <w:vAlign w:val="center"/>
                </w:tcPr>
                <w:p>
                  <w:pPr>
                    <w:jc w:val="center"/>
                    <w:rPr>
                      <w:b/>
                      <w:color w:val="auto"/>
                      <w:sz w:val="21"/>
                      <w:szCs w:val="21"/>
                    </w:rPr>
                  </w:pPr>
                  <w:r>
                    <w:rPr>
                      <w:b/>
                      <w:color w:val="auto"/>
                      <w:sz w:val="21"/>
                      <w:szCs w:val="21"/>
                    </w:rPr>
                    <w:t>防渗区域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3236" w:type="dxa"/>
                  <w:noWrap w:val="0"/>
                  <w:vAlign w:val="center"/>
                </w:tcPr>
                <w:p>
                  <w:pPr>
                    <w:jc w:val="center"/>
                    <w:rPr>
                      <w:bCs/>
                      <w:color w:val="auto"/>
                      <w:sz w:val="21"/>
                      <w:szCs w:val="21"/>
                    </w:rPr>
                  </w:pPr>
                  <w:r>
                    <w:rPr>
                      <w:bCs/>
                      <w:color w:val="auto"/>
                      <w:sz w:val="21"/>
                      <w:szCs w:val="21"/>
                    </w:rPr>
                    <w:t>重点防渗区</w:t>
                  </w:r>
                </w:p>
              </w:tc>
              <w:tc>
                <w:tcPr>
                  <w:tcW w:w="5819" w:type="dxa"/>
                  <w:noWrap w:val="0"/>
                  <w:vAlign w:val="center"/>
                </w:tcPr>
                <w:p>
                  <w:pPr>
                    <w:jc w:val="center"/>
                    <w:rPr>
                      <w:bCs/>
                      <w:color w:val="auto"/>
                      <w:sz w:val="21"/>
                      <w:szCs w:val="21"/>
                    </w:rPr>
                  </w:pPr>
                  <w:r>
                    <w:rPr>
                      <w:bCs/>
                      <w:color w:val="auto"/>
                      <w:sz w:val="21"/>
                      <w:szCs w:val="21"/>
                    </w:rPr>
                    <w:t>格栅井、化粪池、MBR一体化设备</w:t>
                  </w:r>
                  <w:r>
                    <w:rPr>
                      <w:rFonts w:hint="eastAsia"/>
                      <w:bCs/>
                      <w:color w:val="auto"/>
                      <w:sz w:val="21"/>
                      <w:szCs w:val="21"/>
                    </w:rPr>
                    <w:t>、人工湿地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3236" w:type="dxa"/>
                  <w:noWrap w:val="0"/>
                  <w:vAlign w:val="center"/>
                </w:tcPr>
                <w:p>
                  <w:pPr>
                    <w:jc w:val="center"/>
                    <w:rPr>
                      <w:bCs/>
                      <w:color w:val="auto"/>
                      <w:sz w:val="21"/>
                      <w:szCs w:val="21"/>
                    </w:rPr>
                  </w:pPr>
                  <w:r>
                    <w:rPr>
                      <w:bCs/>
                      <w:color w:val="auto"/>
                      <w:sz w:val="21"/>
                      <w:szCs w:val="21"/>
                    </w:rPr>
                    <w:t>一般防渗区</w:t>
                  </w:r>
                </w:p>
              </w:tc>
              <w:tc>
                <w:tcPr>
                  <w:tcW w:w="5819" w:type="dxa"/>
                  <w:noWrap w:val="0"/>
                  <w:vAlign w:val="center"/>
                </w:tcPr>
                <w:p>
                  <w:pPr>
                    <w:jc w:val="center"/>
                    <w:rPr>
                      <w:bCs/>
                      <w:color w:val="auto"/>
                      <w:sz w:val="21"/>
                      <w:szCs w:val="21"/>
                    </w:rPr>
                  </w:pPr>
                  <w:r>
                    <w:rPr>
                      <w:bCs/>
                      <w:color w:val="auto"/>
                      <w:sz w:val="21"/>
                      <w:szCs w:val="21"/>
                    </w:rPr>
                    <w:t>厂区道路</w:t>
                  </w:r>
                </w:p>
              </w:tc>
            </w:tr>
          </w:tbl>
          <w:p>
            <w:pPr>
              <w:pStyle w:val="2"/>
              <w:ind w:left="480"/>
              <w:rPr>
                <w:rFonts w:hint="default" w:ascii="Times New Roman" w:hAnsi="Times New Roman"/>
                <w:color w:val="auto"/>
              </w:rPr>
            </w:pPr>
          </w:p>
          <w:p>
            <w:pPr>
              <w:pStyle w:val="2"/>
              <w:ind w:left="480"/>
              <w:rPr>
                <w:rFonts w:hint="default" w:ascii="Times New Roman" w:hAnsi="Times New Roman"/>
                <w:color w:val="auto"/>
              </w:rPr>
            </w:pPr>
          </w:p>
        </w:tc>
      </w:tr>
    </w:tbl>
    <w:p>
      <w:pPr>
        <w:outlineLvl w:val="0"/>
        <w:rPr>
          <w:rFonts w:eastAsia="黑体"/>
          <w:color w:val="auto"/>
          <w:sz w:val="32"/>
          <w:szCs w:val="32"/>
        </w:rPr>
      </w:pPr>
      <w:r>
        <w:rPr>
          <w:color w:val="auto"/>
          <w:sz w:val="30"/>
          <w:szCs w:val="30"/>
        </w:rPr>
        <w:br w:type="page"/>
      </w:r>
      <w:r>
        <w:rPr>
          <w:rFonts w:eastAsia="黑体"/>
          <w:color w:val="auto"/>
          <w:sz w:val="32"/>
          <w:szCs w:val="32"/>
        </w:rPr>
        <w:t>建设项目主要污染物产生及预计排放情况             （表六）</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63"/>
        <w:gridCol w:w="900"/>
        <w:gridCol w:w="1232"/>
        <w:gridCol w:w="2503"/>
        <w:gridCol w:w="3106"/>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6" w:hRule="atLeast"/>
          <w:jc w:val="center"/>
        </w:trPr>
        <w:tc>
          <w:tcPr>
            <w:tcW w:w="963" w:type="dxa"/>
            <w:tcBorders>
              <w:tl2br w:val="single" w:color="auto" w:sz="4" w:space="0"/>
            </w:tcBorders>
            <w:noWrap w:val="0"/>
            <w:vAlign w:val="center"/>
          </w:tcPr>
          <w:p>
            <w:pPr>
              <w:jc w:val="right"/>
              <w:rPr>
                <w:b/>
                <w:bCs/>
                <w:color w:val="auto"/>
              </w:rPr>
            </w:pPr>
            <w:r>
              <w:rPr>
                <w:b/>
                <w:bCs/>
                <w:color w:val="auto"/>
              </w:rPr>
              <w:t>内容</w:t>
            </w:r>
          </w:p>
          <w:p>
            <w:pPr>
              <w:jc w:val="left"/>
              <w:rPr>
                <w:b/>
                <w:bCs/>
                <w:color w:val="auto"/>
              </w:rPr>
            </w:pPr>
            <w:r>
              <w:rPr>
                <w:b/>
                <w:bCs/>
                <w:color w:val="auto"/>
              </w:rPr>
              <w:t>类型</w:t>
            </w:r>
          </w:p>
        </w:tc>
        <w:tc>
          <w:tcPr>
            <w:tcW w:w="900" w:type="dxa"/>
            <w:noWrap w:val="0"/>
            <w:vAlign w:val="center"/>
          </w:tcPr>
          <w:p>
            <w:pPr>
              <w:jc w:val="center"/>
              <w:rPr>
                <w:b/>
                <w:bCs/>
                <w:color w:val="auto"/>
              </w:rPr>
            </w:pPr>
            <w:r>
              <w:rPr>
                <w:b/>
                <w:bCs/>
                <w:color w:val="auto"/>
              </w:rPr>
              <w:t>排放源(编号)</w:t>
            </w:r>
          </w:p>
        </w:tc>
        <w:tc>
          <w:tcPr>
            <w:tcW w:w="1232" w:type="dxa"/>
            <w:noWrap w:val="0"/>
            <w:vAlign w:val="center"/>
          </w:tcPr>
          <w:p>
            <w:pPr>
              <w:jc w:val="center"/>
              <w:rPr>
                <w:b/>
                <w:bCs/>
                <w:color w:val="auto"/>
              </w:rPr>
            </w:pPr>
            <w:r>
              <w:rPr>
                <w:b/>
                <w:bCs/>
                <w:color w:val="auto"/>
              </w:rPr>
              <w:t>污染物名称</w:t>
            </w:r>
          </w:p>
        </w:tc>
        <w:tc>
          <w:tcPr>
            <w:tcW w:w="2503" w:type="dxa"/>
            <w:noWrap w:val="0"/>
            <w:vAlign w:val="center"/>
          </w:tcPr>
          <w:p>
            <w:pPr>
              <w:jc w:val="center"/>
              <w:rPr>
                <w:b/>
                <w:bCs/>
                <w:color w:val="auto"/>
              </w:rPr>
            </w:pPr>
            <w:r>
              <w:rPr>
                <w:b/>
                <w:bCs/>
                <w:color w:val="auto"/>
              </w:rPr>
              <w:t>处理前浓度</w:t>
            </w:r>
          </w:p>
          <w:p>
            <w:pPr>
              <w:jc w:val="center"/>
              <w:rPr>
                <w:b/>
                <w:bCs/>
                <w:color w:val="auto"/>
              </w:rPr>
            </w:pPr>
            <w:r>
              <w:rPr>
                <w:b/>
                <w:bCs/>
                <w:color w:val="auto"/>
              </w:rPr>
              <w:t>及产生量</w:t>
            </w:r>
          </w:p>
        </w:tc>
        <w:tc>
          <w:tcPr>
            <w:tcW w:w="3119" w:type="dxa"/>
            <w:gridSpan w:val="2"/>
            <w:noWrap w:val="0"/>
            <w:vAlign w:val="center"/>
          </w:tcPr>
          <w:p>
            <w:pPr>
              <w:jc w:val="center"/>
              <w:rPr>
                <w:b/>
                <w:bCs/>
                <w:color w:val="auto"/>
              </w:rPr>
            </w:pPr>
            <w:r>
              <w:rPr>
                <w:b/>
                <w:bCs/>
                <w:color w:val="auto"/>
              </w:rPr>
              <w:t>预计排放浓度</w:t>
            </w:r>
          </w:p>
          <w:p>
            <w:pPr>
              <w:jc w:val="center"/>
              <w:rPr>
                <w:b/>
                <w:bCs/>
                <w:color w:val="auto"/>
              </w:rPr>
            </w:pPr>
            <w:r>
              <w:rPr>
                <w:b/>
                <w:bCs/>
                <w:color w:val="auto"/>
              </w:rPr>
              <w:t>和排放量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963" w:type="dxa"/>
            <w:vMerge w:val="restart"/>
            <w:noWrap w:val="0"/>
            <w:vAlign w:val="center"/>
          </w:tcPr>
          <w:p>
            <w:pPr>
              <w:jc w:val="center"/>
              <w:rPr>
                <w:color w:val="auto"/>
              </w:rPr>
            </w:pPr>
            <w:r>
              <w:rPr>
                <w:b/>
                <w:bCs/>
                <w:color w:val="auto"/>
              </w:rPr>
              <w:t>大气污染物</w:t>
            </w:r>
          </w:p>
        </w:tc>
        <w:tc>
          <w:tcPr>
            <w:tcW w:w="900" w:type="dxa"/>
            <w:vMerge w:val="restart"/>
            <w:noWrap w:val="0"/>
            <w:vAlign w:val="center"/>
          </w:tcPr>
          <w:p>
            <w:pPr>
              <w:jc w:val="center"/>
              <w:rPr>
                <w:color w:val="auto"/>
              </w:rPr>
            </w:pPr>
            <w:r>
              <w:rPr>
                <w:color w:val="auto"/>
              </w:rPr>
              <w:t>运营期</w:t>
            </w:r>
          </w:p>
        </w:tc>
        <w:tc>
          <w:tcPr>
            <w:tcW w:w="1232" w:type="dxa"/>
            <w:noWrap w:val="0"/>
            <w:vAlign w:val="center"/>
          </w:tcPr>
          <w:p>
            <w:pPr>
              <w:jc w:val="center"/>
              <w:rPr>
                <w:color w:val="auto"/>
              </w:rPr>
            </w:pPr>
            <w:r>
              <w:rPr>
                <w:color w:val="auto"/>
              </w:rPr>
              <w:t>NH</w:t>
            </w:r>
            <w:r>
              <w:rPr>
                <w:color w:val="auto"/>
                <w:vertAlign w:val="subscript"/>
              </w:rPr>
              <w:t>3</w:t>
            </w:r>
          </w:p>
        </w:tc>
        <w:tc>
          <w:tcPr>
            <w:tcW w:w="2503" w:type="dxa"/>
            <w:noWrap w:val="0"/>
            <w:tcMar>
              <w:left w:w="28" w:type="dxa"/>
              <w:right w:w="28" w:type="dxa"/>
            </w:tcMar>
            <w:vAlign w:val="center"/>
          </w:tcPr>
          <w:p>
            <w:pPr>
              <w:jc w:val="center"/>
              <w:rPr>
                <w:color w:val="auto"/>
              </w:rPr>
            </w:pPr>
            <w:r>
              <w:rPr>
                <w:rFonts w:hint="eastAsia"/>
                <w:color w:val="auto"/>
              </w:rPr>
              <w:t>3.3</w:t>
            </w:r>
            <w:r>
              <w:rPr>
                <w:color w:val="auto"/>
              </w:rPr>
              <w:t>mg/m</w:t>
            </w:r>
            <w:r>
              <w:rPr>
                <w:color w:val="auto"/>
                <w:vertAlign w:val="superscript"/>
              </w:rPr>
              <w:t>3</w:t>
            </w:r>
            <w:r>
              <w:rPr>
                <w:color w:val="auto"/>
              </w:rPr>
              <w:t>，0.00438t/a</w:t>
            </w:r>
          </w:p>
        </w:tc>
        <w:tc>
          <w:tcPr>
            <w:tcW w:w="3119" w:type="dxa"/>
            <w:gridSpan w:val="2"/>
            <w:noWrap w:val="0"/>
            <w:vAlign w:val="center"/>
          </w:tcPr>
          <w:p>
            <w:pPr>
              <w:jc w:val="center"/>
              <w:rPr>
                <w:color w:val="auto"/>
              </w:rPr>
            </w:pPr>
            <w:r>
              <w:rPr>
                <w:color w:val="auto"/>
              </w:rPr>
              <w:t>0.33mg/m</w:t>
            </w:r>
            <w:r>
              <w:rPr>
                <w:color w:val="auto"/>
                <w:vertAlign w:val="superscript"/>
              </w:rPr>
              <w:t>3</w:t>
            </w:r>
            <w:r>
              <w:rPr>
                <w:color w:val="auto"/>
              </w:rPr>
              <w:t>，0.000438t/a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6"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color w:val="auto"/>
              </w:rPr>
            </w:pPr>
            <w:r>
              <w:rPr>
                <w:color w:val="auto"/>
              </w:rPr>
              <w:t>H</w:t>
            </w:r>
            <w:r>
              <w:rPr>
                <w:color w:val="auto"/>
                <w:vertAlign w:val="subscript"/>
              </w:rPr>
              <w:t>2</w:t>
            </w:r>
            <w:r>
              <w:rPr>
                <w:color w:val="auto"/>
              </w:rPr>
              <w:t>S</w:t>
            </w:r>
          </w:p>
        </w:tc>
        <w:tc>
          <w:tcPr>
            <w:tcW w:w="2503" w:type="dxa"/>
            <w:noWrap w:val="0"/>
            <w:tcMar>
              <w:left w:w="28" w:type="dxa"/>
              <w:right w:w="28" w:type="dxa"/>
            </w:tcMar>
            <w:vAlign w:val="center"/>
          </w:tcPr>
          <w:p>
            <w:pPr>
              <w:jc w:val="center"/>
              <w:rPr>
                <w:color w:val="auto"/>
              </w:rPr>
            </w:pPr>
            <w:r>
              <w:rPr>
                <w:color w:val="auto"/>
              </w:rPr>
              <w:t>0.036mg/m</w:t>
            </w:r>
            <w:r>
              <w:rPr>
                <w:color w:val="auto"/>
                <w:vertAlign w:val="superscript"/>
              </w:rPr>
              <w:t>3</w:t>
            </w:r>
            <w:r>
              <w:rPr>
                <w:color w:val="auto"/>
              </w:rPr>
              <w:t>，0.00096t/a</w:t>
            </w:r>
          </w:p>
        </w:tc>
        <w:tc>
          <w:tcPr>
            <w:tcW w:w="3119" w:type="dxa"/>
            <w:gridSpan w:val="2"/>
            <w:noWrap w:val="0"/>
            <w:vAlign w:val="center"/>
          </w:tcPr>
          <w:p>
            <w:pPr>
              <w:jc w:val="center"/>
              <w:rPr>
                <w:color w:val="auto"/>
              </w:rPr>
            </w:pPr>
            <w:r>
              <w:rPr>
                <w:color w:val="auto"/>
              </w:rPr>
              <w:t>0.0036mg/m</w:t>
            </w:r>
            <w:r>
              <w:rPr>
                <w:color w:val="auto"/>
                <w:vertAlign w:val="superscript"/>
              </w:rPr>
              <w:t>3</w:t>
            </w:r>
            <w:r>
              <w:rPr>
                <w:color w:val="auto"/>
              </w:rPr>
              <w:t>，0.000096t/a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963" w:type="dxa"/>
            <w:vMerge w:val="restart"/>
            <w:noWrap w:val="0"/>
            <w:vAlign w:val="center"/>
          </w:tcPr>
          <w:p>
            <w:pPr>
              <w:jc w:val="center"/>
              <w:rPr>
                <w:color w:val="auto"/>
              </w:rPr>
            </w:pPr>
            <w:r>
              <w:rPr>
                <w:b/>
                <w:bCs/>
                <w:color w:val="auto"/>
              </w:rPr>
              <w:t>水污染物</w:t>
            </w:r>
          </w:p>
        </w:tc>
        <w:tc>
          <w:tcPr>
            <w:tcW w:w="900" w:type="dxa"/>
            <w:vMerge w:val="restart"/>
            <w:noWrap w:val="0"/>
            <w:vAlign w:val="center"/>
          </w:tcPr>
          <w:p>
            <w:pPr>
              <w:jc w:val="center"/>
              <w:rPr>
                <w:color w:val="auto"/>
              </w:rPr>
            </w:pPr>
            <w:r>
              <w:rPr>
                <w:color w:val="auto"/>
              </w:rPr>
              <w:t>运营期</w:t>
            </w:r>
          </w:p>
        </w:tc>
        <w:tc>
          <w:tcPr>
            <w:tcW w:w="1232" w:type="dxa"/>
            <w:noWrap w:val="0"/>
            <w:vAlign w:val="center"/>
          </w:tcPr>
          <w:p>
            <w:pPr>
              <w:jc w:val="center"/>
              <w:rPr>
                <w:bCs/>
                <w:color w:val="auto"/>
              </w:rPr>
            </w:pPr>
            <w:r>
              <w:rPr>
                <w:bCs/>
                <w:color w:val="auto"/>
              </w:rPr>
              <w:t>COD</w:t>
            </w:r>
          </w:p>
        </w:tc>
        <w:tc>
          <w:tcPr>
            <w:tcW w:w="2503" w:type="dxa"/>
            <w:noWrap w:val="0"/>
            <w:vAlign w:val="center"/>
          </w:tcPr>
          <w:p>
            <w:pPr>
              <w:jc w:val="center"/>
              <w:rPr>
                <w:color w:val="auto"/>
              </w:rPr>
            </w:pPr>
            <w:r>
              <w:rPr>
                <w:bCs/>
                <w:color w:val="auto"/>
              </w:rPr>
              <w:t>300mg/L；6.57t/a</w:t>
            </w:r>
          </w:p>
        </w:tc>
        <w:tc>
          <w:tcPr>
            <w:tcW w:w="3119" w:type="dxa"/>
            <w:gridSpan w:val="2"/>
            <w:noWrap w:val="0"/>
            <w:vAlign w:val="center"/>
          </w:tcPr>
          <w:p>
            <w:pPr>
              <w:jc w:val="center"/>
              <w:rPr>
                <w:color w:val="auto"/>
              </w:rPr>
            </w:pPr>
            <w:r>
              <w:rPr>
                <w:color w:val="auto"/>
              </w:rPr>
              <w:t>60mg/L；1.314t/a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6"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color w:val="auto"/>
              </w:rPr>
              <w:t>BOD</w:t>
            </w:r>
            <w:r>
              <w:rPr>
                <w:color w:val="auto"/>
                <w:vertAlign w:val="subscript"/>
              </w:rPr>
              <w:t>5</w:t>
            </w:r>
          </w:p>
        </w:tc>
        <w:tc>
          <w:tcPr>
            <w:tcW w:w="2503" w:type="dxa"/>
            <w:noWrap w:val="0"/>
            <w:vAlign w:val="center"/>
          </w:tcPr>
          <w:p>
            <w:pPr>
              <w:jc w:val="center"/>
              <w:rPr>
                <w:color w:val="auto"/>
              </w:rPr>
            </w:pPr>
            <w:r>
              <w:rPr>
                <w:bCs/>
                <w:color w:val="auto"/>
              </w:rPr>
              <w:t>150mg/L；3.285t/a</w:t>
            </w:r>
          </w:p>
        </w:tc>
        <w:tc>
          <w:tcPr>
            <w:tcW w:w="3119" w:type="dxa"/>
            <w:gridSpan w:val="2"/>
            <w:noWrap w:val="0"/>
            <w:vAlign w:val="center"/>
          </w:tcPr>
          <w:p>
            <w:pPr>
              <w:jc w:val="center"/>
              <w:rPr>
                <w:color w:val="auto"/>
              </w:rPr>
            </w:pPr>
            <w:r>
              <w:rPr>
                <w:color w:val="auto"/>
              </w:rPr>
              <w:t>10mg/L；0.219t/a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color w:val="auto"/>
              </w:rPr>
              <w:t>SS</w:t>
            </w:r>
          </w:p>
        </w:tc>
        <w:tc>
          <w:tcPr>
            <w:tcW w:w="2503" w:type="dxa"/>
            <w:noWrap w:val="0"/>
            <w:vAlign w:val="center"/>
          </w:tcPr>
          <w:p>
            <w:pPr>
              <w:jc w:val="center"/>
              <w:rPr>
                <w:color w:val="auto"/>
              </w:rPr>
            </w:pPr>
            <w:r>
              <w:rPr>
                <w:bCs/>
                <w:color w:val="auto"/>
              </w:rPr>
              <w:t>150mg/L；3.285t/a</w:t>
            </w:r>
          </w:p>
        </w:tc>
        <w:tc>
          <w:tcPr>
            <w:tcW w:w="3119" w:type="dxa"/>
            <w:gridSpan w:val="2"/>
            <w:noWrap w:val="0"/>
            <w:vAlign w:val="center"/>
          </w:tcPr>
          <w:p>
            <w:pPr>
              <w:jc w:val="center"/>
              <w:rPr>
                <w:color w:val="auto"/>
              </w:rPr>
            </w:pPr>
            <w:r>
              <w:rPr>
                <w:color w:val="auto"/>
              </w:rPr>
              <w:t>15mg/L；0.3285t/a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color w:val="auto"/>
              </w:rPr>
              <w:t>NH</w:t>
            </w:r>
            <w:r>
              <w:rPr>
                <w:color w:val="auto"/>
                <w:vertAlign w:val="subscript"/>
              </w:rPr>
              <w:t>3</w:t>
            </w:r>
            <w:r>
              <w:rPr>
                <w:color w:val="auto"/>
              </w:rPr>
              <w:t>-N</w:t>
            </w:r>
          </w:p>
        </w:tc>
        <w:tc>
          <w:tcPr>
            <w:tcW w:w="2503" w:type="dxa"/>
            <w:noWrap w:val="0"/>
            <w:vAlign w:val="center"/>
          </w:tcPr>
          <w:p>
            <w:pPr>
              <w:jc w:val="center"/>
              <w:rPr>
                <w:color w:val="auto"/>
              </w:rPr>
            </w:pPr>
            <w:r>
              <w:rPr>
                <w:bCs/>
                <w:color w:val="auto"/>
              </w:rPr>
              <w:t>20mg/L；0.483t/a</w:t>
            </w:r>
          </w:p>
        </w:tc>
        <w:tc>
          <w:tcPr>
            <w:tcW w:w="3119" w:type="dxa"/>
            <w:gridSpan w:val="2"/>
            <w:noWrap w:val="0"/>
            <w:vAlign w:val="center"/>
          </w:tcPr>
          <w:p>
            <w:pPr>
              <w:jc w:val="center"/>
              <w:rPr>
                <w:color w:val="auto"/>
              </w:rPr>
            </w:pPr>
            <w:r>
              <w:rPr>
                <w:color w:val="auto"/>
              </w:rPr>
              <w:t>8（15）mg/L；0.1752（0.3285）t/a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color w:val="auto"/>
              </w:rPr>
              <w:t>TN</w:t>
            </w:r>
          </w:p>
        </w:tc>
        <w:tc>
          <w:tcPr>
            <w:tcW w:w="2503" w:type="dxa"/>
            <w:noWrap w:val="0"/>
            <w:vAlign w:val="center"/>
          </w:tcPr>
          <w:p>
            <w:pPr>
              <w:jc w:val="center"/>
              <w:rPr>
                <w:color w:val="auto"/>
              </w:rPr>
            </w:pPr>
            <w:r>
              <w:rPr>
                <w:bCs/>
                <w:color w:val="auto"/>
              </w:rPr>
              <w:t>30mg/L；0.657t/a</w:t>
            </w:r>
          </w:p>
        </w:tc>
        <w:tc>
          <w:tcPr>
            <w:tcW w:w="3119" w:type="dxa"/>
            <w:gridSpan w:val="2"/>
            <w:noWrap w:val="0"/>
            <w:vAlign w:val="center"/>
          </w:tcPr>
          <w:p>
            <w:pPr>
              <w:jc w:val="center"/>
              <w:rPr>
                <w:color w:val="auto"/>
              </w:rPr>
            </w:pPr>
            <w:r>
              <w:rPr>
                <w:color w:val="auto"/>
              </w:rPr>
              <w:t>20mg/L；0.438t/a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bCs/>
                <w:color w:val="auto"/>
              </w:rPr>
              <w:t>TP</w:t>
            </w:r>
          </w:p>
        </w:tc>
        <w:tc>
          <w:tcPr>
            <w:tcW w:w="2503" w:type="dxa"/>
            <w:noWrap w:val="0"/>
            <w:vAlign w:val="center"/>
          </w:tcPr>
          <w:p>
            <w:pPr>
              <w:jc w:val="center"/>
              <w:rPr>
                <w:color w:val="auto"/>
              </w:rPr>
            </w:pPr>
            <w:r>
              <w:rPr>
                <w:bCs/>
                <w:color w:val="auto"/>
              </w:rPr>
              <w:t>4mg/L；0.0876t/a</w:t>
            </w:r>
          </w:p>
        </w:tc>
        <w:tc>
          <w:tcPr>
            <w:tcW w:w="3119" w:type="dxa"/>
            <w:gridSpan w:val="2"/>
            <w:noWrap w:val="0"/>
            <w:vAlign w:val="center"/>
          </w:tcPr>
          <w:p>
            <w:pPr>
              <w:jc w:val="center"/>
              <w:rPr>
                <w:color w:val="auto"/>
              </w:rPr>
            </w:pPr>
            <w:r>
              <w:rPr>
                <w:color w:val="auto"/>
              </w:rPr>
              <w:t>1.5mg/L；0.03285t/a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963" w:type="dxa"/>
            <w:vMerge w:val="restart"/>
            <w:noWrap w:val="0"/>
            <w:vAlign w:val="center"/>
          </w:tcPr>
          <w:p>
            <w:pPr>
              <w:jc w:val="center"/>
              <w:rPr>
                <w:b/>
                <w:bCs/>
                <w:color w:val="auto"/>
              </w:rPr>
            </w:pPr>
            <w:r>
              <w:rPr>
                <w:b/>
                <w:bCs/>
                <w:color w:val="auto"/>
              </w:rPr>
              <w:t>固</w:t>
            </w:r>
          </w:p>
          <w:p>
            <w:pPr>
              <w:jc w:val="center"/>
              <w:rPr>
                <w:color w:val="auto"/>
              </w:rPr>
            </w:pPr>
            <w:r>
              <w:rPr>
                <w:b/>
                <w:bCs/>
                <w:color w:val="auto"/>
              </w:rPr>
              <w:t>废</w:t>
            </w:r>
          </w:p>
        </w:tc>
        <w:tc>
          <w:tcPr>
            <w:tcW w:w="900" w:type="dxa"/>
            <w:vMerge w:val="restart"/>
            <w:noWrap w:val="0"/>
            <w:vAlign w:val="center"/>
          </w:tcPr>
          <w:p>
            <w:pPr>
              <w:jc w:val="center"/>
              <w:rPr>
                <w:bCs/>
                <w:color w:val="auto"/>
              </w:rPr>
            </w:pPr>
            <w:r>
              <w:rPr>
                <w:bCs/>
                <w:color w:val="auto"/>
              </w:rPr>
              <w:t>运营期</w:t>
            </w:r>
          </w:p>
        </w:tc>
        <w:tc>
          <w:tcPr>
            <w:tcW w:w="1232" w:type="dxa"/>
            <w:noWrap w:val="0"/>
            <w:vAlign w:val="center"/>
          </w:tcPr>
          <w:p>
            <w:pPr>
              <w:jc w:val="center"/>
              <w:rPr>
                <w:bCs/>
                <w:color w:val="auto"/>
              </w:rPr>
            </w:pPr>
            <w:r>
              <w:rPr>
                <w:bCs/>
                <w:color w:val="auto"/>
              </w:rPr>
              <w:t>生活垃圾</w:t>
            </w:r>
          </w:p>
        </w:tc>
        <w:tc>
          <w:tcPr>
            <w:tcW w:w="2503" w:type="dxa"/>
            <w:noWrap w:val="0"/>
            <w:vAlign w:val="center"/>
          </w:tcPr>
          <w:p>
            <w:pPr>
              <w:jc w:val="center"/>
              <w:rPr>
                <w:bCs/>
                <w:color w:val="auto"/>
              </w:rPr>
            </w:pPr>
            <w:r>
              <w:rPr>
                <w:bCs/>
                <w:color w:val="auto"/>
              </w:rPr>
              <w:t>0.18t/a</w:t>
            </w:r>
          </w:p>
        </w:tc>
        <w:tc>
          <w:tcPr>
            <w:tcW w:w="3119" w:type="dxa"/>
            <w:gridSpan w:val="2"/>
            <w:noWrap w:val="0"/>
            <w:vAlign w:val="center"/>
          </w:tcPr>
          <w:p>
            <w:pPr>
              <w:jc w:val="center"/>
              <w:rPr>
                <w:bCs/>
                <w:color w:val="auto"/>
              </w:rPr>
            </w:pPr>
            <w:r>
              <w:rPr>
                <w:bCs/>
                <w:color w:val="auto"/>
              </w:rPr>
              <w:t>由当地环卫部门统一收集处置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bCs/>
                <w:color w:val="auto"/>
              </w:rPr>
            </w:pPr>
          </w:p>
        </w:tc>
        <w:tc>
          <w:tcPr>
            <w:tcW w:w="1232" w:type="dxa"/>
            <w:noWrap w:val="0"/>
            <w:vAlign w:val="center"/>
          </w:tcPr>
          <w:p>
            <w:pPr>
              <w:jc w:val="center"/>
              <w:rPr>
                <w:bCs/>
                <w:color w:val="auto"/>
              </w:rPr>
            </w:pPr>
            <w:r>
              <w:rPr>
                <w:bCs/>
                <w:color w:val="auto"/>
              </w:rPr>
              <w:t>栅渣</w:t>
            </w:r>
          </w:p>
        </w:tc>
        <w:tc>
          <w:tcPr>
            <w:tcW w:w="2503" w:type="dxa"/>
            <w:noWrap w:val="0"/>
            <w:vAlign w:val="center"/>
          </w:tcPr>
          <w:p>
            <w:pPr>
              <w:jc w:val="center"/>
              <w:rPr>
                <w:bCs/>
                <w:color w:val="auto"/>
              </w:rPr>
            </w:pPr>
            <w:r>
              <w:rPr>
                <w:bCs/>
                <w:color w:val="auto"/>
              </w:rPr>
              <w:t>0.438t/a</w:t>
            </w:r>
          </w:p>
        </w:tc>
        <w:tc>
          <w:tcPr>
            <w:tcW w:w="3119" w:type="dxa"/>
            <w:gridSpan w:val="2"/>
            <w:noWrap w:val="0"/>
            <w:vAlign w:val="center"/>
          </w:tcPr>
          <w:p>
            <w:pPr>
              <w:jc w:val="center"/>
              <w:rPr>
                <w:bCs/>
                <w:color w:val="auto"/>
              </w:rPr>
            </w:pPr>
            <w:r>
              <w:rPr>
                <w:bCs/>
                <w:color w:val="auto"/>
              </w:rPr>
              <w:t>由当地环卫部门统一收集处置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bCs/>
                <w:color w:val="auto"/>
              </w:rPr>
            </w:pPr>
          </w:p>
        </w:tc>
        <w:tc>
          <w:tcPr>
            <w:tcW w:w="1232" w:type="dxa"/>
            <w:noWrap w:val="0"/>
            <w:vAlign w:val="center"/>
          </w:tcPr>
          <w:p>
            <w:pPr>
              <w:jc w:val="center"/>
              <w:rPr>
                <w:bCs/>
                <w:color w:val="auto"/>
              </w:rPr>
            </w:pPr>
            <w:r>
              <w:rPr>
                <w:bCs/>
                <w:color w:val="auto"/>
              </w:rPr>
              <w:t>污泥</w:t>
            </w:r>
          </w:p>
        </w:tc>
        <w:tc>
          <w:tcPr>
            <w:tcW w:w="2503" w:type="dxa"/>
            <w:noWrap w:val="0"/>
            <w:vAlign w:val="center"/>
          </w:tcPr>
          <w:p>
            <w:pPr>
              <w:jc w:val="center"/>
              <w:rPr>
                <w:rFonts w:hint="eastAsia"/>
                <w:bCs/>
                <w:color w:val="auto"/>
              </w:rPr>
            </w:pPr>
            <w:r>
              <w:rPr>
                <w:bCs/>
                <w:color w:val="auto"/>
              </w:rPr>
              <w:t>0.765t/a</w:t>
            </w:r>
            <w:r>
              <w:rPr>
                <w:rFonts w:hint="eastAsia"/>
                <w:bCs/>
                <w:color w:val="auto"/>
              </w:rPr>
              <w:t>（含水率98%）</w:t>
            </w:r>
          </w:p>
        </w:tc>
        <w:tc>
          <w:tcPr>
            <w:tcW w:w="3119" w:type="dxa"/>
            <w:gridSpan w:val="2"/>
            <w:noWrap w:val="0"/>
            <w:vAlign w:val="center"/>
          </w:tcPr>
          <w:p>
            <w:pPr>
              <w:jc w:val="center"/>
              <w:rPr>
                <w:bCs/>
                <w:color w:val="auto"/>
              </w:rPr>
            </w:pPr>
            <w:r>
              <w:rPr>
                <w:bCs/>
                <w:color w:val="auto"/>
              </w:rPr>
              <w:t>经罐车清运至峨边县城市生活污水处理厂处理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bCs/>
                <w:color w:val="auto"/>
              </w:rPr>
              <w:t>废填料</w:t>
            </w:r>
          </w:p>
        </w:tc>
        <w:tc>
          <w:tcPr>
            <w:tcW w:w="2503" w:type="dxa"/>
            <w:noWrap w:val="0"/>
            <w:vAlign w:val="center"/>
          </w:tcPr>
          <w:p>
            <w:pPr>
              <w:jc w:val="center"/>
              <w:rPr>
                <w:bCs/>
                <w:color w:val="auto"/>
              </w:rPr>
            </w:pPr>
            <w:r>
              <w:rPr>
                <w:bCs/>
                <w:color w:val="auto"/>
              </w:rPr>
              <w:t>0.</w:t>
            </w:r>
            <w:r>
              <w:rPr>
                <w:rFonts w:hint="eastAsia"/>
                <w:bCs/>
                <w:color w:val="auto"/>
              </w:rPr>
              <w:t>05</w:t>
            </w:r>
            <w:r>
              <w:rPr>
                <w:snapToGrid w:val="0"/>
                <w:color w:val="auto"/>
                <w:kern w:val="0"/>
              </w:rPr>
              <w:t>t/a</w:t>
            </w:r>
          </w:p>
        </w:tc>
        <w:tc>
          <w:tcPr>
            <w:tcW w:w="3119" w:type="dxa"/>
            <w:gridSpan w:val="2"/>
            <w:noWrap w:val="0"/>
            <w:vAlign w:val="center"/>
          </w:tcPr>
          <w:p>
            <w:pPr>
              <w:jc w:val="center"/>
              <w:rPr>
                <w:bCs/>
                <w:color w:val="auto"/>
              </w:rPr>
            </w:pPr>
            <w:r>
              <w:rPr>
                <w:bCs/>
                <w:color w:val="auto"/>
              </w:rPr>
              <w:t>交由生产厂家回收处理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 w:hRule="atLeast"/>
          <w:jc w:val="center"/>
        </w:trPr>
        <w:tc>
          <w:tcPr>
            <w:tcW w:w="963" w:type="dxa"/>
            <w:vMerge w:val="continue"/>
            <w:noWrap w:val="0"/>
            <w:vAlign w:val="center"/>
          </w:tcPr>
          <w:p>
            <w:pPr>
              <w:jc w:val="center"/>
              <w:rPr>
                <w:color w:val="auto"/>
              </w:rPr>
            </w:pPr>
          </w:p>
        </w:tc>
        <w:tc>
          <w:tcPr>
            <w:tcW w:w="900" w:type="dxa"/>
            <w:vMerge w:val="continue"/>
            <w:noWrap w:val="0"/>
            <w:vAlign w:val="center"/>
          </w:tcPr>
          <w:p>
            <w:pPr>
              <w:jc w:val="center"/>
              <w:rPr>
                <w:color w:val="auto"/>
              </w:rPr>
            </w:pPr>
          </w:p>
        </w:tc>
        <w:tc>
          <w:tcPr>
            <w:tcW w:w="1232" w:type="dxa"/>
            <w:noWrap w:val="0"/>
            <w:vAlign w:val="center"/>
          </w:tcPr>
          <w:p>
            <w:pPr>
              <w:jc w:val="center"/>
              <w:rPr>
                <w:bCs/>
                <w:color w:val="auto"/>
              </w:rPr>
            </w:pPr>
            <w:r>
              <w:rPr>
                <w:rFonts w:hint="eastAsia"/>
                <w:color w:val="auto"/>
              </w:rPr>
              <w:t>人工湿地产生的枯枝败叶</w:t>
            </w:r>
          </w:p>
        </w:tc>
        <w:tc>
          <w:tcPr>
            <w:tcW w:w="2503" w:type="dxa"/>
            <w:noWrap w:val="0"/>
            <w:vAlign w:val="center"/>
          </w:tcPr>
          <w:p>
            <w:pPr>
              <w:jc w:val="center"/>
              <w:rPr>
                <w:bCs/>
                <w:color w:val="auto"/>
              </w:rPr>
            </w:pPr>
            <w:r>
              <w:rPr>
                <w:snapToGrid w:val="0"/>
                <w:color w:val="auto"/>
              </w:rPr>
              <w:t>0.1t/a</w:t>
            </w:r>
          </w:p>
        </w:tc>
        <w:tc>
          <w:tcPr>
            <w:tcW w:w="3119" w:type="dxa"/>
            <w:gridSpan w:val="2"/>
            <w:noWrap w:val="0"/>
            <w:vAlign w:val="center"/>
          </w:tcPr>
          <w:p>
            <w:pPr>
              <w:jc w:val="center"/>
              <w:rPr>
                <w:bCs/>
                <w:color w:val="auto"/>
              </w:rPr>
            </w:pPr>
            <w:r>
              <w:rPr>
                <w:rFonts w:hint="eastAsia"/>
                <w:color w:val="auto"/>
              </w:rPr>
              <w:t>收集晒干后交由当地居民用作生物燃料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8" w:hRule="atLeast"/>
          <w:jc w:val="center"/>
        </w:trPr>
        <w:tc>
          <w:tcPr>
            <w:tcW w:w="963" w:type="dxa"/>
            <w:tcBorders>
              <w:top w:val="single" w:color="auto" w:sz="4" w:space="0"/>
            </w:tcBorders>
            <w:noWrap w:val="0"/>
            <w:vAlign w:val="center"/>
          </w:tcPr>
          <w:p>
            <w:pPr>
              <w:jc w:val="center"/>
              <w:rPr>
                <w:b/>
                <w:bCs/>
                <w:color w:val="auto"/>
              </w:rPr>
            </w:pPr>
            <w:r>
              <w:rPr>
                <w:b/>
                <w:bCs/>
                <w:color w:val="auto"/>
              </w:rPr>
              <w:t>噪</w:t>
            </w:r>
          </w:p>
          <w:p>
            <w:pPr>
              <w:jc w:val="center"/>
              <w:rPr>
                <w:b/>
                <w:bCs/>
                <w:color w:val="auto"/>
              </w:rPr>
            </w:pPr>
            <w:r>
              <w:rPr>
                <w:b/>
                <w:bCs/>
                <w:color w:val="auto"/>
              </w:rPr>
              <w:t>声</w:t>
            </w:r>
          </w:p>
        </w:tc>
        <w:tc>
          <w:tcPr>
            <w:tcW w:w="900" w:type="dxa"/>
            <w:tcBorders>
              <w:top w:val="single" w:color="auto" w:sz="4" w:space="0"/>
              <w:right w:val="single" w:color="000000" w:sz="4" w:space="0"/>
            </w:tcBorders>
            <w:noWrap w:val="0"/>
            <w:vAlign w:val="center"/>
          </w:tcPr>
          <w:p>
            <w:pPr>
              <w:jc w:val="left"/>
              <w:rPr>
                <w:bCs/>
                <w:color w:val="auto"/>
              </w:rPr>
            </w:pPr>
            <w:r>
              <w:rPr>
                <w:bCs/>
                <w:color w:val="auto"/>
              </w:rPr>
              <w:t>运营期</w:t>
            </w:r>
          </w:p>
        </w:tc>
        <w:tc>
          <w:tcPr>
            <w:tcW w:w="6854" w:type="dxa"/>
            <w:gridSpan w:val="4"/>
            <w:tcBorders>
              <w:top w:val="single" w:color="000000" w:sz="4" w:space="0"/>
              <w:left w:val="single" w:color="000000" w:sz="4" w:space="0"/>
            </w:tcBorders>
            <w:noWrap w:val="0"/>
            <w:vAlign w:val="center"/>
          </w:tcPr>
          <w:p>
            <w:pPr>
              <w:jc w:val="left"/>
              <w:rPr>
                <w:bCs/>
                <w:color w:val="auto"/>
              </w:rPr>
            </w:pPr>
            <w:r>
              <w:rPr>
                <w:bCs/>
                <w:color w:val="auto"/>
              </w:rPr>
              <w:t>污水处理站噪声源主要有各种泵类、鼓风机等设施，声级值为</w:t>
            </w:r>
            <w:r>
              <w:rPr>
                <w:rFonts w:hint="eastAsia"/>
                <w:bCs/>
                <w:color w:val="auto"/>
              </w:rPr>
              <w:t>6</w:t>
            </w:r>
            <w:r>
              <w:rPr>
                <w:bCs/>
                <w:color w:val="auto"/>
              </w:rPr>
              <w:t>5~</w:t>
            </w:r>
            <w:r>
              <w:rPr>
                <w:rFonts w:hint="eastAsia"/>
                <w:bCs/>
                <w:color w:val="auto"/>
              </w:rPr>
              <w:t>8</w:t>
            </w:r>
            <w:r>
              <w:rPr>
                <w:bCs/>
                <w:color w:val="auto"/>
              </w:rPr>
              <w:t>5dB(A)，主要为机械运转噪声和空气动力性噪声。经过隔音、减振等降噪措施后，场界噪声对当地声环境产生影响很小。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3" w:type="dxa"/>
          <w:trHeight w:val="23" w:hRule="atLeast"/>
          <w:jc w:val="center"/>
        </w:trPr>
        <w:tc>
          <w:tcPr>
            <w:tcW w:w="963" w:type="dxa"/>
            <w:noWrap w:val="0"/>
            <w:vAlign w:val="center"/>
          </w:tcPr>
          <w:p>
            <w:pPr>
              <w:jc w:val="center"/>
              <w:rPr>
                <w:color w:val="auto"/>
              </w:rPr>
            </w:pPr>
            <w:r>
              <w:rPr>
                <w:b/>
                <w:bCs/>
                <w:color w:val="auto"/>
              </w:rPr>
              <w:t>其他</w:t>
            </w:r>
          </w:p>
        </w:tc>
        <w:tc>
          <w:tcPr>
            <w:tcW w:w="7741" w:type="dxa"/>
            <w:gridSpan w:val="4"/>
            <w:noWrap w:val="0"/>
            <w:vAlign w:val="center"/>
          </w:tcPr>
          <w:p>
            <w:pPr>
              <w:widowControl/>
              <w:jc w:val="center"/>
              <w:rPr>
                <w:color w:val="auto"/>
              </w:rPr>
            </w:pPr>
            <w:r>
              <w:rPr>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38" w:hRule="atLeast"/>
          <w:jc w:val="center"/>
        </w:trPr>
        <w:tc>
          <w:tcPr>
            <w:tcW w:w="8717" w:type="dxa"/>
            <w:gridSpan w:val="6"/>
            <w:noWrap w:val="0"/>
            <w:vAlign w:val="top"/>
          </w:tcPr>
          <w:p>
            <w:pPr>
              <w:tabs>
                <w:tab w:val="left" w:pos="630"/>
              </w:tabs>
              <w:adjustRightInd w:val="0"/>
              <w:snapToGrid w:val="0"/>
              <w:spacing w:line="360" w:lineRule="auto"/>
              <w:rPr>
                <w:b/>
                <w:bCs/>
                <w:color w:val="auto"/>
              </w:rPr>
            </w:pPr>
            <w:r>
              <w:rPr>
                <w:b/>
                <w:bCs/>
                <w:color w:val="auto"/>
              </w:rPr>
              <w:t>主要生态影响(不够时可附另页)：</w:t>
            </w:r>
          </w:p>
          <w:p>
            <w:pPr>
              <w:tabs>
                <w:tab w:val="left" w:pos="630"/>
              </w:tabs>
              <w:adjustRightInd w:val="0"/>
              <w:snapToGrid w:val="0"/>
              <w:spacing w:line="360" w:lineRule="auto"/>
              <w:ind w:firstLine="480" w:firstLineChars="200"/>
              <w:rPr>
                <w:color w:val="auto"/>
              </w:rPr>
            </w:pPr>
            <w:r>
              <w:rPr>
                <w:color w:val="auto"/>
              </w:rPr>
              <w:t>本工程对生态环境的影响主要在施工期，运营期通过对区域生活污水的治理，对改善当地水生生态具有良好的环境正效益。拟建项目对生态环境的影响主要是施工期对区域内植被的影响和可能产生的水土流失影响。对临时施工场地，在其周边设置排水沟，排水沟断面尺寸根据施工场地大小确定。完工后，对于土质场地采取干砌块石护面，防止洪水冲刷。对于填方边坡及覆盖层较厚部位的开挖边坡，采用浆砌块石方格草皮护坡或草皮护坡。污水厂道路边要种植树木，力求不见裸露土壤。厂外设置截洪沟、排水沟。施工弃土的处置和利用应先制定周密的计划，合理开挖土石方并尽可能采取回填利用。四周设置必要的排水沟、排洪管道或挡土墙。严禁随意倾倒，避免弃土和弃渣被雨水冲入河沟。</w:t>
            </w:r>
          </w:p>
          <w:p>
            <w:pPr>
              <w:pStyle w:val="24"/>
              <w:adjustRightInd w:val="0"/>
              <w:snapToGrid w:val="0"/>
              <w:spacing w:after="0" w:line="360" w:lineRule="auto"/>
              <w:ind w:firstLine="480" w:firstLineChars="200"/>
              <w:rPr>
                <w:color w:val="auto"/>
              </w:rPr>
            </w:pPr>
            <w:r>
              <w:rPr>
                <w:color w:val="auto"/>
              </w:rPr>
              <w:t>该项目建设时间不长，只要施工期加强管理，并采取合理的保护措施，施工期对周围生态环境的影响在可接受范围之内。</w:t>
            </w:r>
          </w:p>
          <w:p>
            <w:pPr>
              <w:pStyle w:val="24"/>
              <w:adjustRightInd w:val="0"/>
              <w:snapToGrid w:val="0"/>
              <w:spacing w:after="0" w:line="360" w:lineRule="auto"/>
              <w:ind w:firstLine="480" w:firstLineChars="200"/>
              <w:rPr>
                <w:color w:val="auto"/>
              </w:rPr>
            </w:pPr>
            <w:r>
              <w:rPr>
                <w:color w:val="auto"/>
              </w:rPr>
              <w:t>本项目建设区域内无成片原生林和次生林分布，无天然珍稀野生动植物及古、大、珍、奇树木分布，不涉及自然保护区、风景名胜区的敏感点。本项目的运营，将区域生活污水处理后达标排放，在很大程度上改善区域水质，亦有利于区域水生环境的改善，因此，项目运营对区域水生生态环境具有良好的正效益。</w:t>
            </w: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p>
            <w:pPr>
              <w:pStyle w:val="24"/>
              <w:adjustRightInd w:val="0"/>
              <w:snapToGrid w:val="0"/>
              <w:spacing w:after="0" w:line="360" w:lineRule="auto"/>
              <w:ind w:firstLine="480" w:firstLineChars="200"/>
              <w:rPr>
                <w:color w:val="auto"/>
              </w:rPr>
            </w:pPr>
          </w:p>
        </w:tc>
      </w:tr>
    </w:tbl>
    <w:p>
      <w:pPr>
        <w:outlineLvl w:val="0"/>
        <w:rPr>
          <w:rFonts w:eastAsia="黑体"/>
          <w:color w:val="auto"/>
          <w:sz w:val="32"/>
          <w:szCs w:val="32"/>
        </w:rPr>
        <w:sectPr>
          <w:pgSz w:w="11906" w:h="16838"/>
          <w:pgMar w:top="1440" w:right="1418" w:bottom="1440" w:left="1418" w:header="851" w:footer="851" w:gutter="0"/>
          <w:pgBorders w:offsetFrom="page">
            <w:top w:val="none" w:sz="0" w:space="0"/>
            <w:left w:val="none" w:sz="0" w:space="0"/>
            <w:bottom w:val="none" w:sz="0" w:space="0"/>
            <w:right w:val="none" w:sz="0" w:space="0"/>
          </w:pgBorders>
          <w:cols w:space="720" w:num="1"/>
          <w:docGrid w:type="lines" w:linePitch="312" w:charSpace="0"/>
        </w:sectPr>
      </w:pPr>
    </w:p>
    <w:p>
      <w:pPr>
        <w:outlineLvl w:val="0"/>
        <w:rPr>
          <w:rFonts w:eastAsia="黑体"/>
          <w:color w:val="auto"/>
          <w:sz w:val="32"/>
          <w:szCs w:val="32"/>
        </w:rPr>
      </w:pPr>
      <w:r>
        <w:rPr>
          <w:rFonts w:eastAsia="黑体"/>
          <w:color w:val="auto"/>
          <w:sz w:val="32"/>
          <w:szCs w:val="32"/>
        </w:rPr>
        <w:t>环境影响分析                                     （表七）</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2" w:hRule="atLeast"/>
          <w:jc w:val="center"/>
        </w:trPr>
        <w:tc>
          <w:tcPr>
            <w:tcW w:w="9286" w:type="dxa"/>
            <w:noWrap w:val="0"/>
            <w:vAlign w:val="top"/>
          </w:tcPr>
          <w:p>
            <w:pPr>
              <w:spacing w:line="360" w:lineRule="auto"/>
              <w:rPr>
                <w:rFonts w:eastAsia="黑体"/>
                <w:bCs/>
                <w:color w:val="auto"/>
                <w:sz w:val="28"/>
              </w:rPr>
            </w:pPr>
            <w:r>
              <w:rPr>
                <w:rFonts w:eastAsia="黑体"/>
                <w:bCs/>
                <w:color w:val="auto"/>
                <w:sz w:val="28"/>
              </w:rPr>
              <w:t>一、施工期环境影响分析：</w:t>
            </w:r>
          </w:p>
          <w:p>
            <w:pPr>
              <w:adjustRightInd w:val="0"/>
              <w:snapToGrid w:val="0"/>
              <w:spacing w:line="360" w:lineRule="auto"/>
              <w:ind w:firstLine="480" w:firstLineChars="200"/>
              <w:rPr>
                <w:color w:val="auto"/>
              </w:rPr>
            </w:pPr>
            <w:r>
              <w:rPr>
                <w:color w:val="auto"/>
              </w:rPr>
              <w:t>本项目施工期间引起的环境影响主要包括：施工扬尘、施工噪声、施工人员生活污水和建筑垃圾等。</w:t>
            </w:r>
          </w:p>
          <w:p>
            <w:pPr>
              <w:adjustRightInd w:val="0"/>
              <w:snapToGrid w:val="0"/>
              <w:spacing w:line="360" w:lineRule="auto"/>
              <w:ind w:firstLine="482" w:firstLineChars="200"/>
              <w:rPr>
                <w:b/>
                <w:bCs/>
                <w:color w:val="auto"/>
              </w:rPr>
            </w:pPr>
            <w:r>
              <w:rPr>
                <w:b/>
                <w:bCs/>
                <w:color w:val="auto"/>
              </w:rPr>
              <w:t>1.1大气环境影响分析</w:t>
            </w:r>
          </w:p>
          <w:p>
            <w:pPr>
              <w:adjustRightInd w:val="0"/>
              <w:snapToGrid w:val="0"/>
              <w:spacing w:line="360" w:lineRule="auto"/>
              <w:ind w:firstLine="480" w:firstLineChars="200"/>
              <w:rPr>
                <w:color w:val="auto"/>
                <w:kern w:val="0"/>
              </w:rPr>
            </w:pPr>
            <w:r>
              <w:rPr>
                <w:color w:val="auto"/>
                <w:kern w:val="0"/>
              </w:rPr>
              <w:t>（1）施工扬尘</w:t>
            </w:r>
          </w:p>
          <w:p>
            <w:pPr>
              <w:adjustRightInd w:val="0"/>
              <w:snapToGrid w:val="0"/>
              <w:spacing w:line="360" w:lineRule="auto"/>
              <w:ind w:firstLine="480" w:firstLineChars="200"/>
              <w:rPr>
                <w:color w:val="auto"/>
                <w:kern w:val="0"/>
              </w:rPr>
            </w:pPr>
            <w:r>
              <w:rPr>
                <w:color w:val="auto"/>
                <w:kern w:val="0"/>
              </w:rPr>
              <w:t>施工期间的扬尘主要来自汽车扬尘、物料堆场产生的风力扬尘。</w:t>
            </w:r>
          </w:p>
          <w:p>
            <w:pPr>
              <w:adjustRightInd w:val="0"/>
              <w:snapToGrid w:val="0"/>
              <w:spacing w:line="360" w:lineRule="auto"/>
              <w:ind w:firstLine="480" w:firstLineChars="200"/>
              <w:rPr>
                <w:color w:val="auto"/>
                <w:kern w:val="0"/>
              </w:rPr>
            </w:pPr>
            <w:r>
              <w:rPr>
                <w:color w:val="auto"/>
                <w:kern w:val="0"/>
              </w:rPr>
              <w:t>①汽车行驶扬尘</w:t>
            </w:r>
          </w:p>
          <w:p>
            <w:pPr>
              <w:adjustRightInd w:val="0"/>
              <w:snapToGrid w:val="0"/>
              <w:spacing w:line="360" w:lineRule="auto"/>
              <w:ind w:firstLine="480" w:firstLineChars="200"/>
              <w:rPr>
                <w:color w:val="auto"/>
                <w:kern w:val="0"/>
              </w:rPr>
            </w:pPr>
            <w:r>
              <w:rPr>
                <w:color w:val="auto"/>
                <w:kern w:val="0"/>
              </w:rPr>
              <w:t>汽车行驶扬尘主要为路面扬尘以及由车辆车轮附带的泥土产生的扬尘，本项目利用周边已建成的省，水泥和沥青路面，相比砂石、泥土等路面，含尘量少，为此，由道路路面引起的路面扬尘基本可忽略。</w:t>
            </w:r>
          </w:p>
          <w:p>
            <w:pPr>
              <w:adjustRightInd w:val="0"/>
              <w:snapToGrid w:val="0"/>
              <w:spacing w:line="360" w:lineRule="auto"/>
              <w:ind w:firstLine="480" w:firstLineChars="200"/>
              <w:rPr>
                <w:color w:val="auto"/>
                <w:kern w:val="0"/>
              </w:rPr>
            </w:pPr>
            <w:r>
              <w:rPr>
                <w:color w:val="auto"/>
                <w:kern w:val="0"/>
              </w:rPr>
              <w:t>本项目汽车行驶扬尘主要有施工场地便道路面以及施工车辆车轮上附带的泥土掉落至路面产生的扬尘，根据有关资料分析，汽车行驶扬尘其产生量与路面含尘量、汽车车型、车速等有关，根据有关文献资料介绍，施工过程中，车辆行驶产生的扬尘占总扬尘的60%以上。</w:t>
            </w:r>
          </w:p>
          <w:p>
            <w:pPr>
              <w:adjustRightInd w:val="0"/>
              <w:snapToGrid w:val="0"/>
              <w:spacing w:line="360" w:lineRule="auto"/>
              <w:ind w:firstLine="480" w:firstLineChars="200"/>
              <w:rPr>
                <w:color w:val="auto"/>
                <w:kern w:val="0"/>
              </w:rPr>
            </w:pPr>
            <w:r>
              <w:rPr>
                <w:color w:val="auto"/>
                <w:kern w:val="0"/>
              </w:rPr>
              <w:t>车辆行驶产生的扬尘，在完全干燥的情况下，可按以下经验公式计算：</w:t>
            </w:r>
          </w:p>
          <w:p>
            <w:pPr>
              <w:adjustRightInd w:val="0"/>
              <w:snapToGrid w:val="0"/>
              <w:spacing w:line="360" w:lineRule="auto"/>
              <w:ind w:firstLine="480" w:firstLineChars="200"/>
              <w:jc w:val="center"/>
              <w:rPr>
                <w:color w:val="auto"/>
              </w:rPr>
            </w:pPr>
            <w:r>
              <w:rPr>
                <w:color w:val="auto"/>
                <w:position w:val="-28"/>
              </w:rPr>
              <w:object>
                <v:shape id="_x0000_i1039" o:spt="75" type="#_x0000_t75" style="height:36.75pt;width:159pt;" o:ole="t" filled="f" o:preferrelative="t" stroked="f" coordsize="21600,21600">
                  <v:path/>
                  <v:fill on="f" focussize="0,0"/>
                  <v:stroke on="f"/>
                  <v:imagedata r:id="rId34" o:title=""/>
                  <o:lock v:ext="edit" aspectratio="t"/>
                  <w10:wrap type="none"/>
                  <w10:anchorlock/>
                </v:shape>
                <o:OLEObject Type="Embed" ProgID="Equation.DSMT4" ShapeID="_x0000_i1039" DrawAspect="Content" ObjectID="_1468075734" r:id="rId33">
                  <o:LockedField>false</o:LockedField>
                </o:OLEObject>
              </w:object>
            </w:r>
          </w:p>
          <w:p>
            <w:pPr>
              <w:adjustRightInd w:val="0"/>
              <w:snapToGrid w:val="0"/>
              <w:spacing w:line="360" w:lineRule="auto"/>
              <w:ind w:firstLine="480" w:firstLineChars="200"/>
              <w:rPr>
                <w:color w:val="auto"/>
                <w:kern w:val="0"/>
              </w:rPr>
            </w:pPr>
            <w:r>
              <w:rPr>
                <w:color w:val="auto"/>
                <w:kern w:val="0"/>
              </w:rPr>
              <w:t>式中：</w:t>
            </w:r>
            <w:r>
              <w:rPr>
                <w:i/>
                <w:color w:val="auto"/>
                <w:kern w:val="0"/>
              </w:rPr>
              <w:t>Q</w:t>
            </w:r>
            <w:r>
              <w:rPr>
                <w:color w:val="auto"/>
                <w:kern w:val="0"/>
              </w:rPr>
              <w:t>—汽车行驶的扬尘，kg/km•辆；</w:t>
            </w:r>
          </w:p>
          <w:p>
            <w:pPr>
              <w:adjustRightInd w:val="0"/>
              <w:snapToGrid w:val="0"/>
              <w:spacing w:line="360" w:lineRule="auto"/>
              <w:ind w:firstLine="480" w:firstLineChars="200"/>
              <w:rPr>
                <w:color w:val="auto"/>
                <w:kern w:val="0"/>
              </w:rPr>
            </w:pPr>
            <w:r>
              <w:rPr>
                <w:i/>
                <w:color w:val="auto"/>
                <w:kern w:val="0"/>
              </w:rPr>
              <w:t>V</w:t>
            </w:r>
            <w:r>
              <w:rPr>
                <w:color w:val="auto"/>
                <w:kern w:val="0"/>
              </w:rPr>
              <w:t>—汽车行驶速度，km/h；</w:t>
            </w:r>
          </w:p>
          <w:p>
            <w:pPr>
              <w:adjustRightInd w:val="0"/>
              <w:snapToGrid w:val="0"/>
              <w:spacing w:line="360" w:lineRule="auto"/>
              <w:ind w:firstLine="480" w:firstLineChars="200"/>
              <w:rPr>
                <w:color w:val="auto"/>
                <w:kern w:val="0"/>
              </w:rPr>
            </w:pPr>
            <w:r>
              <w:rPr>
                <w:i/>
                <w:color w:val="auto"/>
                <w:kern w:val="0"/>
              </w:rPr>
              <w:t>W</w:t>
            </w:r>
            <w:r>
              <w:rPr>
                <w:color w:val="auto"/>
                <w:kern w:val="0"/>
              </w:rPr>
              <w:t>—汽车载重量，t；</w:t>
            </w:r>
          </w:p>
          <w:p>
            <w:pPr>
              <w:adjustRightInd w:val="0"/>
              <w:snapToGrid w:val="0"/>
              <w:spacing w:line="360" w:lineRule="auto"/>
              <w:ind w:firstLine="480" w:firstLineChars="200"/>
              <w:rPr>
                <w:color w:val="auto"/>
                <w:kern w:val="0"/>
              </w:rPr>
            </w:pPr>
            <w:r>
              <w:rPr>
                <w:i/>
                <w:color w:val="auto"/>
                <w:kern w:val="0"/>
              </w:rPr>
              <w:t>P</w:t>
            </w:r>
            <w:r>
              <w:rPr>
                <w:color w:val="auto"/>
                <w:kern w:val="0"/>
              </w:rPr>
              <w:t>—道路表面粉尘量，kg/m</w:t>
            </w:r>
            <w:r>
              <w:rPr>
                <w:color w:val="auto"/>
                <w:vertAlign w:val="superscript"/>
              </w:rPr>
              <w:t>2</w:t>
            </w:r>
            <w:r>
              <w:rPr>
                <w:color w:val="auto"/>
                <w:kern w:val="0"/>
              </w:rPr>
              <w:t>。</w:t>
            </w:r>
          </w:p>
          <w:p>
            <w:pPr>
              <w:adjustRightInd w:val="0"/>
              <w:snapToGrid w:val="0"/>
              <w:spacing w:line="360" w:lineRule="auto"/>
              <w:ind w:firstLine="480" w:firstLineChars="200"/>
              <w:rPr>
                <w:color w:val="auto"/>
                <w:kern w:val="0"/>
              </w:rPr>
            </w:pPr>
            <w:r>
              <w:rPr>
                <w:color w:val="auto"/>
                <w:kern w:val="0"/>
              </w:rPr>
              <w:t>表7-1为一辆5吨卡车通过一段长度为1km的路面时，不同路面清洁程度、不同行驶速度条件下，产生的扬尘量。</w:t>
            </w:r>
          </w:p>
          <w:p>
            <w:pPr>
              <w:spacing w:line="360" w:lineRule="auto"/>
              <w:jc w:val="center"/>
              <w:rPr>
                <w:rFonts w:eastAsia="黑体"/>
                <w:bCs/>
                <w:color w:val="auto"/>
              </w:rPr>
            </w:pPr>
            <w:r>
              <w:rPr>
                <w:rStyle w:val="106"/>
                <w:rFonts w:eastAsia="黑体"/>
                <w:color w:val="auto"/>
              </w:rPr>
              <w:t>表7-1  不同车速和路面清洁程度条件下的汽车扬尘</w:t>
            </w:r>
            <w:r>
              <w:rPr>
                <w:rFonts w:eastAsia="黑体"/>
                <w:bCs/>
                <w:color w:val="auto"/>
              </w:rPr>
              <w:t xml:space="preserve">    </w:t>
            </w:r>
          </w:p>
          <w:p>
            <w:pPr>
              <w:spacing w:line="360" w:lineRule="auto"/>
              <w:jc w:val="right"/>
              <w:rPr>
                <w:b/>
                <w:color w:val="auto"/>
                <w:sz w:val="21"/>
                <w:szCs w:val="21"/>
              </w:rPr>
            </w:pPr>
            <w:r>
              <w:rPr>
                <w:rFonts w:eastAsia="黑体"/>
                <w:bCs/>
                <w:color w:val="auto"/>
              </w:rPr>
              <w:t>单位：kg/辆·km</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1202"/>
              <w:gridCol w:w="1264"/>
              <w:gridCol w:w="1263"/>
              <w:gridCol w:w="1264"/>
              <w:gridCol w:w="126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9" w:type="dxa"/>
                  <w:noWrap w:val="0"/>
                  <w:vAlign w:val="center"/>
                </w:tcPr>
                <w:p>
                  <w:pPr>
                    <w:adjustRightInd w:val="0"/>
                    <w:snapToGrid w:val="0"/>
                    <w:jc w:val="center"/>
                    <w:rPr>
                      <w:b/>
                      <w:bCs/>
                      <w:color w:val="auto"/>
                      <w:sz w:val="21"/>
                      <w:szCs w:val="21"/>
                    </w:rPr>
                  </w:pPr>
                  <w:r>
                    <w:rPr>
                      <w:b/>
                      <w:bCs/>
                      <w:color w:val="auto"/>
                      <w:sz w:val="21"/>
                      <w:szCs w:val="21"/>
                    </w:rPr>
                    <w:t>车速P</w:t>
                  </w:r>
                </w:p>
              </w:tc>
              <w:tc>
                <w:tcPr>
                  <w:tcW w:w="1202" w:type="dxa"/>
                  <w:noWrap w:val="0"/>
                  <w:vAlign w:val="center"/>
                </w:tcPr>
                <w:p>
                  <w:pPr>
                    <w:adjustRightInd w:val="0"/>
                    <w:snapToGrid w:val="0"/>
                    <w:jc w:val="center"/>
                    <w:rPr>
                      <w:b/>
                      <w:bCs/>
                      <w:color w:val="auto"/>
                      <w:sz w:val="21"/>
                      <w:szCs w:val="21"/>
                    </w:rPr>
                  </w:pPr>
                  <w:r>
                    <w:rPr>
                      <w:b/>
                      <w:bCs/>
                      <w:color w:val="auto"/>
                      <w:sz w:val="21"/>
                      <w:szCs w:val="21"/>
                    </w:rPr>
                    <w:t>0.1kg/m</w:t>
                  </w:r>
                  <w:r>
                    <w:rPr>
                      <w:b/>
                      <w:bCs/>
                      <w:color w:val="auto"/>
                      <w:sz w:val="21"/>
                      <w:szCs w:val="21"/>
                      <w:vertAlign w:val="superscript"/>
                    </w:rPr>
                    <w:t>2</w:t>
                  </w:r>
                </w:p>
              </w:tc>
              <w:tc>
                <w:tcPr>
                  <w:tcW w:w="1264" w:type="dxa"/>
                  <w:noWrap w:val="0"/>
                  <w:vAlign w:val="center"/>
                </w:tcPr>
                <w:p>
                  <w:pPr>
                    <w:adjustRightInd w:val="0"/>
                    <w:snapToGrid w:val="0"/>
                    <w:jc w:val="center"/>
                    <w:rPr>
                      <w:b/>
                      <w:bCs/>
                      <w:color w:val="auto"/>
                      <w:sz w:val="21"/>
                      <w:szCs w:val="21"/>
                    </w:rPr>
                  </w:pPr>
                  <w:r>
                    <w:rPr>
                      <w:b/>
                      <w:bCs/>
                      <w:color w:val="auto"/>
                      <w:sz w:val="21"/>
                      <w:szCs w:val="21"/>
                    </w:rPr>
                    <w:t>0.2 kg/m</w:t>
                  </w:r>
                  <w:r>
                    <w:rPr>
                      <w:b/>
                      <w:bCs/>
                      <w:color w:val="auto"/>
                      <w:sz w:val="21"/>
                      <w:szCs w:val="21"/>
                      <w:vertAlign w:val="superscript"/>
                    </w:rPr>
                    <w:t>2</w:t>
                  </w:r>
                </w:p>
              </w:tc>
              <w:tc>
                <w:tcPr>
                  <w:tcW w:w="1263" w:type="dxa"/>
                  <w:noWrap w:val="0"/>
                  <w:vAlign w:val="center"/>
                </w:tcPr>
                <w:p>
                  <w:pPr>
                    <w:adjustRightInd w:val="0"/>
                    <w:snapToGrid w:val="0"/>
                    <w:jc w:val="center"/>
                    <w:rPr>
                      <w:b/>
                      <w:bCs/>
                      <w:color w:val="auto"/>
                      <w:sz w:val="21"/>
                      <w:szCs w:val="21"/>
                    </w:rPr>
                  </w:pPr>
                  <w:r>
                    <w:rPr>
                      <w:b/>
                      <w:bCs/>
                      <w:color w:val="auto"/>
                      <w:sz w:val="21"/>
                      <w:szCs w:val="21"/>
                    </w:rPr>
                    <w:t>0.3 kg/m</w:t>
                  </w:r>
                  <w:r>
                    <w:rPr>
                      <w:b/>
                      <w:bCs/>
                      <w:color w:val="auto"/>
                      <w:sz w:val="21"/>
                      <w:szCs w:val="21"/>
                      <w:vertAlign w:val="superscript"/>
                    </w:rPr>
                    <w:t>2</w:t>
                  </w:r>
                </w:p>
              </w:tc>
              <w:tc>
                <w:tcPr>
                  <w:tcW w:w="1264" w:type="dxa"/>
                  <w:noWrap w:val="0"/>
                  <w:vAlign w:val="center"/>
                </w:tcPr>
                <w:p>
                  <w:pPr>
                    <w:adjustRightInd w:val="0"/>
                    <w:snapToGrid w:val="0"/>
                    <w:jc w:val="center"/>
                    <w:rPr>
                      <w:b/>
                      <w:bCs/>
                      <w:color w:val="auto"/>
                      <w:sz w:val="21"/>
                      <w:szCs w:val="21"/>
                    </w:rPr>
                  </w:pPr>
                  <w:r>
                    <w:rPr>
                      <w:b/>
                      <w:bCs/>
                      <w:color w:val="auto"/>
                      <w:sz w:val="21"/>
                      <w:szCs w:val="21"/>
                    </w:rPr>
                    <w:t>0.4 kg/m</w:t>
                  </w:r>
                  <w:r>
                    <w:rPr>
                      <w:b/>
                      <w:bCs/>
                      <w:color w:val="auto"/>
                      <w:sz w:val="21"/>
                      <w:szCs w:val="21"/>
                      <w:vertAlign w:val="superscript"/>
                    </w:rPr>
                    <w:t>2</w:t>
                  </w:r>
                </w:p>
              </w:tc>
              <w:tc>
                <w:tcPr>
                  <w:tcW w:w="1264" w:type="dxa"/>
                  <w:noWrap w:val="0"/>
                  <w:vAlign w:val="center"/>
                </w:tcPr>
                <w:p>
                  <w:pPr>
                    <w:adjustRightInd w:val="0"/>
                    <w:snapToGrid w:val="0"/>
                    <w:jc w:val="center"/>
                    <w:rPr>
                      <w:b/>
                      <w:bCs/>
                      <w:color w:val="auto"/>
                      <w:sz w:val="21"/>
                      <w:szCs w:val="21"/>
                    </w:rPr>
                  </w:pPr>
                  <w:r>
                    <w:rPr>
                      <w:b/>
                      <w:bCs/>
                      <w:color w:val="auto"/>
                      <w:sz w:val="21"/>
                      <w:szCs w:val="21"/>
                    </w:rPr>
                    <w:t>0.5 kg/m</w:t>
                  </w:r>
                  <w:r>
                    <w:rPr>
                      <w:b/>
                      <w:bCs/>
                      <w:color w:val="auto"/>
                      <w:sz w:val="21"/>
                      <w:szCs w:val="21"/>
                      <w:vertAlign w:val="superscript"/>
                    </w:rPr>
                    <w:t>2</w:t>
                  </w:r>
                </w:p>
              </w:tc>
              <w:tc>
                <w:tcPr>
                  <w:tcW w:w="1264" w:type="dxa"/>
                  <w:noWrap w:val="0"/>
                  <w:vAlign w:val="center"/>
                </w:tcPr>
                <w:p>
                  <w:pPr>
                    <w:adjustRightInd w:val="0"/>
                    <w:snapToGrid w:val="0"/>
                    <w:jc w:val="center"/>
                    <w:rPr>
                      <w:b/>
                      <w:bCs/>
                      <w:color w:val="auto"/>
                      <w:sz w:val="21"/>
                      <w:szCs w:val="21"/>
                    </w:rPr>
                  </w:pPr>
                  <w:r>
                    <w:rPr>
                      <w:b/>
                      <w:bCs/>
                      <w:color w:val="auto"/>
                      <w:sz w:val="21"/>
                      <w:szCs w:val="21"/>
                    </w:rPr>
                    <w:t>1.0 kg/m</w:t>
                  </w:r>
                  <w:r>
                    <w:rPr>
                      <w:b/>
                      <w:bCs/>
                      <w:color w:val="auto"/>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noWrap w:val="0"/>
                  <w:vAlign w:val="center"/>
                </w:tcPr>
                <w:p>
                  <w:pPr>
                    <w:adjustRightInd w:val="0"/>
                    <w:snapToGrid w:val="0"/>
                    <w:jc w:val="center"/>
                    <w:rPr>
                      <w:color w:val="auto"/>
                      <w:sz w:val="21"/>
                      <w:szCs w:val="21"/>
                    </w:rPr>
                  </w:pPr>
                  <w:r>
                    <w:rPr>
                      <w:color w:val="auto"/>
                      <w:sz w:val="21"/>
                      <w:szCs w:val="21"/>
                    </w:rPr>
                    <w:t>5 km/h</w:t>
                  </w:r>
                </w:p>
              </w:tc>
              <w:tc>
                <w:tcPr>
                  <w:tcW w:w="1202" w:type="dxa"/>
                  <w:noWrap w:val="0"/>
                  <w:vAlign w:val="center"/>
                </w:tcPr>
                <w:p>
                  <w:pPr>
                    <w:adjustRightInd w:val="0"/>
                    <w:snapToGrid w:val="0"/>
                    <w:jc w:val="center"/>
                    <w:rPr>
                      <w:color w:val="auto"/>
                      <w:sz w:val="21"/>
                      <w:szCs w:val="21"/>
                    </w:rPr>
                  </w:pPr>
                  <w:r>
                    <w:rPr>
                      <w:color w:val="auto"/>
                      <w:sz w:val="21"/>
                      <w:szCs w:val="21"/>
                    </w:rPr>
                    <w:t>0.0283</w:t>
                  </w:r>
                </w:p>
              </w:tc>
              <w:tc>
                <w:tcPr>
                  <w:tcW w:w="1264" w:type="dxa"/>
                  <w:noWrap w:val="0"/>
                  <w:vAlign w:val="center"/>
                </w:tcPr>
                <w:p>
                  <w:pPr>
                    <w:adjustRightInd w:val="0"/>
                    <w:snapToGrid w:val="0"/>
                    <w:jc w:val="center"/>
                    <w:rPr>
                      <w:color w:val="auto"/>
                      <w:sz w:val="21"/>
                      <w:szCs w:val="21"/>
                    </w:rPr>
                  </w:pPr>
                  <w:r>
                    <w:rPr>
                      <w:color w:val="auto"/>
                      <w:sz w:val="21"/>
                      <w:szCs w:val="21"/>
                    </w:rPr>
                    <w:t>0.0476</w:t>
                  </w:r>
                </w:p>
              </w:tc>
              <w:tc>
                <w:tcPr>
                  <w:tcW w:w="1263" w:type="dxa"/>
                  <w:noWrap w:val="0"/>
                  <w:vAlign w:val="center"/>
                </w:tcPr>
                <w:p>
                  <w:pPr>
                    <w:adjustRightInd w:val="0"/>
                    <w:snapToGrid w:val="0"/>
                    <w:jc w:val="center"/>
                    <w:rPr>
                      <w:color w:val="auto"/>
                      <w:sz w:val="21"/>
                      <w:szCs w:val="21"/>
                    </w:rPr>
                  </w:pPr>
                  <w:r>
                    <w:rPr>
                      <w:color w:val="auto"/>
                      <w:sz w:val="21"/>
                      <w:szCs w:val="21"/>
                    </w:rPr>
                    <w:t>0.0646</w:t>
                  </w:r>
                </w:p>
              </w:tc>
              <w:tc>
                <w:tcPr>
                  <w:tcW w:w="1264" w:type="dxa"/>
                  <w:noWrap w:val="0"/>
                  <w:vAlign w:val="center"/>
                </w:tcPr>
                <w:p>
                  <w:pPr>
                    <w:adjustRightInd w:val="0"/>
                    <w:snapToGrid w:val="0"/>
                    <w:jc w:val="center"/>
                    <w:rPr>
                      <w:color w:val="auto"/>
                      <w:sz w:val="21"/>
                      <w:szCs w:val="21"/>
                    </w:rPr>
                  </w:pPr>
                  <w:r>
                    <w:rPr>
                      <w:color w:val="auto"/>
                      <w:sz w:val="21"/>
                      <w:szCs w:val="21"/>
                    </w:rPr>
                    <w:t>0.0801</w:t>
                  </w:r>
                </w:p>
              </w:tc>
              <w:tc>
                <w:tcPr>
                  <w:tcW w:w="1264" w:type="dxa"/>
                  <w:noWrap w:val="0"/>
                  <w:vAlign w:val="center"/>
                </w:tcPr>
                <w:p>
                  <w:pPr>
                    <w:adjustRightInd w:val="0"/>
                    <w:snapToGrid w:val="0"/>
                    <w:jc w:val="center"/>
                    <w:rPr>
                      <w:color w:val="auto"/>
                      <w:sz w:val="21"/>
                      <w:szCs w:val="21"/>
                    </w:rPr>
                  </w:pPr>
                  <w:r>
                    <w:rPr>
                      <w:color w:val="auto"/>
                      <w:sz w:val="21"/>
                      <w:szCs w:val="21"/>
                    </w:rPr>
                    <w:t>0.0947</w:t>
                  </w:r>
                </w:p>
              </w:tc>
              <w:tc>
                <w:tcPr>
                  <w:tcW w:w="1264" w:type="dxa"/>
                  <w:noWrap w:val="0"/>
                  <w:vAlign w:val="center"/>
                </w:tcPr>
                <w:p>
                  <w:pPr>
                    <w:adjustRightInd w:val="0"/>
                    <w:snapToGrid w:val="0"/>
                    <w:jc w:val="center"/>
                    <w:rPr>
                      <w:color w:val="auto"/>
                      <w:sz w:val="21"/>
                      <w:szCs w:val="21"/>
                    </w:rPr>
                  </w:pPr>
                  <w:r>
                    <w:rPr>
                      <w:color w:val="auto"/>
                      <w:sz w:val="21"/>
                      <w:szCs w:val="21"/>
                    </w:rPr>
                    <w:t>0.1593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noWrap w:val="0"/>
                  <w:vAlign w:val="center"/>
                </w:tcPr>
                <w:p>
                  <w:pPr>
                    <w:adjustRightInd w:val="0"/>
                    <w:snapToGrid w:val="0"/>
                    <w:jc w:val="center"/>
                    <w:rPr>
                      <w:color w:val="auto"/>
                      <w:sz w:val="21"/>
                      <w:szCs w:val="21"/>
                    </w:rPr>
                  </w:pPr>
                  <w:r>
                    <w:rPr>
                      <w:color w:val="auto"/>
                      <w:sz w:val="21"/>
                      <w:szCs w:val="21"/>
                    </w:rPr>
                    <w:t>10 km/h</w:t>
                  </w:r>
                </w:p>
              </w:tc>
              <w:tc>
                <w:tcPr>
                  <w:tcW w:w="1202" w:type="dxa"/>
                  <w:noWrap w:val="0"/>
                  <w:vAlign w:val="center"/>
                </w:tcPr>
                <w:p>
                  <w:pPr>
                    <w:adjustRightInd w:val="0"/>
                    <w:snapToGrid w:val="0"/>
                    <w:jc w:val="center"/>
                    <w:rPr>
                      <w:color w:val="auto"/>
                      <w:sz w:val="21"/>
                      <w:szCs w:val="21"/>
                    </w:rPr>
                  </w:pPr>
                  <w:r>
                    <w:rPr>
                      <w:color w:val="auto"/>
                      <w:sz w:val="21"/>
                      <w:szCs w:val="21"/>
                    </w:rPr>
                    <w:t>0.0566</w:t>
                  </w:r>
                </w:p>
              </w:tc>
              <w:tc>
                <w:tcPr>
                  <w:tcW w:w="1264" w:type="dxa"/>
                  <w:noWrap w:val="0"/>
                  <w:vAlign w:val="center"/>
                </w:tcPr>
                <w:p>
                  <w:pPr>
                    <w:adjustRightInd w:val="0"/>
                    <w:snapToGrid w:val="0"/>
                    <w:jc w:val="center"/>
                    <w:rPr>
                      <w:color w:val="auto"/>
                      <w:sz w:val="21"/>
                      <w:szCs w:val="21"/>
                    </w:rPr>
                  </w:pPr>
                  <w:r>
                    <w:rPr>
                      <w:color w:val="auto"/>
                      <w:sz w:val="21"/>
                      <w:szCs w:val="21"/>
                    </w:rPr>
                    <w:t>0.0953</w:t>
                  </w:r>
                </w:p>
              </w:tc>
              <w:tc>
                <w:tcPr>
                  <w:tcW w:w="1263" w:type="dxa"/>
                  <w:noWrap w:val="0"/>
                  <w:vAlign w:val="center"/>
                </w:tcPr>
                <w:p>
                  <w:pPr>
                    <w:adjustRightInd w:val="0"/>
                    <w:snapToGrid w:val="0"/>
                    <w:jc w:val="center"/>
                    <w:rPr>
                      <w:color w:val="auto"/>
                      <w:sz w:val="21"/>
                      <w:szCs w:val="21"/>
                    </w:rPr>
                  </w:pPr>
                  <w:r>
                    <w:rPr>
                      <w:color w:val="auto"/>
                      <w:sz w:val="21"/>
                      <w:szCs w:val="21"/>
                    </w:rPr>
                    <w:t>0.1291</w:t>
                  </w:r>
                </w:p>
              </w:tc>
              <w:tc>
                <w:tcPr>
                  <w:tcW w:w="1264" w:type="dxa"/>
                  <w:noWrap w:val="0"/>
                  <w:vAlign w:val="center"/>
                </w:tcPr>
                <w:p>
                  <w:pPr>
                    <w:adjustRightInd w:val="0"/>
                    <w:snapToGrid w:val="0"/>
                    <w:jc w:val="center"/>
                    <w:rPr>
                      <w:color w:val="auto"/>
                      <w:sz w:val="21"/>
                      <w:szCs w:val="21"/>
                    </w:rPr>
                  </w:pPr>
                  <w:r>
                    <w:rPr>
                      <w:color w:val="auto"/>
                      <w:sz w:val="21"/>
                      <w:szCs w:val="21"/>
                    </w:rPr>
                    <w:t>0.1602</w:t>
                  </w:r>
                </w:p>
              </w:tc>
              <w:tc>
                <w:tcPr>
                  <w:tcW w:w="1264" w:type="dxa"/>
                  <w:noWrap w:val="0"/>
                  <w:vAlign w:val="center"/>
                </w:tcPr>
                <w:p>
                  <w:pPr>
                    <w:adjustRightInd w:val="0"/>
                    <w:snapToGrid w:val="0"/>
                    <w:jc w:val="center"/>
                    <w:rPr>
                      <w:color w:val="auto"/>
                      <w:sz w:val="21"/>
                      <w:szCs w:val="21"/>
                    </w:rPr>
                  </w:pPr>
                  <w:r>
                    <w:rPr>
                      <w:color w:val="auto"/>
                      <w:sz w:val="21"/>
                      <w:szCs w:val="21"/>
                    </w:rPr>
                    <w:t>0.1894</w:t>
                  </w:r>
                </w:p>
              </w:tc>
              <w:tc>
                <w:tcPr>
                  <w:tcW w:w="1264" w:type="dxa"/>
                  <w:noWrap w:val="0"/>
                  <w:vAlign w:val="center"/>
                </w:tcPr>
                <w:p>
                  <w:pPr>
                    <w:adjustRightInd w:val="0"/>
                    <w:snapToGrid w:val="0"/>
                    <w:jc w:val="center"/>
                    <w:rPr>
                      <w:color w:val="auto"/>
                      <w:sz w:val="21"/>
                      <w:szCs w:val="21"/>
                    </w:rPr>
                  </w:pPr>
                  <w:r>
                    <w:rPr>
                      <w:color w:val="auto"/>
                      <w:sz w:val="21"/>
                      <w:szCs w:val="21"/>
                    </w:rPr>
                    <w:t>0.3186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noWrap w:val="0"/>
                  <w:vAlign w:val="center"/>
                </w:tcPr>
                <w:p>
                  <w:pPr>
                    <w:adjustRightInd w:val="0"/>
                    <w:snapToGrid w:val="0"/>
                    <w:jc w:val="center"/>
                    <w:rPr>
                      <w:color w:val="auto"/>
                      <w:sz w:val="21"/>
                      <w:szCs w:val="21"/>
                    </w:rPr>
                  </w:pPr>
                  <w:r>
                    <w:rPr>
                      <w:color w:val="auto"/>
                      <w:sz w:val="21"/>
                      <w:szCs w:val="21"/>
                    </w:rPr>
                    <w:t>15 km/h</w:t>
                  </w:r>
                </w:p>
              </w:tc>
              <w:tc>
                <w:tcPr>
                  <w:tcW w:w="1202" w:type="dxa"/>
                  <w:noWrap w:val="0"/>
                  <w:vAlign w:val="center"/>
                </w:tcPr>
                <w:p>
                  <w:pPr>
                    <w:adjustRightInd w:val="0"/>
                    <w:snapToGrid w:val="0"/>
                    <w:jc w:val="center"/>
                    <w:rPr>
                      <w:color w:val="auto"/>
                      <w:sz w:val="21"/>
                      <w:szCs w:val="21"/>
                    </w:rPr>
                  </w:pPr>
                  <w:r>
                    <w:rPr>
                      <w:color w:val="auto"/>
                      <w:sz w:val="21"/>
                      <w:szCs w:val="21"/>
                    </w:rPr>
                    <w:t>0.0850</w:t>
                  </w:r>
                </w:p>
              </w:tc>
              <w:tc>
                <w:tcPr>
                  <w:tcW w:w="1264" w:type="dxa"/>
                  <w:noWrap w:val="0"/>
                  <w:vAlign w:val="center"/>
                </w:tcPr>
                <w:p>
                  <w:pPr>
                    <w:adjustRightInd w:val="0"/>
                    <w:snapToGrid w:val="0"/>
                    <w:jc w:val="center"/>
                    <w:rPr>
                      <w:color w:val="auto"/>
                      <w:sz w:val="21"/>
                      <w:szCs w:val="21"/>
                    </w:rPr>
                  </w:pPr>
                  <w:r>
                    <w:rPr>
                      <w:color w:val="auto"/>
                      <w:sz w:val="21"/>
                      <w:szCs w:val="21"/>
                    </w:rPr>
                    <w:t>0.1429</w:t>
                  </w:r>
                </w:p>
              </w:tc>
              <w:tc>
                <w:tcPr>
                  <w:tcW w:w="1263" w:type="dxa"/>
                  <w:noWrap w:val="0"/>
                  <w:vAlign w:val="center"/>
                </w:tcPr>
                <w:p>
                  <w:pPr>
                    <w:adjustRightInd w:val="0"/>
                    <w:snapToGrid w:val="0"/>
                    <w:jc w:val="center"/>
                    <w:rPr>
                      <w:color w:val="auto"/>
                      <w:sz w:val="21"/>
                      <w:szCs w:val="21"/>
                    </w:rPr>
                  </w:pPr>
                  <w:r>
                    <w:rPr>
                      <w:color w:val="auto"/>
                      <w:sz w:val="21"/>
                      <w:szCs w:val="21"/>
                    </w:rPr>
                    <w:t>0.1937</w:t>
                  </w:r>
                </w:p>
              </w:tc>
              <w:tc>
                <w:tcPr>
                  <w:tcW w:w="1264" w:type="dxa"/>
                  <w:noWrap w:val="0"/>
                  <w:vAlign w:val="center"/>
                </w:tcPr>
                <w:p>
                  <w:pPr>
                    <w:adjustRightInd w:val="0"/>
                    <w:snapToGrid w:val="0"/>
                    <w:jc w:val="center"/>
                    <w:rPr>
                      <w:color w:val="auto"/>
                      <w:sz w:val="21"/>
                      <w:szCs w:val="21"/>
                    </w:rPr>
                  </w:pPr>
                  <w:r>
                    <w:rPr>
                      <w:color w:val="auto"/>
                      <w:sz w:val="21"/>
                      <w:szCs w:val="21"/>
                    </w:rPr>
                    <w:t>0.0000</w:t>
                  </w:r>
                </w:p>
              </w:tc>
              <w:tc>
                <w:tcPr>
                  <w:tcW w:w="1264" w:type="dxa"/>
                  <w:noWrap w:val="0"/>
                  <w:vAlign w:val="center"/>
                </w:tcPr>
                <w:p>
                  <w:pPr>
                    <w:adjustRightInd w:val="0"/>
                    <w:snapToGrid w:val="0"/>
                    <w:jc w:val="center"/>
                    <w:rPr>
                      <w:color w:val="auto"/>
                      <w:sz w:val="21"/>
                      <w:szCs w:val="21"/>
                    </w:rPr>
                  </w:pPr>
                  <w:r>
                    <w:rPr>
                      <w:color w:val="auto"/>
                      <w:sz w:val="21"/>
                      <w:szCs w:val="21"/>
                    </w:rPr>
                    <w:t>0.2841</w:t>
                  </w:r>
                </w:p>
              </w:tc>
              <w:tc>
                <w:tcPr>
                  <w:tcW w:w="1264" w:type="dxa"/>
                  <w:noWrap w:val="0"/>
                  <w:vAlign w:val="center"/>
                </w:tcPr>
                <w:p>
                  <w:pPr>
                    <w:adjustRightInd w:val="0"/>
                    <w:snapToGrid w:val="0"/>
                    <w:jc w:val="center"/>
                    <w:rPr>
                      <w:color w:val="auto"/>
                      <w:sz w:val="21"/>
                      <w:szCs w:val="21"/>
                    </w:rPr>
                  </w:pPr>
                  <w:r>
                    <w:rPr>
                      <w:color w:val="auto"/>
                      <w:sz w:val="21"/>
                      <w:szCs w:val="21"/>
                    </w:rPr>
                    <w:t>0.4778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9" w:type="dxa"/>
                  <w:noWrap w:val="0"/>
                  <w:vAlign w:val="center"/>
                </w:tcPr>
                <w:p>
                  <w:pPr>
                    <w:adjustRightInd w:val="0"/>
                    <w:snapToGrid w:val="0"/>
                    <w:jc w:val="center"/>
                    <w:rPr>
                      <w:color w:val="auto"/>
                      <w:sz w:val="21"/>
                      <w:szCs w:val="21"/>
                    </w:rPr>
                  </w:pPr>
                  <w:r>
                    <w:rPr>
                      <w:color w:val="auto"/>
                      <w:sz w:val="21"/>
                      <w:szCs w:val="21"/>
                    </w:rPr>
                    <w:t>25 km/h</w:t>
                  </w:r>
                </w:p>
              </w:tc>
              <w:tc>
                <w:tcPr>
                  <w:tcW w:w="1202" w:type="dxa"/>
                  <w:noWrap w:val="0"/>
                  <w:vAlign w:val="center"/>
                </w:tcPr>
                <w:p>
                  <w:pPr>
                    <w:adjustRightInd w:val="0"/>
                    <w:snapToGrid w:val="0"/>
                    <w:jc w:val="center"/>
                    <w:rPr>
                      <w:color w:val="auto"/>
                      <w:sz w:val="21"/>
                      <w:szCs w:val="21"/>
                    </w:rPr>
                  </w:pPr>
                  <w:r>
                    <w:rPr>
                      <w:color w:val="auto"/>
                      <w:sz w:val="21"/>
                      <w:szCs w:val="21"/>
                    </w:rPr>
                    <w:t>0.1416</w:t>
                  </w:r>
                </w:p>
              </w:tc>
              <w:tc>
                <w:tcPr>
                  <w:tcW w:w="1264" w:type="dxa"/>
                  <w:noWrap w:val="0"/>
                  <w:vAlign w:val="center"/>
                </w:tcPr>
                <w:p>
                  <w:pPr>
                    <w:adjustRightInd w:val="0"/>
                    <w:snapToGrid w:val="0"/>
                    <w:jc w:val="center"/>
                    <w:rPr>
                      <w:color w:val="auto"/>
                      <w:sz w:val="21"/>
                      <w:szCs w:val="21"/>
                    </w:rPr>
                  </w:pPr>
                  <w:r>
                    <w:rPr>
                      <w:color w:val="auto"/>
                      <w:sz w:val="21"/>
                      <w:szCs w:val="21"/>
                    </w:rPr>
                    <w:t>0.2382</w:t>
                  </w:r>
                </w:p>
              </w:tc>
              <w:tc>
                <w:tcPr>
                  <w:tcW w:w="1263" w:type="dxa"/>
                  <w:noWrap w:val="0"/>
                  <w:vAlign w:val="center"/>
                </w:tcPr>
                <w:p>
                  <w:pPr>
                    <w:adjustRightInd w:val="0"/>
                    <w:snapToGrid w:val="0"/>
                    <w:jc w:val="center"/>
                    <w:rPr>
                      <w:color w:val="auto"/>
                      <w:sz w:val="21"/>
                      <w:szCs w:val="21"/>
                    </w:rPr>
                  </w:pPr>
                  <w:r>
                    <w:rPr>
                      <w:color w:val="auto"/>
                      <w:sz w:val="21"/>
                      <w:szCs w:val="21"/>
                    </w:rPr>
                    <w:t>0.3228</w:t>
                  </w:r>
                </w:p>
              </w:tc>
              <w:tc>
                <w:tcPr>
                  <w:tcW w:w="1264" w:type="dxa"/>
                  <w:noWrap w:val="0"/>
                  <w:vAlign w:val="center"/>
                </w:tcPr>
                <w:p>
                  <w:pPr>
                    <w:adjustRightInd w:val="0"/>
                    <w:snapToGrid w:val="0"/>
                    <w:jc w:val="center"/>
                    <w:rPr>
                      <w:color w:val="auto"/>
                      <w:sz w:val="21"/>
                      <w:szCs w:val="21"/>
                    </w:rPr>
                  </w:pPr>
                  <w:r>
                    <w:rPr>
                      <w:color w:val="auto"/>
                      <w:sz w:val="21"/>
                      <w:szCs w:val="21"/>
                    </w:rPr>
                    <w:t>0.4006</w:t>
                  </w:r>
                </w:p>
              </w:tc>
              <w:tc>
                <w:tcPr>
                  <w:tcW w:w="1264" w:type="dxa"/>
                  <w:noWrap w:val="0"/>
                  <w:vAlign w:val="center"/>
                </w:tcPr>
                <w:p>
                  <w:pPr>
                    <w:adjustRightInd w:val="0"/>
                    <w:snapToGrid w:val="0"/>
                    <w:jc w:val="center"/>
                    <w:rPr>
                      <w:color w:val="auto"/>
                      <w:sz w:val="21"/>
                      <w:szCs w:val="21"/>
                    </w:rPr>
                  </w:pPr>
                  <w:r>
                    <w:rPr>
                      <w:color w:val="auto"/>
                      <w:sz w:val="21"/>
                      <w:szCs w:val="21"/>
                    </w:rPr>
                    <w:t>0.4736</w:t>
                  </w:r>
                </w:p>
              </w:tc>
              <w:tc>
                <w:tcPr>
                  <w:tcW w:w="1264" w:type="dxa"/>
                  <w:noWrap w:val="0"/>
                  <w:vAlign w:val="center"/>
                </w:tcPr>
                <w:p>
                  <w:pPr>
                    <w:adjustRightInd w:val="0"/>
                    <w:snapToGrid w:val="0"/>
                    <w:jc w:val="center"/>
                    <w:rPr>
                      <w:color w:val="auto"/>
                      <w:sz w:val="21"/>
                      <w:szCs w:val="21"/>
                    </w:rPr>
                  </w:pPr>
                  <w:r>
                    <w:rPr>
                      <w:color w:val="auto"/>
                      <w:sz w:val="21"/>
                      <w:szCs w:val="21"/>
                    </w:rPr>
                    <w:t>0.7964</w:t>
                  </w:r>
                </w:p>
              </w:tc>
            </w:tr>
          </w:tbl>
          <w:p>
            <w:pPr>
              <w:adjustRightInd w:val="0"/>
              <w:snapToGrid w:val="0"/>
              <w:spacing w:line="360" w:lineRule="auto"/>
              <w:ind w:firstLine="482"/>
              <w:rPr>
                <w:color w:val="auto"/>
                <w:kern w:val="0"/>
              </w:rPr>
            </w:pPr>
            <w:r>
              <w:rPr>
                <w:color w:val="auto"/>
                <w:kern w:val="0"/>
              </w:rPr>
              <w:t>由上表可见，在同样路面清洁程度条件下，车速越快，扬尘量越大；在同样车速条件下，路面尘土量越大，扬尘越大。因此，限制施工车辆速度和保持路面清洁是减小扬尘的有效手段。</w:t>
            </w:r>
          </w:p>
          <w:p>
            <w:pPr>
              <w:adjustRightInd w:val="0"/>
              <w:snapToGrid w:val="0"/>
              <w:spacing w:line="360" w:lineRule="auto"/>
              <w:ind w:firstLine="482"/>
              <w:rPr>
                <w:color w:val="auto"/>
                <w:kern w:val="0"/>
              </w:rPr>
            </w:pPr>
            <w:r>
              <w:rPr>
                <w:color w:val="auto"/>
                <w:kern w:val="0"/>
              </w:rPr>
              <w:t>如果在施工期间对车辆行驶的路面实施洒水抑尘，每天洒水4~5次，可使扬尘减少70%左右，表7-2为施工场地洒水抑尘的试验结果。</w:t>
            </w:r>
          </w:p>
          <w:p>
            <w:pPr>
              <w:adjustRightInd w:val="0"/>
              <w:snapToGrid w:val="0"/>
              <w:spacing w:line="360" w:lineRule="auto"/>
              <w:jc w:val="center"/>
              <w:rPr>
                <w:rStyle w:val="106"/>
                <w:rFonts w:eastAsia="黑体"/>
                <w:color w:val="auto"/>
              </w:rPr>
            </w:pPr>
            <w:r>
              <w:rPr>
                <w:rStyle w:val="106"/>
                <w:rFonts w:eastAsia="黑体"/>
                <w:color w:val="auto"/>
              </w:rPr>
              <w:t>表7-2  施工场地洒水抑尘试验结果</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4"/>
              <w:gridCol w:w="1598"/>
              <w:gridCol w:w="1186"/>
              <w:gridCol w:w="1187"/>
              <w:gridCol w:w="1187"/>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22" w:type="dxa"/>
                  <w:gridSpan w:val="2"/>
                  <w:noWrap w:val="0"/>
                  <w:vAlign w:val="center"/>
                </w:tcPr>
                <w:p>
                  <w:pPr>
                    <w:adjustRightInd w:val="0"/>
                    <w:snapToGrid w:val="0"/>
                    <w:jc w:val="center"/>
                    <w:rPr>
                      <w:b/>
                      <w:bCs/>
                      <w:color w:val="auto"/>
                      <w:sz w:val="21"/>
                    </w:rPr>
                  </w:pPr>
                  <w:r>
                    <w:rPr>
                      <w:b/>
                      <w:bCs/>
                      <w:color w:val="auto"/>
                      <w:sz w:val="21"/>
                    </w:rPr>
                    <w:t>距离（m）</w:t>
                  </w:r>
                </w:p>
              </w:tc>
              <w:tc>
                <w:tcPr>
                  <w:tcW w:w="1186" w:type="dxa"/>
                  <w:noWrap w:val="0"/>
                  <w:vAlign w:val="center"/>
                </w:tcPr>
                <w:p>
                  <w:pPr>
                    <w:adjustRightInd w:val="0"/>
                    <w:snapToGrid w:val="0"/>
                    <w:jc w:val="center"/>
                    <w:rPr>
                      <w:b/>
                      <w:bCs/>
                      <w:color w:val="auto"/>
                      <w:sz w:val="21"/>
                    </w:rPr>
                  </w:pPr>
                  <w:r>
                    <w:rPr>
                      <w:b/>
                      <w:bCs/>
                      <w:color w:val="auto"/>
                      <w:sz w:val="21"/>
                    </w:rPr>
                    <w:t>5</w:t>
                  </w:r>
                </w:p>
              </w:tc>
              <w:tc>
                <w:tcPr>
                  <w:tcW w:w="1187" w:type="dxa"/>
                  <w:noWrap w:val="0"/>
                  <w:vAlign w:val="center"/>
                </w:tcPr>
                <w:p>
                  <w:pPr>
                    <w:adjustRightInd w:val="0"/>
                    <w:snapToGrid w:val="0"/>
                    <w:jc w:val="center"/>
                    <w:rPr>
                      <w:b/>
                      <w:bCs/>
                      <w:color w:val="auto"/>
                      <w:sz w:val="21"/>
                    </w:rPr>
                  </w:pPr>
                  <w:r>
                    <w:rPr>
                      <w:b/>
                      <w:bCs/>
                      <w:color w:val="auto"/>
                      <w:sz w:val="21"/>
                    </w:rPr>
                    <w:t>20</w:t>
                  </w:r>
                </w:p>
              </w:tc>
              <w:tc>
                <w:tcPr>
                  <w:tcW w:w="1187" w:type="dxa"/>
                  <w:noWrap w:val="0"/>
                  <w:vAlign w:val="center"/>
                </w:tcPr>
                <w:p>
                  <w:pPr>
                    <w:adjustRightInd w:val="0"/>
                    <w:snapToGrid w:val="0"/>
                    <w:jc w:val="center"/>
                    <w:rPr>
                      <w:b/>
                      <w:bCs/>
                      <w:color w:val="auto"/>
                      <w:sz w:val="21"/>
                    </w:rPr>
                  </w:pPr>
                  <w:r>
                    <w:rPr>
                      <w:b/>
                      <w:bCs/>
                      <w:color w:val="auto"/>
                      <w:sz w:val="21"/>
                    </w:rPr>
                    <w:t>50</w:t>
                  </w:r>
                </w:p>
              </w:tc>
              <w:tc>
                <w:tcPr>
                  <w:tcW w:w="1188" w:type="dxa"/>
                  <w:noWrap w:val="0"/>
                  <w:vAlign w:val="center"/>
                </w:tcPr>
                <w:p>
                  <w:pPr>
                    <w:adjustRightInd w:val="0"/>
                    <w:snapToGrid w:val="0"/>
                    <w:jc w:val="center"/>
                    <w:rPr>
                      <w:b/>
                      <w:bCs/>
                      <w:color w:val="auto"/>
                      <w:sz w:val="21"/>
                    </w:rPr>
                  </w:pPr>
                  <w:r>
                    <w:rPr>
                      <w:b/>
                      <w:bCs/>
                      <w:color w:val="auto"/>
                      <w:sz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4" w:type="dxa"/>
                  <w:vMerge w:val="restart"/>
                  <w:noWrap w:val="0"/>
                  <w:vAlign w:val="center"/>
                </w:tcPr>
                <w:p>
                  <w:pPr>
                    <w:adjustRightInd w:val="0"/>
                    <w:snapToGrid w:val="0"/>
                    <w:jc w:val="center"/>
                    <w:rPr>
                      <w:color w:val="auto"/>
                      <w:sz w:val="21"/>
                    </w:rPr>
                  </w:pPr>
                  <w:r>
                    <w:rPr>
                      <w:color w:val="auto"/>
                      <w:sz w:val="21"/>
                    </w:rPr>
                    <w:t>TSP小时平均浓度（mg/m</w:t>
                  </w:r>
                  <w:r>
                    <w:rPr>
                      <w:color w:val="auto"/>
                      <w:sz w:val="21"/>
                      <w:vertAlign w:val="superscript"/>
                    </w:rPr>
                    <w:t>3</w:t>
                  </w:r>
                  <w:r>
                    <w:rPr>
                      <w:color w:val="auto"/>
                      <w:sz w:val="21"/>
                    </w:rPr>
                    <w:t>）</w:t>
                  </w:r>
                </w:p>
              </w:tc>
              <w:tc>
                <w:tcPr>
                  <w:tcW w:w="1598" w:type="dxa"/>
                  <w:noWrap w:val="0"/>
                  <w:vAlign w:val="center"/>
                </w:tcPr>
                <w:p>
                  <w:pPr>
                    <w:adjustRightInd w:val="0"/>
                    <w:snapToGrid w:val="0"/>
                    <w:jc w:val="center"/>
                    <w:rPr>
                      <w:color w:val="auto"/>
                      <w:sz w:val="21"/>
                    </w:rPr>
                  </w:pPr>
                  <w:r>
                    <w:rPr>
                      <w:color w:val="auto"/>
                      <w:sz w:val="21"/>
                    </w:rPr>
                    <w:t>不洒水</w:t>
                  </w:r>
                </w:p>
              </w:tc>
              <w:tc>
                <w:tcPr>
                  <w:tcW w:w="1186" w:type="dxa"/>
                  <w:noWrap w:val="0"/>
                  <w:vAlign w:val="center"/>
                </w:tcPr>
                <w:p>
                  <w:pPr>
                    <w:adjustRightInd w:val="0"/>
                    <w:snapToGrid w:val="0"/>
                    <w:jc w:val="center"/>
                    <w:rPr>
                      <w:color w:val="auto"/>
                      <w:sz w:val="21"/>
                    </w:rPr>
                  </w:pPr>
                  <w:r>
                    <w:rPr>
                      <w:color w:val="auto"/>
                      <w:sz w:val="21"/>
                    </w:rPr>
                    <w:t>10.14</w:t>
                  </w:r>
                </w:p>
              </w:tc>
              <w:tc>
                <w:tcPr>
                  <w:tcW w:w="1187" w:type="dxa"/>
                  <w:noWrap w:val="0"/>
                  <w:vAlign w:val="center"/>
                </w:tcPr>
                <w:p>
                  <w:pPr>
                    <w:adjustRightInd w:val="0"/>
                    <w:snapToGrid w:val="0"/>
                    <w:jc w:val="center"/>
                    <w:rPr>
                      <w:color w:val="auto"/>
                      <w:sz w:val="21"/>
                    </w:rPr>
                  </w:pPr>
                  <w:r>
                    <w:rPr>
                      <w:color w:val="auto"/>
                      <w:sz w:val="21"/>
                    </w:rPr>
                    <w:t>2.89</w:t>
                  </w:r>
                </w:p>
              </w:tc>
              <w:tc>
                <w:tcPr>
                  <w:tcW w:w="1187" w:type="dxa"/>
                  <w:noWrap w:val="0"/>
                  <w:vAlign w:val="center"/>
                </w:tcPr>
                <w:p>
                  <w:pPr>
                    <w:adjustRightInd w:val="0"/>
                    <w:snapToGrid w:val="0"/>
                    <w:jc w:val="center"/>
                    <w:rPr>
                      <w:color w:val="auto"/>
                      <w:sz w:val="21"/>
                    </w:rPr>
                  </w:pPr>
                  <w:r>
                    <w:rPr>
                      <w:color w:val="auto"/>
                      <w:sz w:val="21"/>
                    </w:rPr>
                    <w:t>1.15</w:t>
                  </w:r>
                </w:p>
              </w:tc>
              <w:tc>
                <w:tcPr>
                  <w:tcW w:w="1188" w:type="dxa"/>
                  <w:noWrap w:val="0"/>
                  <w:vAlign w:val="center"/>
                </w:tcPr>
                <w:p>
                  <w:pPr>
                    <w:adjustRightInd w:val="0"/>
                    <w:snapToGrid w:val="0"/>
                    <w:jc w:val="center"/>
                    <w:rPr>
                      <w:color w:val="auto"/>
                      <w:sz w:val="21"/>
                    </w:rPr>
                  </w:pPr>
                  <w:r>
                    <w:rPr>
                      <w:color w:val="auto"/>
                      <w:sz w:val="21"/>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24" w:type="dxa"/>
                  <w:vMerge w:val="continue"/>
                  <w:noWrap w:val="0"/>
                  <w:vAlign w:val="center"/>
                </w:tcPr>
                <w:p>
                  <w:pPr>
                    <w:adjustRightInd w:val="0"/>
                    <w:snapToGrid w:val="0"/>
                    <w:jc w:val="center"/>
                    <w:rPr>
                      <w:color w:val="auto"/>
                      <w:sz w:val="21"/>
                    </w:rPr>
                  </w:pPr>
                </w:p>
              </w:tc>
              <w:tc>
                <w:tcPr>
                  <w:tcW w:w="1598" w:type="dxa"/>
                  <w:noWrap w:val="0"/>
                  <w:vAlign w:val="center"/>
                </w:tcPr>
                <w:p>
                  <w:pPr>
                    <w:adjustRightInd w:val="0"/>
                    <w:snapToGrid w:val="0"/>
                    <w:jc w:val="center"/>
                    <w:rPr>
                      <w:color w:val="auto"/>
                      <w:sz w:val="21"/>
                    </w:rPr>
                  </w:pPr>
                  <w:r>
                    <w:rPr>
                      <w:color w:val="auto"/>
                      <w:sz w:val="21"/>
                    </w:rPr>
                    <w:t>洒水</w:t>
                  </w:r>
                </w:p>
              </w:tc>
              <w:tc>
                <w:tcPr>
                  <w:tcW w:w="1186" w:type="dxa"/>
                  <w:noWrap w:val="0"/>
                  <w:vAlign w:val="center"/>
                </w:tcPr>
                <w:p>
                  <w:pPr>
                    <w:adjustRightInd w:val="0"/>
                    <w:snapToGrid w:val="0"/>
                    <w:jc w:val="center"/>
                    <w:rPr>
                      <w:color w:val="auto"/>
                      <w:sz w:val="21"/>
                    </w:rPr>
                  </w:pPr>
                  <w:r>
                    <w:rPr>
                      <w:color w:val="auto"/>
                      <w:sz w:val="21"/>
                    </w:rPr>
                    <w:t>2.01</w:t>
                  </w:r>
                </w:p>
              </w:tc>
              <w:tc>
                <w:tcPr>
                  <w:tcW w:w="1187" w:type="dxa"/>
                  <w:noWrap w:val="0"/>
                  <w:vAlign w:val="center"/>
                </w:tcPr>
                <w:p>
                  <w:pPr>
                    <w:adjustRightInd w:val="0"/>
                    <w:snapToGrid w:val="0"/>
                    <w:jc w:val="center"/>
                    <w:rPr>
                      <w:color w:val="auto"/>
                      <w:sz w:val="21"/>
                    </w:rPr>
                  </w:pPr>
                  <w:r>
                    <w:rPr>
                      <w:color w:val="auto"/>
                      <w:sz w:val="21"/>
                    </w:rPr>
                    <w:t>1.40</w:t>
                  </w:r>
                </w:p>
              </w:tc>
              <w:tc>
                <w:tcPr>
                  <w:tcW w:w="1187" w:type="dxa"/>
                  <w:noWrap w:val="0"/>
                  <w:vAlign w:val="center"/>
                </w:tcPr>
                <w:p>
                  <w:pPr>
                    <w:adjustRightInd w:val="0"/>
                    <w:snapToGrid w:val="0"/>
                    <w:jc w:val="center"/>
                    <w:rPr>
                      <w:color w:val="auto"/>
                      <w:sz w:val="21"/>
                    </w:rPr>
                  </w:pPr>
                  <w:r>
                    <w:rPr>
                      <w:color w:val="auto"/>
                      <w:sz w:val="21"/>
                    </w:rPr>
                    <w:t>0.67</w:t>
                  </w:r>
                </w:p>
              </w:tc>
              <w:tc>
                <w:tcPr>
                  <w:tcW w:w="1188" w:type="dxa"/>
                  <w:noWrap w:val="0"/>
                  <w:vAlign w:val="center"/>
                </w:tcPr>
                <w:p>
                  <w:pPr>
                    <w:adjustRightInd w:val="0"/>
                    <w:snapToGrid w:val="0"/>
                    <w:jc w:val="center"/>
                    <w:rPr>
                      <w:color w:val="auto"/>
                      <w:sz w:val="21"/>
                    </w:rPr>
                  </w:pPr>
                  <w:r>
                    <w:rPr>
                      <w:color w:val="auto"/>
                      <w:sz w:val="21"/>
                    </w:rPr>
                    <w:t>0.60</w:t>
                  </w:r>
                </w:p>
              </w:tc>
            </w:tr>
          </w:tbl>
          <w:p>
            <w:pPr>
              <w:adjustRightInd w:val="0"/>
              <w:snapToGrid w:val="0"/>
              <w:spacing w:line="360" w:lineRule="auto"/>
              <w:ind w:firstLine="480" w:firstLineChars="200"/>
              <w:rPr>
                <w:color w:val="auto"/>
                <w:kern w:val="0"/>
              </w:rPr>
            </w:pPr>
            <w:r>
              <w:rPr>
                <w:color w:val="auto"/>
                <w:kern w:val="0"/>
              </w:rPr>
              <w:t>结果表明：每天洒水4~5次，可有效地控制施工扬尘，TSP污染物扩散距离可缩小到20m~50m范围。因此，限速行驶及保持路面清洁，同时适当洒水是减少汽车扬尘的有效手段之一。</w:t>
            </w:r>
          </w:p>
          <w:p>
            <w:pPr>
              <w:adjustRightInd w:val="0"/>
              <w:snapToGrid w:val="0"/>
              <w:spacing w:line="360" w:lineRule="auto"/>
              <w:ind w:firstLine="480" w:firstLineChars="200"/>
              <w:rPr>
                <w:color w:val="auto"/>
                <w:kern w:val="0"/>
              </w:rPr>
            </w:pPr>
            <w:r>
              <w:rPr>
                <w:color w:val="auto"/>
                <w:kern w:val="0"/>
              </w:rPr>
              <w:t>②风力扬尘</w:t>
            </w:r>
          </w:p>
          <w:p>
            <w:pPr>
              <w:adjustRightInd w:val="0"/>
              <w:snapToGrid w:val="0"/>
              <w:spacing w:line="360" w:lineRule="auto"/>
              <w:ind w:firstLine="480" w:firstLineChars="200"/>
              <w:rPr>
                <w:color w:val="auto"/>
                <w:kern w:val="0"/>
              </w:rPr>
            </w:pPr>
            <w:r>
              <w:rPr>
                <w:color w:val="auto"/>
                <w:kern w:val="0"/>
              </w:rPr>
              <w:t>主要为露天堆场和裸露场地产生的风力扬尘，由于施工需要，一些建材需露天堆放，一些施工点表层土壤需人工开挖、堆放，在天气干燥又有风的情况下，会产生扬尘，其扬尘量可按堆场起尘的经验公式计算：</w:t>
            </w:r>
          </w:p>
          <w:p>
            <w:pPr>
              <w:adjustRightInd w:val="0"/>
              <w:snapToGrid w:val="0"/>
              <w:spacing w:line="360" w:lineRule="auto"/>
              <w:ind w:firstLine="480" w:firstLineChars="200"/>
              <w:jc w:val="center"/>
              <w:rPr>
                <w:color w:val="auto"/>
                <w:kern w:val="0"/>
              </w:rPr>
            </w:pPr>
            <w:r>
              <w:rPr>
                <w:color w:val="auto"/>
                <w:position w:val="-14"/>
              </w:rPr>
              <w:object>
                <v:shape id="_x0000_i1040" o:spt="75" type="#_x0000_t75" style="height:21.75pt;width:120pt;" o:ole="t" filled="f" o:preferrelative="t" stroked="f" coordsize="21600,21600">
                  <v:path/>
                  <v:fill on="f" focussize="0,0"/>
                  <v:stroke on="f"/>
                  <v:imagedata r:id="rId36" o:title=""/>
                  <o:lock v:ext="edit" aspectratio="t"/>
                  <w10:wrap type="none"/>
                  <w10:anchorlock/>
                </v:shape>
                <o:OLEObject Type="Embed" ProgID="Equation.DSMT4" ShapeID="_x0000_i1040" DrawAspect="Content" ObjectID="_1468075735" r:id="rId35">
                  <o:LockedField>false</o:LockedField>
                </o:OLEObject>
              </w:object>
            </w:r>
          </w:p>
          <w:p>
            <w:pPr>
              <w:adjustRightInd w:val="0"/>
              <w:snapToGrid w:val="0"/>
              <w:spacing w:line="360" w:lineRule="auto"/>
              <w:ind w:firstLine="480" w:firstLineChars="200"/>
              <w:rPr>
                <w:color w:val="auto"/>
                <w:kern w:val="0"/>
              </w:rPr>
            </w:pPr>
            <w:r>
              <w:rPr>
                <w:color w:val="auto"/>
                <w:kern w:val="0"/>
              </w:rPr>
              <w:t>式中：</w:t>
            </w:r>
            <w:r>
              <w:rPr>
                <w:i/>
                <w:color w:val="auto"/>
                <w:kern w:val="0"/>
              </w:rPr>
              <w:t>Q</w:t>
            </w:r>
            <w:r>
              <w:rPr>
                <w:color w:val="auto"/>
                <w:kern w:val="0"/>
              </w:rPr>
              <w:t>—起尘量，kg/吨•年；</w:t>
            </w:r>
          </w:p>
          <w:p>
            <w:pPr>
              <w:adjustRightInd w:val="0"/>
              <w:snapToGrid w:val="0"/>
              <w:spacing w:line="360" w:lineRule="auto"/>
              <w:ind w:firstLine="480" w:firstLineChars="200"/>
              <w:rPr>
                <w:color w:val="auto"/>
                <w:kern w:val="0"/>
              </w:rPr>
            </w:pPr>
            <w:r>
              <w:rPr>
                <w:i/>
                <w:color w:val="auto"/>
                <w:kern w:val="0"/>
              </w:rPr>
              <w:t>V</w:t>
            </w:r>
            <w:r>
              <w:rPr>
                <w:i/>
                <w:color w:val="auto"/>
                <w:vertAlign w:val="subscript"/>
              </w:rPr>
              <w:t>50</w:t>
            </w:r>
            <w:r>
              <w:rPr>
                <w:color w:val="auto"/>
                <w:kern w:val="0"/>
              </w:rPr>
              <w:t>—距地面50 米处风速，m/s；</w:t>
            </w:r>
          </w:p>
          <w:p>
            <w:pPr>
              <w:adjustRightInd w:val="0"/>
              <w:snapToGrid w:val="0"/>
              <w:spacing w:line="360" w:lineRule="auto"/>
              <w:ind w:firstLine="480" w:firstLineChars="200"/>
              <w:rPr>
                <w:color w:val="auto"/>
                <w:kern w:val="0"/>
              </w:rPr>
            </w:pPr>
            <w:r>
              <w:rPr>
                <w:i/>
                <w:color w:val="auto"/>
                <w:kern w:val="0"/>
              </w:rPr>
              <w:t>V</w:t>
            </w:r>
            <w:r>
              <w:rPr>
                <w:i/>
                <w:color w:val="auto"/>
                <w:vertAlign w:val="subscript"/>
              </w:rPr>
              <w:t>0</w:t>
            </w:r>
            <w:r>
              <w:rPr>
                <w:color w:val="auto"/>
                <w:kern w:val="0"/>
              </w:rPr>
              <w:t>—起尘风速，m/s；</w:t>
            </w:r>
          </w:p>
          <w:p>
            <w:pPr>
              <w:adjustRightInd w:val="0"/>
              <w:snapToGrid w:val="0"/>
              <w:spacing w:line="360" w:lineRule="auto"/>
              <w:ind w:firstLine="480" w:firstLineChars="200"/>
              <w:rPr>
                <w:color w:val="auto"/>
                <w:kern w:val="0"/>
              </w:rPr>
            </w:pPr>
            <w:r>
              <w:rPr>
                <w:i/>
                <w:color w:val="auto"/>
                <w:kern w:val="0"/>
              </w:rPr>
              <w:t>W</w:t>
            </w:r>
            <w:r>
              <w:rPr>
                <w:color w:val="auto"/>
                <w:kern w:val="0"/>
              </w:rPr>
              <w:t>—尘粒含水率，%。</w:t>
            </w:r>
          </w:p>
          <w:p>
            <w:pPr>
              <w:adjustRightInd w:val="0"/>
              <w:snapToGrid w:val="0"/>
              <w:spacing w:line="360" w:lineRule="auto"/>
              <w:ind w:firstLine="480" w:firstLineChars="200"/>
              <w:rPr>
                <w:color w:val="auto"/>
                <w:kern w:val="0"/>
              </w:rPr>
            </w:pPr>
            <w:r>
              <w:rPr>
                <w:color w:val="auto"/>
                <w:kern w:val="0"/>
              </w:rPr>
              <w:t>由公式可见，这类扬尘的主要特点与风速和尘粒含水率有关，因此，减少建材的露天堆放和保持物料一定的含水率是抑制这类扬尘的有效手段。扬尘在空气中的扩散稀散也与风速等气象条件、沉降速度有关。不同粒径的沉降速度见下表7-3。</w:t>
            </w:r>
          </w:p>
          <w:p>
            <w:pPr>
              <w:spacing w:line="360" w:lineRule="auto"/>
              <w:jc w:val="center"/>
              <w:rPr>
                <w:b/>
                <w:color w:val="auto"/>
              </w:rPr>
            </w:pPr>
            <w:r>
              <w:rPr>
                <w:rStyle w:val="106"/>
                <w:rFonts w:eastAsia="黑体"/>
                <w:color w:val="auto"/>
              </w:rPr>
              <w:t>表7-3  不同粒径尘粒的沉降速度</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945"/>
              <w:gridCol w:w="946"/>
              <w:gridCol w:w="947"/>
              <w:gridCol w:w="948"/>
              <w:gridCol w:w="947"/>
              <w:gridCol w:w="948"/>
              <w:gridCol w:w="9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2" w:type="dxa"/>
                  <w:noWrap w:val="0"/>
                  <w:vAlign w:val="center"/>
                </w:tcPr>
                <w:p>
                  <w:pPr>
                    <w:pStyle w:val="55"/>
                    <w:rPr>
                      <w:color w:val="auto"/>
                    </w:rPr>
                  </w:pPr>
                  <w:r>
                    <w:rPr>
                      <w:color w:val="auto"/>
                    </w:rPr>
                    <w:t>粉尘粒径（μm）</w:t>
                  </w:r>
                </w:p>
              </w:tc>
              <w:tc>
                <w:tcPr>
                  <w:tcW w:w="945" w:type="dxa"/>
                  <w:noWrap w:val="0"/>
                  <w:vAlign w:val="center"/>
                </w:tcPr>
                <w:p>
                  <w:pPr>
                    <w:pStyle w:val="55"/>
                    <w:rPr>
                      <w:color w:val="auto"/>
                    </w:rPr>
                  </w:pPr>
                  <w:r>
                    <w:rPr>
                      <w:color w:val="auto"/>
                    </w:rPr>
                    <w:t>10</w:t>
                  </w:r>
                </w:p>
              </w:tc>
              <w:tc>
                <w:tcPr>
                  <w:tcW w:w="946" w:type="dxa"/>
                  <w:noWrap w:val="0"/>
                  <w:vAlign w:val="center"/>
                </w:tcPr>
                <w:p>
                  <w:pPr>
                    <w:pStyle w:val="55"/>
                    <w:rPr>
                      <w:color w:val="auto"/>
                    </w:rPr>
                  </w:pPr>
                  <w:r>
                    <w:rPr>
                      <w:color w:val="auto"/>
                    </w:rPr>
                    <w:t>20</w:t>
                  </w:r>
                </w:p>
              </w:tc>
              <w:tc>
                <w:tcPr>
                  <w:tcW w:w="947" w:type="dxa"/>
                  <w:noWrap w:val="0"/>
                  <w:vAlign w:val="center"/>
                </w:tcPr>
                <w:p>
                  <w:pPr>
                    <w:pStyle w:val="55"/>
                    <w:rPr>
                      <w:color w:val="auto"/>
                    </w:rPr>
                  </w:pPr>
                  <w:r>
                    <w:rPr>
                      <w:color w:val="auto"/>
                    </w:rPr>
                    <w:t>30</w:t>
                  </w:r>
                </w:p>
              </w:tc>
              <w:tc>
                <w:tcPr>
                  <w:tcW w:w="948" w:type="dxa"/>
                  <w:noWrap w:val="0"/>
                  <w:vAlign w:val="center"/>
                </w:tcPr>
                <w:p>
                  <w:pPr>
                    <w:pStyle w:val="55"/>
                    <w:rPr>
                      <w:color w:val="auto"/>
                    </w:rPr>
                  </w:pPr>
                  <w:r>
                    <w:rPr>
                      <w:color w:val="auto"/>
                    </w:rPr>
                    <w:t>40</w:t>
                  </w:r>
                </w:p>
              </w:tc>
              <w:tc>
                <w:tcPr>
                  <w:tcW w:w="947" w:type="dxa"/>
                  <w:noWrap w:val="0"/>
                  <w:vAlign w:val="center"/>
                </w:tcPr>
                <w:p>
                  <w:pPr>
                    <w:pStyle w:val="55"/>
                    <w:rPr>
                      <w:color w:val="auto"/>
                    </w:rPr>
                  </w:pPr>
                  <w:r>
                    <w:rPr>
                      <w:color w:val="auto"/>
                    </w:rPr>
                    <w:t>50</w:t>
                  </w:r>
                </w:p>
              </w:tc>
              <w:tc>
                <w:tcPr>
                  <w:tcW w:w="948" w:type="dxa"/>
                  <w:noWrap w:val="0"/>
                  <w:vAlign w:val="center"/>
                </w:tcPr>
                <w:p>
                  <w:pPr>
                    <w:pStyle w:val="55"/>
                    <w:rPr>
                      <w:color w:val="auto"/>
                    </w:rPr>
                  </w:pPr>
                  <w:r>
                    <w:rPr>
                      <w:color w:val="auto"/>
                    </w:rPr>
                    <w:t>60</w:t>
                  </w:r>
                </w:p>
              </w:tc>
              <w:tc>
                <w:tcPr>
                  <w:tcW w:w="947" w:type="dxa"/>
                  <w:noWrap w:val="0"/>
                  <w:vAlign w:val="center"/>
                </w:tcPr>
                <w:p>
                  <w:pPr>
                    <w:pStyle w:val="55"/>
                    <w:rPr>
                      <w:color w:val="auto"/>
                    </w:rPr>
                  </w:pPr>
                  <w:r>
                    <w:rPr>
                      <w:color w:val="auto"/>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2" w:type="dxa"/>
                  <w:noWrap w:val="0"/>
                  <w:vAlign w:val="center"/>
                </w:tcPr>
                <w:p>
                  <w:pPr>
                    <w:pStyle w:val="55"/>
                    <w:rPr>
                      <w:color w:val="auto"/>
                    </w:rPr>
                  </w:pPr>
                  <w:r>
                    <w:rPr>
                      <w:color w:val="auto"/>
                    </w:rPr>
                    <w:t>沉降速度（m/s）</w:t>
                  </w:r>
                </w:p>
              </w:tc>
              <w:tc>
                <w:tcPr>
                  <w:tcW w:w="945" w:type="dxa"/>
                  <w:noWrap w:val="0"/>
                  <w:vAlign w:val="center"/>
                </w:tcPr>
                <w:p>
                  <w:pPr>
                    <w:pStyle w:val="55"/>
                    <w:rPr>
                      <w:color w:val="auto"/>
                    </w:rPr>
                  </w:pPr>
                  <w:r>
                    <w:rPr>
                      <w:color w:val="auto"/>
                    </w:rPr>
                    <w:t>0.003</w:t>
                  </w:r>
                </w:p>
              </w:tc>
              <w:tc>
                <w:tcPr>
                  <w:tcW w:w="946" w:type="dxa"/>
                  <w:noWrap w:val="0"/>
                  <w:vAlign w:val="center"/>
                </w:tcPr>
                <w:p>
                  <w:pPr>
                    <w:pStyle w:val="55"/>
                    <w:rPr>
                      <w:color w:val="auto"/>
                    </w:rPr>
                  </w:pPr>
                  <w:r>
                    <w:rPr>
                      <w:color w:val="auto"/>
                    </w:rPr>
                    <w:t>0.012</w:t>
                  </w:r>
                </w:p>
              </w:tc>
              <w:tc>
                <w:tcPr>
                  <w:tcW w:w="947" w:type="dxa"/>
                  <w:noWrap w:val="0"/>
                  <w:vAlign w:val="center"/>
                </w:tcPr>
                <w:p>
                  <w:pPr>
                    <w:pStyle w:val="55"/>
                    <w:rPr>
                      <w:color w:val="auto"/>
                    </w:rPr>
                  </w:pPr>
                  <w:r>
                    <w:rPr>
                      <w:color w:val="auto"/>
                    </w:rPr>
                    <w:t>0.027</w:t>
                  </w:r>
                </w:p>
              </w:tc>
              <w:tc>
                <w:tcPr>
                  <w:tcW w:w="948" w:type="dxa"/>
                  <w:noWrap w:val="0"/>
                  <w:vAlign w:val="center"/>
                </w:tcPr>
                <w:p>
                  <w:pPr>
                    <w:pStyle w:val="55"/>
                    <w:rPr>
                      <w:color w:val="auto"/>
                    </w:rPr>
                  </w:pPr>
                  <w:r>
                    <w:rPr>
                      <w:color w:val="auto"/>
                    </w:rPr>
                    <w:t>0.048</w:t>
                  </w:r>
                </w:p>
              </w:tc>
              <w:tc>
                <w:tcPr>
                  <w:tcW w:w="947" w:type="dxa"/>
                  <w:noWrap w:val="0"/>
                  <w:vAlign w:val="center"/>
                </w:tcPr>
                <w:p>
                  <w:pPr>
                    <w:pStyle w:val="55"/>
                    <w:rPr>
                      <w:color w:val="auto"/>
                    </w:rPr>
                  </w:pPr>
                  <w:r>
                    <w:rPr>
                      <w:color w:val="auto"/>
                    </w:rPr>
                    <w:t>0.075</w:t>
                  </w:r>
                </w:p>
              </w:tc>
              <w:tc>
                <w:tcPr>
                  <w:tcW w:w="948" w:type="dxa"/>
                  <w:noWrap w:val="0"/>
                  <w:vAlign w:val="center"/>
                </w:tcPr>
                <w:p>
                  <w:pPr>
                    <w:pStyle w:val="55"/>
                    <w:rPr>
                      <w:color w:val="auto"/>
                    </w:rPr>
                  </w:pPr>
                  <w:r>
                    <w:rPr>
                      <w:color w:val="auto"/>
                    </w:rPr>
                    <w:t>0.108</w:t>
                  </w:r>
                </w:p>
              </w:tc>
              <w:tc>
                <w:tcPr>
                  <w:tcW w:w="947" w:type="dxa"/>
                  <w:noWrap w:val="0"/>
                  <w:vAlign w:val="center"/>
                </w:tcPr>
                <w:p>
                  <w:pPr>
                    <w:pStyle w:val="55"/>
                    <w:rPr>
                      <w:color w:val="auto"/>
                    </w:rPr>
                  </w:pPr>
                  <w:r>
                    <w:rPr>
                      <w:color w:val="auto"/>
                    </w:rPr>
                    <w:t>0.147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2" w:type="dxa"/>
                  <w:noWrap w:val="0"/>
                  <w:vAlign w:val="center"/>
                </w:tcPr>
                <w:p>
                  <w:pPr>
                    <w:pStyle w:val="55"/>
                    <w:rPr>
                      <w:color w:val="auto"/>
                    </w:rPr>
                  </w:pPr>
                  <w:r>
                    <w:rPr>
                      <w:color w:val="auto"/>
                    </w:rPr>
                    <w:t>粉尘粒径（μm）</w:t>
                  </w:r>
                </w:p>
              </w:tc>
              <w:tc>
                <w:tcPr>
                  <w:tcW w:w="945" w:type="dxa"/>
                  <w:noWrap w:val="0"/>
                  <w:vAlign w:val="center"/>
                </w:tcPr>
                <w:p>
                  <w:pPr>
                    <w:pStyle w:val="55"/>
                    <w:rPr>
                      <w:color w:val="auto"/>
                    </w:rPr>
                  </w:pPr>
                  <w:r>
                    <w:rPr>
                      <w:color w:val="auto"/>
                    </w:rPr>
                    <w:t>80</w:t>
                  </w:r>
                </w:p>
              </w:tc>
              <w:tc>
                <w:tcPr>
                  <w:tcW w:w="946" w:type="dxa"/>
                  <w:noWrap w:val="0"/>
                  <w:vAlign w:val="center"/>
                </w:tcPr>
                <w:p>
                  <w:pPr>
                    <w:pStyle w:val="55"/>
                    <w:rPr>
                      <w:color w:val="auto"/>
                    </w:rPr>
                  </w:pPr>
                  <w:r>
                    <w:rPr>
                      <w:color w:val="auto"/>
                    </w:rPr>
                    <w:t>90</w:t>
                  </w:r>
                </w:p>
              </w:tc>
              <w:tc>
                <w:tcPr>
                  <w:tcW w:w="947" w:type="dxa"/>
                  <w:noWrap w:val="0"/>
                  <w:vAlign w:val="center"/>
                </w:tcPr>
                <w:p>
                  <w:pPr>
                    <w:pStyle w:val="55"/>
                    <w:rPr>
                      <w:color w:val="auto"/>
                    </w:rPr>
                  </w:pPr>
                  <w:r>
                    <w:rPr>
                      <w:color w:val="auto"/>
                    </w:rPr>
                    <w:t>100</w:t>
                  </w:r>
                </w:p>
              </w:tc>
              <w:tc>
                <w:tcPr>
                  <w:tcW w:w="948" w:type="dxa"/>
                  <w:noWrap w:val="0"/>
                  <w:vAlign w:val="center"/>
                </w:tcPr>
                <w:p>
                  <w:pPr>
                    <w:pStyle w:val="55"/>
                    <w:rPr>
                      <w:color w:val="auto"/>
                    </w:rPr>
                  </w:pPr>
                  <w:r>
                    <w:rPr>
                      <w:color w:val="auto"/>
                    </w:rPr>
                    <w:t>150</w:t>
                  </w:r>
                </w:p>
              </w:tc>
              <w:tc>
                <w:tcPr>
                  <w:tcW w:w="947" w:type="dxa"/>
                  <w:noWrap w:val="0"/>
                  <w:vAlign w:val="center"/>
                </w:tcPr>
                <w:p>
                  <w:pPr>
                    <w:pStyle w:val="55"/>
                    <w:rPr>
                      <w:color w:val="auto"/>
                    </w:rPr>
                  </w:pPr>
                  <w:r>
                    <w:rPr>
                      <w:color w:val="auto"/>
                    </w:rPr>
                    <w:t>200</w:t>
                  </w:r>
                </w:p>
              </w:tc>
              <w:tc>
                <w:tcPr>
                  <w:tcW w:w="948" w:type="dxa"/>
                  <w:noWrap w:val="0"/>
                  <w:vAlign w:val="center"/>
                </w:tcPr>
                <w:p>
                  <w:pPr>
                    <w:pStyle w:val="55"/>
                    <w:rPr>
                      <w:color w:val="auto"/>
                    </w:rPr>
                  </w:pPr>
                  <w:r>
                    <w:rPr>
                      <w:color w:val="auto"/>
                    </w:rPr>
                    <w:t>250</w:t>
                  </w:r>
                </w:p>
              </w:tc>
              <w:tc>
                <w:tcPr>
                  <w:tcW w:w="947" w:type="dxa"/>
                  <w:noWrap w:val="0"/>
                  <w:vAlign w:val="center"/>
                </w:tcPr>
                <w:p>
                  <w:pPr>
                    <w:pStyle w:val="55"/>
                    <w:rPr>
                      <w:color w:val="auto"/>
                    </w:rPr>
                  </w:pPr>
                  <w:r>
                    <w:rPr>
                      <w:color w:val="auto"/>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42" w:type="dxa"/>
                  <w:noWrap w:val="0"/>
                  <w:vAlign w:val="center"/>
                </w:tcPr>
                <w:p>
                  <w:pPr>
                    <w:pStyle w:val="55"/>
                    <w:rPr>
                      <w:color w:val="auto"/>
                    </w:rPr>
                  </w:pPr>
                  <w:r>
                    <w:rPr>
                      <w:color w:val="auto"/>
                    </w:rPr>
                    <w:t>沉降速度（m/s）</w:t>
                  </w:r>
                </w:p>
              </w:tc>
              <w:tc>
                <w:tcPr>
                  <w:tcW w:w="945" w:type="dxa"/>
                  <w:noWrap w:val="0"/>
                  <w:vAlign w:val="center"/>
                </w:tcPr>
                <w:p>
                  <w:pPr>
                    <w:pStyle w:val="55"/>
                    <w:rPr>
                      <w:color w:val="auto"/>
                    </w:rPr>
                  </w:pPr>
                  <w:r>
                    <w:rPr>
                      <w:color w:val="auto"/>
                    </w:rPr>
                    <w:t>0.158</w:t>
                  </w:r>
                </w:p>
              </w:tc>
              <w:tc>
                <w:tcPr>
                  <w:tcW w:w="946" w:type="dxa"/>
                  <w:noWrap w:val="0"/>
                  <w:vAlign w:val="center"/>
                </w:tcPr>
                <w:p>
                  <w:pPr>
                    <w:pStyle w:val="55"/>
                    <w:rPr>
                      <w:color w:val="auto"/>
                    </w:rPr>
                  </w:pPr>
                  <w:r>
                    <w:rPr>
                      <w:color w:val="auto"/>
                    </w:rPr>
                    <w:t>0.170</w:t>
                  </w:r>
                </w:p>
              </w:tc>
              <w:tc>
                <w:tcPr>
                  <w:tcW w:w="947" w:type="dxa"/>
                  <w:noWrap w:val="0"/>
                  <w:vAlign w:val="center"/>
                </w:tcPr>
                <w:p>
                  <w:pPr>
                    <w:pStyle w:val="55"/>
                    <w:rPr>
                      <w:color w:val="auto"/>
                    </w:rPr>
                  </w:pPr>
                  <w:r>
                    <w:rPr>
                      <w:color w:val="auto"/>
                    </w:rPr>
                    <w:t>0.182</w:t>
                  </w:r>
                </w:p>
              </w:tc>
              <w:tc>
                <w:tcPr>
                  <w:tcW w:w="948" w:type="dxa"/>
                  <w:noWrap w:val="0"/>
                  <w:vAlign w:val="center"/>
                </w:tcPr>
                <w:p>
                  <w:pPr>
                    <w:pStyle w:val="55"/>
                    <w:rPr>
                      <w:color w:val="auto"/>
                    </w:rPr>
                  </w:pPr>
                  <w:r>
                    <w:rPr>
                      <w:color w:val="auto"/>
                    </w:rPr>
                    <w:t>0.239</w:t>
                  </w:r>
                </w:p>
              </w:tc>
              <w:tc>
                <w:tcPr>
                  <w:tcW w:w="947" w:type="dxa"/>
                  <w:noWrap w:val="0"/>
                  <w:vAlign w:val="center"/>
                </w:tcPr>
                <w:p>
                  <w:pPr>
                    <w:pStyle w:val="55"/>
                    <w:rPr>
                      <w:color w:val="auto"/>
                    </w:rPr>
                  </w:pPr>
                  <w:r>
                    <w:rPr>
                      <w:color w:val="auto"/>
                    </w:rPr>
                    <w:t>0.804</w:t>
                  </w:r>
                </w:p>
              </w:tc>
              <w:tc>
                <w:tcPr>
                  <w:tcW w:w="948" w:type="dxa"/>
                  <w:noWrap w:val="0"/>
                  <w:vAlign w:val="center"/>
                </w:tcPr>
                <w:p>
                  <w:pPr>
                    <w:pStyle w:val="55"/>
                    <w:rPr>
                      <w:color w:val="auto"/>
                    </w:rPr>
                  </w:pPr>
                  <w:r>
                    <w:rPr>
                      <w:color w:val="auto"/>
                    </w:rPr>
                    <w:t>1.005</w:t>
                  </w:r>
                </w:p>
              </w:tc>
              <w:tc>
                <w:tcPr>
                  <w:tcW w:w="947" w:type="dxa"/>
                  <w:noWrap w:val="0"/>
                  <w:vAlign w:val="center"/>
                </w:tcPr>
                <w:p>
                  <w:pPr>
                    <w:pStyle w:val="55"/>
                    <w:rPr>
                      <w:color w:val="auto"/>
                    </w:rPr>
                  </w:pPr>
                  <w:r>
                    <w:rPr>
                      <w:color w:val="auto"/>
                    </w:rPr>
                    <w:t>1.829</w:t>
                  </w:r>
                </w:p>
              </w:tc>
            </w:tr>
          </w:tbl>
          <w:p>
            <w:pPr>
              <w:adjustRightInd w:val="0"/>
              <w:snapToGrid w:val="0"/>
              <w:spacing w:line="360" w:lineRule="auto"/>
              <w:ind w:firstLine="480"/>
              <w:rPr>
                <w:color w:val="auto"/>
                <w:kern w:val="0"/>
              </w:rPr>
            </w:pPr>
            <w:r>
              <w:rPr>
                <w:color w:val="auto"/>
                <w:kern w:val="0"/>
              </w:rPr>
              <w:t>由表7-3可知，粉尘的沉降速度随着粒径的增大而迅速增大，当粒径大于250μm时，主要影响范围在扬尘产生点下风向近距离范围内，而对外环境影响较大的是一些粒径微小的粉尘。</w:t>
            </w:r>
          </w:p>
          <w:p>
            <w:pPr>
              <w:adjustRightInd w:val="0"/>
              <w:snapToGrid w:val="0"/>
              <w:spacing w:line="360" w:lineRule="auto"/>
              <w:ind w:firstLine="480"/>
              <w:rPr>
                <w:color w:val="auto"/>
                <w:kern w:val="0"/>
              </w:rPr>
            </w:pPr>
            <w:r>
              <w:rPr>
                <w:color w:val="auto"/>
                <w:kern w:val="0"/>
              </w:rPr>
              <w:t>因本工程在施工阶段，伴随着土方的挖掘、装卸和运输等施工活动，其扬尘周围环境会有一定影响的。因此建设单位必须充分重视扬尘所带来的环境污染问题，应从车辆途经路段、车辆行驶速度以及车辆轮胎清洁度，施工工地堆场、裸露地表等方面采取合理可行的污染控制措施，最大程度减轻其污染程度。</w:t>
            </w:r>
          </w:p>
          <w:p>
            <w:pPr>
              <w:autoSpaceDE w:val="0"/>
              <w:autoSpaceDN w:val="0"/>
              <w:adjustRightInd w:val="0"/>
              <w:snapToGrid w:val="0"/>
              <w:spacing w:line="360" w:lineRule="auto"/>
              <w:ind w:firstLine="480" w:firstLineChars="200"/>
              <w:jc w:val="left"/>
              <w:rPr>
                <w:color w:val="auto"/>
                <w:kern w:val="0"/>
              </w:rPr>
            </w:pPr>
            <w:r>
              <w:rPr>
                <w:color w:val="auto"/>
                <w:kern w:val="0"/>
              </w:rPr>
              <w:t>根据《大气污染防治行动计划》（国发[2013]37号）、</w:t>
            </w:r>
            <w:r>
              <w:rPr>
                <w:color w:val="auto"/>
                <w:lang w:bidi="ar"/>
              </w:rPr>
              <w:t>《四川省人民政府办公厅关于灰霾污染防治的通知》（川办发【</w:t>
            </w:r>
            <w:r>
              <w:rPr>
                <w:rFonts w:eastAsia="TimesNewRomanPSMT"/>
                <w:color w:val="auto"/>
                <w:lang w:bidi="ar"/>
              </w:rPr>
              <w:t>2013</w:t>
            </w:r>
            <w:r>
              <w:rPr>
                <w:color w:val="auto"/>
                <w:lang w:bidi="ar"/>
              </w:rPr>
              <w:t>】</w:t>
            </w:r>
            <w:r>
              <w:rPr>
                <w:rFonts w:eastAsia="TimesNewRomanPSMT"/>
                <w:color w:val="auto"/>
                <w:lang w:bidi="ar"/>
              </w:rPr>
              <w:t>32</w:t>
            </w:r>
            <w:r>
              <w:rPr>
                <w:color w:val="auto"/>
                <w:lang w:bidi="ar"/>
              </w:rPr>
              <w:t>号）、《四川省大气污染防治行动计划实施细则》中的有关要求</w:t>
            </w:r>
            <w:r>
              <w:rPr>
                <w:color w:val="auto"/>
                <w:kern w:val="0"/>
              </w:rPr>
              <w:t>，为减小施工期扬尘对周围环境产生的影响，建设单位必须充分重视扬尘所带来的环境污染问题，本环评要求采取以下措施：</w:t>
            </w:r>
          </w:p>
          <w:p>
            <w:pPr>
              <w:autoSpaceDE w:val="0"/>
              <w:autoSpaceDN w:val="0"/>
              <w:adjustRightInd w:val="0"/>
              <w:snapToGrid w:val="0"/>
              <w:spacing w:line="360" w:lineRule="auto"/>
              <w:ind w:firstLine="480" w:firstLineChars="200"/>
              <w:jc w:val="left"/>
              <w:rPr>
                <w:color w:val="auto"/>
                <w:kern w:val="0"/>
              </w:rPr>
            </w:pPr>
            <w:r>
              <w:rPr>
                <w:color w:val="auto"/>
                <w:kern w:val="0"/>
              </w:rPr>
              <w:t>①施工企业要在开工前制定建筑施工现场扬尘控制措施；</w:t>
            </w:r>
          </w:p>
          <w:p>
            <w:pPr>
              <w:autoSpaceDE w:val="0"/>
              <w:autoSpaceDN w:val="0"/>
              <w:adjustRightInd w:val="0"/>
              <w:snapToGrid w:val="0"/>
              <w:spacing w:line="360" w:lineRule="auto"/>
              <w:ind w:firstLine="480" w:firstLineChars="200"/>
              <w:jc w:val="left"/>
              <w:rPr>
                <w:color w:val="auto"/>
                <w:kern w:val="0"/>
              </w:rPr>
            </w:pPr>
            <w:r>
              <w:rPr>
                <w:color w:val="auto"/>
                <w:kern w:val="0"/>
              </w:rPr>
              <w:t>②施工现场实行围挡封闭，围挡高度不得低于1.8m，围档底边应当封闭并设置防溢沉淀井，不得有泥浆外漏；</w:t>
            </w:r>
          </w:p>
          <w:p>
            <w:pPr>
              <w:autoSpaceDE w:val="0"/>
              <w:autoSpaceDN w:val="0"/>
              <w:adjustRightInd w:val="0"/>
              <w:snapToGrid w:val="0"/>
              <w:spacing w:line="360" w:lineRule="auto"/>
              <w:ind w:firstLine="480" w:firstLineChars="200"/>
              <w:jc w:val="left"/>
              <w:rPr>
                <w:color w:val="auto"/>
                <w:kern w:val="0"/>
              </w:rPr>
            </w:pPr>
            <w:r>
              <w:rPr>
                <w:color w:val="auto"/>
                <w:kern w:val="0"/>
              </w:rPr>
              <w:t>③施工现场出入口道路实施混凝土硬化并配备车辆冲洗设施。对驶出施工现场的机动车辆冲洗干净，方可上路；</w:t>
            </w:r>
          </w:p>
          <w:p>
            <w:pPr>
              <w:autoSpaceDE w:val="0"/>
              <w:autoSpaceDN w:val="0"/>
              <w:adjustRightInd w:val="0"/>
              <w:snapToGrid w:val="0"/>
              <w:spacing w:line="360" w:lineRule="auto"/>
              <w:ind w:firstLine="480" w:firstLineChars="200"/>
              <w:jc w:val="left"/>
              <w:rPr>
                <w:color w:val="auto"/>
                <w:kern w:val="0"/>
              </w:rPr>
            </w:pPr>
            <w:r>
              <w:rPr>
                <w:color w:val="auto"/>
                <w:kern w:val="0"/>
              </w:rPr>
              <w:t>④施工现场设置洒水降尘设施，保持一定的湿度，以减少扬尘量，安排专人定时洒水降尘；</w:t>
            </w:r>
          </w:p>
          <w:p>
            <w:pPr>
              <w:autoSpaceDE w:val="0"/>
              <w:autoSpaceDN w:val="0"/>
              <w:adjustRightInd w:val="0"/>
              <w:snapToGrid w:val="0"/>
              <w:spacing w:line="360" w:lineRule="auto"/>
              <w:ind w:firstLine="480" w:firstLineChars="200"/>
              <w:jc w:val="left"/>
              <w:rPr>
                <w:color w:val="auto"/>
                <w:kern w:val="0"/>
              </w:rPr>
            </w:pPr>
            <w:r>
              <w:rPr>
                <w:color w:val="auto"/>
                <w:kern w:val="0"/>
              </w:rPr>
              <w:t>⑤施工现场禁止焚烧沥青、油毡、橡胶、塑料、皮革、垃圾以及其他产生有毒有害烟尘和恶臭气体的物质；</w:t>
            </w:r>
          </w:p>
          <w:p>
            <w:pPr>
              <w:autoSpaceDE w:val="0"/>
              <w:autoSpaceDN w:val="0"/>
              <w:adjustRightInd w:val="0"/>
              <w:snapToGrid w:val="0"/>
              <w:spacing w:line="360" w:lineRule="auto"/>
              <w:ind w:firstLine="480" w:firstLineChars="200"/>
              <w:jc w:val="left"/>
              <w:rPr>
                <w:color w:val="auto"/>
                <w:kern w:val="0"/>
              </w:rPr>
            </w:pPr>
            <w:r>
              <w:rPr>
                <w:color w:val="auto"/>
                <w:kern w:val="0"/>
              </w:rPr>
              <w:t>⑥施工现场使用商品混凝土；</w:t>
            </w:r>
          </w:p>
          <w:p>
            <w:pPr>
              <w:autoSpaceDE w:val="0"/>
              <w:autoSpaceDN w:val="0"/>
              <w:adjustRightInd w:val="0"/>
              <w:snapToGrid w:val="0"/>
              <w:spacing w:line="360" w:lineRule="auto"/>
              <w:ind w:firstLine="480" w:firstLineChars="200"/>
              <w:jc w:val="left"/>
              <w:rPr>
                <w:color w:val="auto"/>
                <w:kern w:val="0"/>
              </w:rPr>
            </w:pPr>
            <w:r>
              <w:rPr>
                <w:color w:val="auto"/>
                <w:kern w:val="0"/>
              </w:rPr>
              <w:t>⑦运进或运出砂石、建筑垃圾等易产生扬尘的材料，应采取封闭运输。风速过大时停止施工作业，并对堆放的砂石等建筑材料进行遮盖处理。</w:t>
            </w:r>
          </w:p>
          <w:p>
            <w:pPr>
              <w:autoSpaceDE w:val="0"/>
              <w:autoSpaceDN w:val="0"/>
              <w:adjustRightInd w:val="0"/>
              <w:snapToGrid w:val="0"/>
              <w:spacing w:line="360" w:lineRule="auto"/>
              <w:ind w:firstLine="480" w:firstLineChars="200"/>
              <w:jc w:val="left"/>
              <w:rPr>
                <w:color w:val="auto"/>
                <w:lang w:bidi="ar"/>
              </w:rPr>
            </w:pPr>
            <w:r>
              <w:rPr>
                <w:color w:val="auto"/>
                <w:kern w:val="0"/>
              </w:rPr>
              <w:fldChar w:fldCharType="begin"/>
            </w:r>
            <w:r>
              <w:rPr>
                <w:color w:val="auto"/>
                <w:kern w:val="0"/>
              </w:rPr>
              <w:instrText xml:space="preserve"> = 8 \* GB3 \* MERGEFORMAT </w:instrText>
            </w:r>
            <w:r>
              <w:rPr>
                <w:color w:val="auto"/>
                <w:kern w:val="0"/>
              </w:rPr>
              <w:fldChar w:fldCharType="separate"/>
            </w:r>
            <w:r>
              <w:rPr>
                <w:color w:val="auto"/>
              </w:rPr>
              <w:t>⑧</w:t>
            </w:r>
            <w:r>
              <w:rPr>
                <w:color w:val="auto"/>
                <w:kern w:val="0"/>
              </w:rPr>
              <w:fldChar w:fldCharType="end"/>
            </w:r>
            <w:r>
              <w:rPr>
                <w:color w:val="auto"/>
                <w:lang w:bidi="ar"/>
              </w:rPr>
              <w:t>对于管网工程应实施分段施工，尽可能缩短工期，及时清运弃土和恢复道路；</w:t>
            </w:r>
          </w:p>
          <w:p>
            <w:pPr>
              <w:autoSpaceDE w:val="0"/>
              <w:autoSpaceDN w:val="0"/>
              <w:adjustRightInd w:val="0"/>
              <w:snapToGrid w:val="0"/>
              <w:spacing w:line="360" w:lineRule="auto"/>
              <w:ind w:firstLine="480" w:firstLineChars="200"/>
              <w:jc w:val="left"/>
              <w:rPr>
                <w:color w:val="auto"/>
                <w:lang w:bidi="ar"/>
              </w:rPr>
            </w:pPr>
            <w:r>
              <w:rPr>
                <w:color w:val="auto"/>
                <w:lang w:bidi="ar"/>
              </w:rPr>
              <w:fldChar w:fldCharType="begin"/>
            </w:r>
            <w:r>
              <w:rPr>
                <w:color w:val="auto"/>
                <w:lang w:bidi="ar"/>
              </w:rPr>
              <w:instrText xml:space="preserve"> = 9 \* GB3 \* MERGEFORMAT </w:instrText>
            </w:r>
            <w:r>
              <w:rPr>
                <w:color w:val="auto"/>
                <w:lang w:bidi="ar"/>
              </w:rPr>
              <w:fldChar w:fldCharType="separate"/>
            </w:r>
            <w:r>
              <w:rPr>
                <w:color w:val="auto"/>
              </w:rPr>
              <w:t>⑨</w:t>
            </w:r>
            <w:r>
              <w:rPr>
                <w:color w:val="auto"/>
                <w:lang w:bidi="ar"/>
              </w:rPr>
              <w:fldChar w:fldCharType="end"/>
            </w:r>
            <w:r>
              <w:rPr>
                <w:color w:val="auto"/>
                <w:lang w:bidi="ar"/>
              </w:rPr>
              <w:t>对于经过居民较集中的区域，管网应有计划有步骤组织施工，做到连续作业、快速施工，避免管网施工两侧堆积大量弃土。</w:t>
            </w:r>
          </w:p>
          <w:p>
            <w:pPr>
              <w:autoSpaceDE w:val="0"/>
              <w:autoSpaceDN w:val="0"/>
              <w:adjustRightInd w:val="0"/>
              <w:snapToGrid w:val="0"/>
              <w:spacing w:line="360" w:lineRule="auto"/>
              <w:ind w:firstLine="480" w:firstLineChars="200"/>
              <w:jc w:val="left"/>
              <w:rPr>
                <w:color w:val="auto"/>
                <w:kern w:val="0"/>
              </w:rPr>
            </w:pPr>
            <w:r>
              <w:rPr>
                <w:color w:val="auto"/>
                <w:lang w:bidi="ar"/>
              </w:rPr>
              <w:t>厂址施工产生的废气对周围敏感点没有太大影响。管网施工对沿线两侧50米范围内的敏感点影响较大。但是施工期扬尘对环境空气的影响是暂时的和可恢复的，随着施工活动的结束，施工场地进行绿化，道路、建筑物的形成，施工扬尘对周围环境的影响也将结束。</w:t>
            </w:r>
            <w:r>
              <w:rPr>
                <w:color w:val="auto"/>
                <w:kern w:val="0"/>
              </w:rPr>
              <w:t>综上所述，拟建项目施工期产生的扬尘只要采取以上措施处理后，对周边环境影响较小。</w:t>
            </w:r>
          </w:p>
          <w:p>
            <w:pPr>
              <w:autoSpaceDE w:val="0"/>
              <w:autoSpaceDN w:val="0"/>
              <w:adjustRightInd w:val="0"/>
              <w:snapToGrid w:val="0"/>
              <w:spacing w:line="360" w:lineRule="auto"/>
              <w:ind w:firstLine="360" w:firstLineChars="150"/>
              <w:jc w:val="left"/>
              <w:rPr>
                <w:color w:val="auto"/>
                <w:kern w:val="0"/>
              </w:rPr>
            </w:pPr>
            <w:r>
              <w:rPr>
                <w:color w:val="auto"/>
                <w:kern w:val="0"/>
              </w:rPr>
              <w:t>（2）汽车尾气</w:t>
            </w:r>
          </w:p>
          <w:p>
            <w:pPr>
              <w:adjustRightInd w:val="0"/>
              <w:snapToGrid w:val="0"/>
              <w:spacing w:line="360" w:lineRule="auto"/>
              <w:ind w:firstLine="482"/>
              <w:rPr>
                <w:color w:val="auto"/>
                <w:kern w:val="0"/>
              </w:rPr>
            </w:pPr>
            <w:r>
              <w:rPr>
                <w:color w:val="auto"/>
                <w:kern w:val="0"/>
              </w:rPr>
              <w:t>施工车辆（工程车）、施工机械等一般均采用柴油为燃料，产生CO、HC、NO</w:t>
            </w:r>
            <w:r>
              <w:rPr>
                <w:color w:val="auto"/>
                <w:vertAlign w:val="subscript"/>
              </w:rPr>
              <w:t>x</w:t>
            </w:r>
            <w:r>
              <w:rPr>
                <w:color w:val="auto"/>
                <w:kern w:val="0"/>
              </w:rPr>
              <w:t xml:space="preserve"> 等尾气污染物，车辆以及施工机械分布较散，大部分为流动性，产生情况表现为局部和间歇性，其排放量也较小，经自然扩散后，其对周边环境敏感点以及周边大气环境影响不大。</w:t>
            </w:r>
          </w:p>
          <w:p>
            <w:pPr>
              <w:adjustRightInd w:val="0"/>
              <w:snapToGrid w:val="0"/>
              <w:spacing w:line="360" w:lineRule="auto"/>
              <w:ind w:firstLine="480" w:firstLineChars="200"/>
              <w:rPr>
                <w:color w:val="auto"/>
                <w:kern w:val="0"/>
              </w:rPr>
            </w:pPr>
            <w:r>
              <w:rPr>
                <w:color w:val="auto"/>
                <w:kern w:val="0"/>
              </w:rPr>
              <w:t>由于本项目建设规模较小，施工时间较短，故采取上述措施后，本项目施工期产生的废气对周围环境不会产生明显的不利影响，且随着施工期的结束影响即消除。</w:t>
            </w:r>
          </w:p>
          <w:p>
            <w:pPr>
              <w:adjustRightInd w:val="0"/>
              <w:snapToGrid w:val="0"/>
              <w:spacing w:line="360" w:lineRule="auto"/>
              <w:ind w:firstLine="482" w:firstLineChars="200"/>
              <w:rPr>
                <w:b/>
                <w:bCs/>
                <w:color w:val="auto"/>
              </w:rPr>
            </w:pPr>
            <w:r>
              <w:rPr>
                <w:b/>
                <w:bCs/>
                <w:color w:val="auto"/>
              </w:rPr>
              <w:t>1.2水环境影响分析</w:t>
            </w:r>
          </w:p>
          <w:p>
            <w:pPr>
              <w:adjustRightInd w:val="0"/>
              <w:snapToGrid w:val="0"/>
              <w:spacing w:line="360" w:lineRule="auto"/>
              <w:ind w:firstLine="480" w:firstLineChars="200"/>
              <w:rPr>
                <w:color w:val="auto"/>
                <w:kern w:val="0"/>
              </w:rPr>
            </w:pPr>
            <w:r>
              <w:rPr>
                <w:color w:val="auto"/>
                <w:kern w:val="0"/>
              </w:rPr>
              <w:t>本项目施工期会产生一定的污水。污水主要是施工人员生活污水、设备清洗用水、场地喷洒用水。</w:t>
            </w:r>
          </w:p>
          <w:p>
            <w:pPr>
              <w:adjustRightInd w:val="0"/>
              <w:snapToGrid w:val="0"/>
              <w:spacing w:line="360" w:lineRule="auto"/>
              <w:ind w:firstLine="480" w:firstLineChars="200"/>
              <w:rPr>
                <w:color w:val="auto"/>
                <w:kern w:val="0"/>
              </w:rPr>
            </w:pPr>
            <w:r>
              <w:rPr>
                <w:color w:val="auto"/>
                <w:kern w:val="0"/>
              </w:rPr>
              <w:t>（1）施工人员的生活污水对地表水环境的影响</w:t>
            </w:r>
          </w:p>
          <w:p>
            <w:pPr>
              <w:adjustRightInd w:val="0"/>
              <w:snapToGrid w:val="0"/>
              <w:spacing w:line="360" w:lineRule="auto"/>
              <w:ind w:firstLine="480" w:firstLineChars="200"/>
              <w:rPr>
                <w:color w:val="auto"/>
                <w:kern w:val="0"/>
              </w:rPr>
            </w:pPr>
            <w:r>
              <w:rPr>
                <w:color w:val="auto"/>
              </w:rPr>
              <w:t>根据同类项目施工情况，本项目日最大施工人员为15人，按每天</w:t>
            </w:r>
            <w:r>
              <w:rPr>
                <w:rFonts w:hint="eastAsia"/>
                <w:color w:val="auto"/>
              </w:rPr>
              <w:t>用水</w:t>
            </w:r>
            <w:r>
              <w:rPr>
                <w:color w:val="auto"/>
              </w:rPr>
              <w:t>量</w:t>
            </w:r>
            <w:r>
              <w:rPr>
                <w:rFonts w:hint="eastAsia"/>
                <w:color w:val="auto"/>
              </w:rPr>
              <w:t>按</w:t>
            </w:r>
            <w:r>
              <w:rPr>
                <w:color w:val="auto"/>
              </w:rPr>
              <w:t>80L/人计，生活污水预计最大产生量约1.2m</w:t>
            </w:r>
            <w:r>
              <w:rPr>
                <w:color w:val="auto"/>
                <w:vertAlign w:val="superscript"/>
              </w:rPr>
              <w:t>3</w:t>
            </w:r>
            <w:r>
              <w:rPr>
                <w:color w:val="auto"/>
              </w:rPr>
              <w:t>/d，污水量排放量按用水量的80%计，则施工人员生活污水排放量为0.96m</w:t>
            </w:r>
            <w:r>
              <w:rPr>
                <w:color w:val="auto"/>
                <w:vertAlign w:val="superscript"/>
              </w:rPr>
              <w:t>3</w:t>
            </w:r>
            <w:r>
              <w:rPr>
                <w:color w:val="auto"/>
              </w:rPr>
              <w:t>/d</w:t>
            </w:r>
            <w:r>
              <w:rPr>
                <w:color w:val="auto"/>
                <w:kern w:val="0"/>
              </w:rPr>
              <w:t>。如果这些污水未经处理，随意排入附近水体，将对水质产生一定的影响。</w:t>
            </w:r>
          </w:p>
          <w:p>
            <w:pPr>
              <w:adjustRightInd w:val="0"/>
              <w:snapToGrid w:val="0"/>
              <w:spacing w:line="360" w:lineRule="auto"/>
              <w:ind w:firstLine="480" w:firstLineChars="200"/>
              <w:rPr>
                <w:color w:val="auto"/>
                <w:kern w:val="0"/>
              </w:rPr>
            </w:pPr>
            <w:r>
              <w:rPr>
                <w:color w:val="auto"/>
                <w:kern w:val="0"/>
              </w:rPr>
              <w:t>（2）施工机械等对地表水环境的影响</w:t>
            </w:r>
          </w:p>
          <w:p>
            <w:pPr>
              <w:adjustRightInd w:val="0"/>
              <w:snapToGrid w:val="0"/>
              <w:spacing w:line="360" w:lineRule="auto"/>
              <w:ind w:firstLine="480" w:firstLineChars="200"/>
              <w:rPr>
                <w:color w:val="auto"/>
                <w:kern w:val="0"/>
              </w:rPr>
            </w:pPr>
            <w:r>
              <w:rPr>
                <w:color w:val="auto"/>
                <w:kern w:val="0"/>
              </w:rPr>
              <w:t>施工过程的施工污水中含有大量的泥沙与油类，如施工机械设备等滴漏的油污，机修过程产生的残油和废油及洗涤油污水等，未加处理直接排入水道将影响水质，排入土壤则将污染土壤，因此施工废水不得直接排入水道，工程将设置洗车场并就地修建隔油沉淀池，使泥沙自然沉降，处理后的水将循环回用于冲洗车辆等，基本不外排；收集的废油送交有资质的单位处理；沉淀的泥沙风干后用于现场回填，尽量减少对周围环境的影响。</w:t>
            </w:r>
          </w:p>
          <w:p>
            <w:pPr>
              <w:adjustRightInd w:val="0"/>
              <w:snapToGrid w:val="0"/>
              <w:spacing w:line="360" w:lineRule="auto"/>
              <w:ind w:firstLine="480" w:firstLineChars="200"/>
              <w:rPr>
                <w:bCs/>
                <w:color w:val="auto"/>
              </w:rPr>
            </w:pPr>
            <w:r>
              <w:rPr>
                <w:bCs/>
                <w:color w:val="auto"/>
              </w:rPr>
              <w:t>施工期水污染防治措施如下：</w:t>
            </w:r>
          </w:p>
          <w:p>
            <w:pPr>
              <w:adjustRightInd w:val="0"/>
              <w:snapToGrid w:val="0"/>
              <w:spacing w:line="360" w:lineRule="auto"/>
              <w:ind w:firstLine="480" w:firstLineChars="200"/>
              <w:rPr>
                <w:bCs/>
                <w:color w:val="auto"/>
              </w:rPr>
            </w:pPr>
            <w:r>
              <w:rPr>
                <w:bCs/>
                <w:color w:val="auto"/>
              </w:rPr>
              <w:t>（1）生活污水</w:t>
            </w:r>
          </w:p>
          <w:p>
            <w:pPr>
              <w:adjustRightInd w:val="0"/>
              <w:snapToGrid w:val="0"/>
              <w:spacing w:line="360" w:lineRule="auto"/>
              <w:ind w:firstLine="480" w:firstLineChars="200"/>
              <w:rPr>
                <w:bCs/>
                <w:color w:val="auto"/>
              </w:rPr>
            </w:pPr>
            <w:r>
              <w:rPr>
                <w:bCs/>
                <w:color w:val="auto"/>
              </w:rPr>
              <w:t>生活污水主要包括粪便污水和清洁洗涤用水，由于本项目施工周期短，施工人员较少，生活废水可就近依托农户旱厕解决，做农肥灌溉。</w:t>
            </w:r>
          </w:p>
          <w:p>
            <w:pPr>
              <w:adjustRightInd w:val="0"/>
              <w:snapToGrid w:val="0"/>
              <w:spacing w:line="360" w:lineRule="auto"/>
              <w:ind w:firstLine="480" w:firstLineChars="200"/>
              <w:rPr>
                <w:bCs/>
                <w:color w:val="auto"/>
              </w:rPr>
            </w:pPr>
            <w:r>
              <w:rPr>
                <w:bCs/>
                <w:color w:val="auto"/>
              </w:rPr>
              <w:t>（2）施工废水</w:t>
            </w:r>
          </w:p>
          <w:p>
            <w:pPr>
              <w:adjustRightInd w:val="0"/>
              <w:snapToGrid w:val="0"/>
              <w:spacing w:line="360" w:lineRule="auto"/>
              <w:ind w:firstLine="480" w:firstLineChars="200"/>
              <w:rPr>
                <w:bCs/>
                <w:color w:val="auto"/>
              </w:rPr>
            </w:pPr>
            <w:r>
              <w:rPr>
                <w:bCs/>
                <w:color w:val="auto"/>
              </w:rPr>
              <w:t>①本项目施工区废水相对集中地设置现场处理设施，通过地沟收集各类施工废水、工区内的清洗水，进行隔油沉淀处理。处理出水全部回用，用于道路冲洗、出入工区的车辆轮胎冲洗等。</w:t>
            </w:r>
          </w:p>
          <w:p>
            <w:pPr>
              <w:adjustRightInd w:val="0"/>
              <w:snapToGrid w:val="0"/>
              <w:spacing w:line="360" w:lineRule="auto"/>
              <w:ind w:firstLine="480" w:firstLineChars="200"/>
              <w:rPr>
                <w:bCs/>
                <w:color w:val="auto"/>
              </w:rPr>
            </w:pPr>
            <w:r>
              <w:rPr>
                <w:bCs/>
                <w:color w:val="auto"/>
              </w:rPr>
              <w:t>②为防止工区临时堆放的散料被雨水冲刷造成流失，散料堆场四周可用砖块砌出高50cm的挡墙。施工材料如油料不宜堆放在河流水体附近，应选择远离河道的合适地点，并备有临时遮挡的帆布，防止大风暴雨冲刷而进入水体。</w:t>
            </w:r>
          </w:p>
          <w:p>
            <w:pPr>
              <w:adjustRightInd w:val="0"/>
              <w:snapToGrid w:val="0"/>
              <w:spacing w:line="360" w:lineRule="auto"/>
              <w:ind w:firstLine="480" w:firstLineChars="200"/>
              <w:rPr>
                <w:bCs/>
                <w:color w:val="auto"/>
              </w:rPr>
            </w:pPr>
            <w:r>
              <w:rPr>
                <w:bCs/>
                <w:color w:val="auto"/>
              </w:rPr>
              <w:t>③注意场地清洁，及时维护和修理施工机械，避免施工机械机油的跑冒滴漏，若出现漏油现象，应及时采取措施，用专用装置收集并妥善处理。</w:t>
            </w:r>
          </w:p>
          <w:p>
            <w:pPr>
              <w:adjustRightInd w:val="0"/>
              <w:snapToGrid w:val="0"/>
              <w:spacing w:line="360" w:lineRule="auto"/>
              <w:ind w:firstLine="480" w:firstLineChars="200"/>
              <w:rPr>
                <w:color w:val="auto"/>
                <w:kern w:val="0"/>
              </w:rPr>
            </w:pPr>
            <w:r>
              <w:rPr>
                <w:color w:val="auto"/>
                <w:kern w:val="0"/>
              </w:rPr>
              <w:t>④施工区合理设置截洪沟、排水沟、沉砂池，将施工废水及地下渗水收集处理后用于施工场地洒水降尘。及时清运施工弃土弃渣，尽量减少雨水对泥土的冲刷，减轻项目建设对官料河水质的影响。</w:t>
            </w:r>
          </w:p>
          <w:p>
            <w:pPr>
              <w:adjustRightInd w:val="0"/>
              <w:snapToGrid w:val="0"/>
              <w:spacing w:line="360" w:lineRule="auto"/>
              <w:ind w:firstLine="480" w:firstLineChars="200"/>
              <w:rPr>
                <w:color w:val="auto"/>
                <w:lang w:bidi="ar"/>
              </w:rPr>
            </w:pPr>
            <w:r>
              <w:rPr>
                <w:color w:val="auto"/>
                <w:kern w:val="0"/>
              </w:rPr>
              <w:t>⑤</w:t>
            </w:r>
            <w:r>
              <w:rPr>
                <w:color w:val="auto"/>
                <w:lang w:bidi="ar"/>
              </w:rPr>
              <w:t>施工单位对施工场地用水应严格管理，贯彻“一水多用、重复利用、节约用水”的原则，尽量减少废水及污染物的排放量，减轻对地表水环境的影响。</w:t>
            </w:r>
          </w:p>
          <w:p>
            <w:pPr>
              <w:adjustRightInd w:val="0"/>
              <w:snapToGrid w:val="0"/>
              <w:spacing w:line="360" w:lineRule="auto"/>
              <w:ind w:firstLine="480" w:firstLineChars="200"/>
              <w:outlineLvl w:val="1"/>
              <w:rPr>
                <w:color w:val="auto"/>
              </w:rPr>
            </w:pPr>
            <w:r>
              <w:rPr>
                <w:color w:val="auto"/>
                <w:lang w:bidi="ar"/>
              </w:rPr>
              <w:t>综上所述，本项目施工期污水排放量不是很大，当建设方采取上述措施后，施工期产生的各种废水对当地地表水环境的影响比较小，不会改变当地的地表水环境质量的功能。从施工废水对当地地表水环境质量影响的角度分析，本项目的施工建设是可行的。</w:t>
            </w:r>
          </w:p>
          <w:p>
            <w:pPr>
              <w:adjustRightInd w:val="0"/>
              <w:snapToGrid w:val="0"/>
              <w:spacing w:line="360" w:lineRule="auto"/>
              <w:ind w:firstLine="482" w:firstLineChars="200"/>
              <w:rPr>
                <w:b/>
                <w:bCs/>
                <w:color w:val="auto"/>
              </w:rPr>
            </w:pPr>
            <w:r>
              <w:rPr>
                <w:b/>
                <w:bCs/>
                <w:color w:val="auto"/>
              </w:rPr>
              <w:t>1.3声环境影响分析</w:t>
            </w:r>
          </w:p>
          <w:p>
            <w:pPr>
              <w:adjustRightInd w:val="0"/>
              <w:snapToGrid w:val="0"/>
              <w:spacing w:line="360" w:lineRule="auto"/>
              <w:ind w:firstLine="480" w:firstLineChars="200"/>
              <w:rPr>
                <w:color w:val="auto"/>
                <w:kern w:val="0"/>
              </w:rPr>
            </w:pPr>
            <w:r>
              <w:rPr>
                <w:color w:val="auto"/>
                <w:kern w:val="0"/>
              </w:rPr>
              <w:t>土建施工期噪声具有阶段性、临时性和不固定性。据同类型调研，本项目建设期的噪声主要来自装修是产生的施工作业噪声。在多台机械设备同时作业时，各台设备产生的噪声会产生叠加，根据类比调查，叠加后的噪声增值约为3~8dB。</w:t>
            </w:r>
          </w:p>
          <w:p>
            <w:pPr>
              <w:adjustRightInd w:val="0"/>
              <w:snapToGrid w:val="0"/>
              <w:spacing w:line="360" w:lineRule="auto"/>
              <w:ind w:firstLine="480" w:firstLineChars="200"/>
              <w:rPr>
                <w:color w:val="auto"/>
                <w:kern w:val="0"/>
              </w:rPr>
            </w:pPr>
            <w:r>
              <w:rPr>
                <w:color w:val="auto"/>
                <w:kern w:val="0"/>
              </w:rPr>
              <w:t>（1）施工期噪声控制标准</w:t>
            </w:r>
          </w:p>
          <w:p>
            <w:pPr>
              <w:adjustRightInd w:val="0"/>
              <w:snapToGrid w:val="0"/>
              <w:spacing w:line="360" w:lineRule="auto"/>
              <w:ind w:firstLine="480" w:firstLineChars="200"/>
              <w:rPr>
                <w:color w:val="auto"/>
                <w:kern w:val="0"/>
              </w:rPr>
            </w:pPr>
            <w:r>
              <w:rPr>
                <w:color w:val="auto"/>
                <w:kern w:val="0"/>
              </w:rPr>
              <w:t>本项目施工期机械设备噪声对环境的影响参照《建筑施工场界环境噪声排放标准》（GB12523-2011）标准，其标准限值见表7-4。</w:t>
            </w:r>
          </w:p>
          <w:p>
            <w:pPr>
              <w:adjustRightInd w:val="0"/>
              <w:snapToGrid w:val="0"/>
              <w:spacing w:line="360" w:lineRule="auto"/>
              <w:jc w:val="center"/>
              <w:rPr>
                <w:b/>
                <w:color w:val="auto"/>
                <w:sz w:val="21"/>
                <w:szCs w:val="21"/>
              </w:rPr>
            </w:pPr>
            <w:r>
              <w:rPr>
                <w:rFonts w:eastAsia="黑体"/>
                <w:bCs/>
                <w:color w:val="auto"/>
              </w:rPr>
              <w:t>表7-4  建筑施工场界环境噪声排放标准（GB12523-2011）</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4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5" w:type="dxa"/>
                  <w:noWrap w:val="0"/>
                  <w:vAlign w:val="center"/>
                </w:tcPr>
                <w:p>
                  <w:pPr>
                    <w:jc w:val="center"/>
                    <w:rPr>
                      <w:b/>
                      <w:bCs/>
                      <w:color w:val="auto"/>
                      <w:sz w:val="21"/>
                    </w:rPr>
                  </w:pPr>
                  <w:r>
                    <w:rPr>
                      <w:b/>
                      <w:bCs/>
                      <w:color w:val="auto"/>
                      <w:sz w:val="21"/>
                    </w:rPr>
                    <w:t>昼间dB(A)</w:t>
                  </w:r>
                </w:p>
              </w:tc>
              <w:tc>
                <w:tcPr>
                  <w:tcW w:w="4395" w:type="dxa"/>
                  <w:noWrap w:val="0"/>
                  <w:vAlign w:val="center"/>
                </w:tcPr>
                <w:p>
                  <w:pPr>
                    <w:jc w:val="center"/>
                    <w:rPr>
                      <w:b/>
                      <w:bCs/>
                      <w:color w:val="auto"/>
                      <w:sz w:val="21"/>
                    </w:rPr>
                  </w:pPr>
                  <w:r>
                    <w:rPr>
                      <w:b/>
                      <w:bCs/>
                      <w:color w:val="auto"/>
                      <w:sz w:val="21"/>
                    </w:rPr>
                    <w:t>夜间dB(A)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45" w:type="dxa"/>
                  <w:noWrap w:val="0"/>
                  <w:vAlign w:val="center"/>
                </w:tcPr>
                <w:p>
                  <w:pPr>
                    <w:jc w:val="center"/>
                    <w:rPr>
                      <w:color w:val="auto"/>
                      <w:sz w:val="21"/>
                    </w:rPr>
                  </w:pPr>
                  <w:r>
                    <w:rPr>
                      <w:color w:val="auto"/>
                      <w:sz w:val="21"/>
                    </w:rPr>
                    <w:t>70</w:t>
                  </w:r>
                </w:p>
              </w:tc>
              <w:tc>
                <w:tcPr>
                  <w:tcW w:w="4395" w:type="dxa"/>
                  <w:noWrap w:val="0"/>
                  <w:vAlign w:val="center"/>
                </w:tcPr>
                <w:p>
                  <w:pPr>
                    <w:jc w:val="center"/>
                    <w:rPr>
                      <w:color w:val="auto"/>
                      <w:sz w:val="21"/>
                    </w:rPr>
                  </w:pPr>
                  <w:r>
                    <w:rPr>
                      <w:color w:val="auto"/>
                      <w:sz w:val="21"/>
                    </w:rPr>
                    <w:t>55</w:t>
                  </w:r>
                </w:p>
              </w:tc>
            </w:tr>
          </w:tbl>
          <w:p>
            <w:pPr>
              <w:spacing w:line="360" w:lineRule="auto"/>
              <w:ind w:firstLine="360" w:firstLineChars="150"/>
              <w:rPr>
                <w:color w:val="auto"/>
                <w:kern w:val="0"/>
              </w:rPr>
            </w:pPr>
            <w:r>
              <w:rPr>
                <w:color w:val="auto"/>
                <w:kern w:val="0"/>
              </w:rPr>
              <w:t>（2）施工期噪声衰减情况</w:t>
            </w:r>
          </w:p>
          <w:p>
            <w:pPr>
              <w:spacing w:line="360" w:lineRule="auto"/>
              <w:ind w:firstLine="480"/>
              <w:rPr>
                <w:color w:val="auto"/>
                <w:kern w:val="0"/>
              </w:rPr>
            </w:pPr>
            <w:r>
              <w:rPr>
                <w:color w:val="auto"/>
                <w:kern w:val="0"/>
              </w:rPr>
              <w:t>由于本工程非特殊工程，不需特殊的施工机械，施工过程产生的噪声主要属于中低频噪声，因此在预测其影响时可单独考虑其扩散衰减，即预模型可选用：</w:t>
            </w:r>
          </w:p>
          <w:p>
            <w:pPr>
              <w:spacing w:line="360" w:lineRule="auto"/>
              <w:ind w:firstLine="480"/>
              <w:jc w:val="center"/>
              <w:rPr>
                <w:color w:val="auto"/>
                <w:kern w:val="0"/>
              </w:rPr>
            </w:pPr>
            <w:r>
              <w:rPr>
                <w:color w:val="auto"/>
                <w:kern w:val="0"/>
              </w:rPr>
              <w:t>L</w:t>
            </w:r>
            <w:r>
              <w:rPr>
                <w:color w:val="auto"/>
                <w:kern w:val="0"/>
                <w:vertAlign w:val="subscript"/>
              </w:rPr>
              <w:t>2</w:t>
            </w:r>
            <w:r>
              <w:rPr>
                <w:color w:val="auto"/>
                <w:kern w:val="0"/>
              </w:rPr>
              <w:t>=L</w:t>
            </w:r>
            <w:r>
              <w:rPr>
                <w:color w:val="auto"/>
                <w:kern w:val="0"/>
                <w:vertAlign w:val="subscript"/>
              </w:rPr>
              <w:t>1</w:t>
            </w:r>
            <w:r>
              <w:rPr>
                <w:color w:val="auto"/>
                <w:kern w:val="0"/>
              </w:rPr>
              <w:t>-20lgr</w:t>
            </w:r>
            <w:r>
              <w:rPr>
                <w:color w:val="auto"/>
                <w:kern w:val="0"/>
                <w:vertAlign w:val="subscript"/>
              </w:rPr>
              <w:t>2</w:t>
            </w:r>
            <w:r>
              <w:rPr>
                <w:color w:val="auto"/>
                <w:kern w:val="0"/>
              </w:rPr>
              <w:t>/r</w:t>
            </w:r>
            <w:r>
              <w:rPr>
                <w:color w:val="auto"/>
                <w:kern w:val="0"/>
                <w:vertAlign w:val="subscript"/>
              </w:rPr>
              <w:t>1</w:t>
            </w:r>
            <w:r>
              <w:rPr>
                <w:color w:val="auto"/>
                <w:kern w:val="0"/>
              </w:rPr>
              <w:t xml:space="preserve"> (r</w:t>
            </w:r>
            <w:r>
              <w:rPr>
                <w:color w:val="auto"/>
                <w:kern w:val="0"/>
                <w:vertAlign w:val="subscript"/>
              </w:rPr>
              <w:t>2</w:t>
            </w:r>
            <w:r>
              <w:rPr>
                <w:color w:val="auto"/>
                <w:kern w:val="0"/>
              </w:rPr>
              <w:t>&gt;r</w:t>
            </w:r>
            <w:r>
              <w:rPr>
                <w:color w:val="auto"/>
                <w:kern w:val="0"/>
                <w:vertAlign w:val="subscript"/>
              </w:rPr>
              <w:t>1</w:t>
            </w:r>
            <w:r>
              <w:rPr>
                <w:color w:val="auto"/>
                <w:kern w:val="0"/>
              </w:rPr>
              <w:t>)</w:t>
            </w:r>
          </w:p>
          <w:p>
            <w:pPr>
              <w:spacing w:line="360" w:lineRule="auto"/>
              <w:ind w:firstLine="480"/>
              <w:rPr>
                <w:color w:val="auto"/>
                <w:kern w:val="0"/>
              </w:rPr>
            </w:pPr>
            <w:r>
              <w:rPr>
                <w:color w:val="auto"/>
                <w:kern w:val="0"/>
              </w:rPr>
              <w:t>式中：L</w:t>
            </w:r>
            <w:r>
              <w:rPr>
                <w:color w:val="auto"/>
                <w:kern w:val="0"/>
                <w:vertAlign w:val="subscript"/>
              </w:rPr>
              <w:t>1</w:t>
            </w:r>
            <w:r>
              <w:rPr>
                <w:color w:val="auto"/>
                <w:kern w:val="0"/>
              </w:rPr>
              <w:t>、L</w:t>
            </w:r>
            <w:r>
              <w:rPr>
                <w:color w:val="auto"/>
                <w:kern w:val="0"/>
                <w:vertAlign w:val="subscript"/>
              </w:rPr>
              <w:t>2</w:t>
            </w:r>
            <w:r>
              <w:rPr>
                <w:color w:val="auto"/>
                <w:kern w:val="0"/>
              </w:rPr>
              <w:t>分别为距声源r</w:t>
            </w:r>
            <w:r>
              <w:rPr>
                <w:color w:val="auto"/>
                <w:kern w:val="0"/>
                <w:vertAlign w:val="subscript"/>
              </w:rPr>
              <w:t>1</w:t>
            </w:r>
            <w:r>
              <w:rPr>
                <w:color w:val="auto"/>
                <w:kern w:val="0"/>
              </w:rPr>
              <w:t>、r</w:t>
            </w:r>
            <w:r>
              <w:rPr>
                <w:color w:val="auto"/>
                <w:kern w:val="0"/>
                <w:vertAlign w:val="subscript"/>
              </w:rPr>
              <w:t>2</w:t>
            </w:r>
            <w:r>
              <w:rPr>
                <w:color w:val="auto"/>
                <w:kern w:val="0"/>
              </w:rPr>
              <w:t>处的等效A声级，dB（A）；</w:t>
            </w:r>
          </w:p>
          <w:p>
            <w:pPr>
              <w:spacing w:line="360" w:lineRule="auto"/>
              <w:ind w:firstLine="1200" w:firstLineChars="500"/>
              <w:rPr>
                <w:color w:val="auto"/>
                <w:kern w:val="0"/>
              </w:rPr>
            </w:pPr>
            <w:r>
              <w:rPr>
                <w:color w:val="auto"/>
                <w:kern w:val="0"/>
              </w:rPr>
              <w:t>r</w:t>
            </w:r>
            <w:r>
              <w:rPr>
                <w:color w:val="auto"/>
                <w:kern w:val="0"/>
                <w:vertAlign w:val="subscript"/>
              </w:rPr>
              <w:t>1</w:t>
            </w:r>
            <w:r>
              <w:rPr>
                <w:color w:val="auto"/>
                <w:kern w:val="0"/>
              </w:rPr>
              <w:t>、r</w:t>
            </w:r>
            <w:r>
              <w:rPr>
                <w:color w:val="auto"/>
                <w:kern w:val="0"/>
                <w:vertAlign w:val="subscript"/>
              </w:rPr>
              <w:t>2</w:t>
            </w:r>
            <w:r>
              <w:rPr>
                <w:color w:val="auto"/>
                <w:kern w:val="0"/>
              </w:rPr>
              <w:t>为接受点距声源的距离，m。</w:t>
            </w:r>
          </w:p>
          <w:p>
            <w:pPr>
              <w:spacing w:line="360" w:lineRule="auto"/>
              <w:ind w:firstLine="480"/>
              <w:rPr>
                <w:color w:val="auto"/>
                <w:kern w:val="0"/>
              </w:rPr>
            </w:pPr>
            <w:r>
              <w:rPr>
                <w:color w:val="auto"/>
                <w:kern w:val="0"/>
              </w:rPr>
              <w:t>由上式可推出噪声随距离增加而衰减的量△L：</w:t>
            </w:r>
          </w:p>
          <w:p>
            <w:pPr>
              <w:spacing w:line="360" w:lineRule="auto"/>
              <w:ind w:firstLine="480"/>
              <w:jc w:val="center"/>
              <w:rPr>
                <w:color w:val="auto"/>
                <w:kern w:val="0"/>
              </w:rPr>
            </w:pPr>
            <w:r>
              <w:rPr>
                <w:color w:val="auto"/>
                <w:kern w:val="0"/>
              </w:rPr>
              <w:t>△L=L</w:t>
            </w:r>
            <w:r>
              <w:rPr>
                <w:color w:val="auto"/>
                <w:kern w:val="0"/>
                <w:vertAlign w:val="subscript"/>
              </w:rPr>
              <w:t>1</w:t>
            </w:r>
            <w:r>
              <w:rPr>
                <w:color w:val="auto"/>
                <w:kern w:val="0"/>
              </w:rPr>
              <w:t>-L</w:t>
            </w:r>
            <w:r>
              <w:rPr>
                <w:color w:val="auto"/>
                <w:kern w:val="0"/>
                <w:vertAlign w:val="subscript"/>
              </w:rPr>
              <w:t>2</w:t>
            </w:r>
            <w:r>
              <w:rPr>
                <w:color w:val="auto"/>
                <w:kern w:val="0"/>
              </w:rPr>
              <w:t>=20lgr</w:t>
            </w:r>
            <w:r>
              <w:rPr>
                <w:color w:val="auto"/>
                <w:kern w:val="0"/>
                <w:vertAlign w:val="subscript"/>
              </w:rPr>
              <w:t>2</w:t>
            </w:r>
            <w:r>
              <w:rPr>
                <w:color w:val="auto"/>
                <w:kern w:val="0"/>
              </w:rPr>
              <w:t>/r</w:t>
            </w:r>
            <w:r>
              <w:rPr>
                <w:color w:val="auto"/>
                <w:kern w:val="0"/>
                <w:vertAlign w:val="subscript"/>
              </w:rPr>
              <w:t>1</w:t>
            </w:r>
          </w:p>
          <w:p>
            <w:pPr>
              <w:spacing w:line="360" w:lineRule="auto"/>
              <w:ind w:firstLine="480"/>
              <w:rPr>
                <w:b/>
                <w:color w:val="auto"/>
              </w:rPr>
            </w:pPr>
            <w:r>
              <w:rPr>
                <w:color w:val="auto"/>
                <w:kern w:val="0"/>
              </w:rPr>
              <w:t>经计算，噪声值随距离衰减的结果衰减的结果见表7-5。</w:t>
            </w:r>
          </w:p>
          <w:p>
            <w:pPr>
              <w:spacing w:line="360" w:lineRule="auto"/>
              <w:jc w:val="center"/>
              <w:rPr>
                <w:rFonts w:eastAsia="黑体"/>
                <w:bCs/>
                <w:color w:val="auto"/>
              </w:rPr>
            </w:pPr>
            <w:r>
              <w:rPr>
                <w:rFonts w:eastAsia="黑体"/>
                <w:bCs/>
                <w:color w:val="auto"/>
              </w:rPr>
              <w:t>表7-5  噪声值随距离的衰减关系</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992"/>
              <w:gridCol w:w="998"/>
              <w:gridCol w:w="998"/>
              <w:gridCol w:w="1011"/>
              <w:gridCol w:w="1011"/>
              <w:gridCol w:w="1011"/>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69" w:type="dxa"/>
                  <w:noWrap w:val="0"/>
                  <w:vAlign w:val="center"/>
                </w:tcPr>
                <w:p>
                  <w:pPr>
                    <w:snapToGrid w:val="0"/>
                    <w:jc w:val="center"/>
                    <w:rPr>
                      <w:color w:val="auto"/>
                      <w:sz w:val="21"/>
                      <w:szCs w:val="21"/>
                    </w:rPr>
                  </w:pPr>
                  <w:r>
                    <w:rPr>
                      <w:color w:val="auto"/>
                      <w:sz w:val="21"/>
                      <w:szCs w:val="21"/>
                    </w:rPr>
                    <w:t>距离(m)</w:t>
                  </w:r>
                </w:p>
              </w:tc>
              <w:tc>
                <w:tcPr>
                  <w:tcW w:w="992" w:type="dxa"/>
                  <w:noWrap w:val="0"/>
                  <w:vAlign w:val="center"/>
                </w:tcPr>
                <w:p>
                  <w:pPr>
                    <w:snapToGrid w:val="0"/>
                    <w:jc w:val="center"/>
                    <w:rPr>
                      <w:color w:val="auto"/>
                      <w:sz w:val="21"/>
                      <w:szCs w:val="21"/>
                    </w:rPr>
                  </w:pPr>
                  <w:r>
                    <w:rPr>
                      <w:color w:val="auto"/>
                      <w:sz w:val="21"/>
                      <w:szCs w:val="21"/>
                    </w:rPr>
                    <w:t>1</w:t>
                  </w:r>
                </w:p>
              </w:tc>
              <w:tc>
                <w:tcPr>
                  <w:tcW w:w="998" w:type="dxa"/>
                  <w:noWrap w:val="0"/>
                  <w:vAlign w:val="center"/>
                </w:tcPr>
                <w:p>
                  <w:pPr>
                    <w:snapToGrid w:val="0"/>
                    <w:jc w:val="center"/>
                    <w:rPr>
                      <w:color w:val="auto"/>
                      <w:sz w:val="21"/>
                      <w:szCs w:val="21"/>
                    </w:rPr>
                  </w:pPr>
                  <w:r>
                    <w:rPr>
                      <w:color w:val="auto"/>
                      <w:sz w:val="21"/>
                      <w:szCs w:val="21"/>
                    </w:rPr>
                    <w:t>10</w:t>
                  </w:r>
                </w:p>
              </w:tc>
              <w:tc>
                <w:tcPr>
                  <w:tcW w:w="998" w:type="dxa"/>
                  <w:noWrap w:val="0"/>
                  <w:vAlign w:val="center"/>
                </w:tcPr>
                <w:p>
                  <w:pPr>
                    <w:snapToGrid w:val="0"/>
                    <w:jc w:val="center"/>
                    <w:rPr>
                      <w:color w:val="auto"/>
                      <w:sz w:val="21"/>
                      <w:szCs w:val="21"/>
                    </w:rPr>
                  </w:pPr>
                  <w:r>
                    <w:rPr>
                      <w:color w:val="auto"/>
                      <w:sz w:val="21"/>
                      <w:szCs w:val="21"/>
                    </w:rPr>
                    <w:t>50</w:t>
                  </w:r>
                </w:p>
              </w:tc>
              <w:tc>
                <w:tcPr>
                  <w:tcW w:w="1011" w:type="dxa"/>
                  <w:noWrap w:val="0"/>
                  <w:vAlign w:val="center"/>
                </w:tcPr>
                <w:p>
                  <w:pPr>
                    <w:snapToGrid w:val="0"/>
                    <w:jc w:val="center"/>
                    <w:rPr>
                      <w:color w:val="auto"/>
                      <w:sz w:val="21"/>
                      <w:szCs w:val="21"/>
                    </w:rPr>
                  </w:pPr>
                  <w:r>
                    <w:rPr>
                      <w:color w:val="auto"/>
                      <w:sz w:val="21"/>
                      <w:szCs w:val="21"/>
                    </w:rPr>
                    <w:t>100</w:t>
                  </w:r>
                </w:p>
              </w:tc>
              <w:tc>
                <w:tcPr>
                  <w:tcW w:w="1011" w:type="dxa"/>
                  <w:noWrap w:val="0"/>
                  <w:vAlign w:val="center"/>
                </w:tcPr>
                <w:p>
                  <w:pPr>
                    <w:snapToGrid w:val="0"/>
                    <w:jc w:val="center"/>
                    <w:rPr>
                      <w:color w:val="auto"/>
                      <w:sz w:val="21"/>
                      <w:szCs w:val="21"/>
                    </w:rPr>
                  </w:pPr>
                  <w:r>
                    <w:rPr>
                      <w:color w:val="auto"/>
                      <w:sz w:val="21"/>
                      <w:szCs w:val="21"/>
                    </w:rPr>
                    <w:t>150</w:t>
                  </w:r>
                </w:p>
              </w:tc>
              <w:tc>
                <w:tcPr>
                  <w:tcW w:w="1011" w:type="dxa"/>
                  <w:noWrap w:val="0"/>
                  <w:vAlign w:val="center"/>
                </w:tcPr>
                <w:p>
                  <w:pPr>
                    <w:snapToGrid w:val="0"/>
                    <w:jc w:val="center"/>
                    <w:rPr>
                      <w:color w:val="auto"/>
                      <w:sz w:val="21"/>
                      <w:szCs w:val="21"/>
                    </w:rPr>
                  </w:pPr>
                  <w:r>
                    <w:rPr>
                      <w:color w:val="auto"/>
                      <w:sz w:val="21"/>
                      <w:szCs w:val="21"/>
                    </w:rPr>
                    <w:t>200</w:t>
                  </w:r>
                </w:p>
              </w:tc>
              <w:tc>
                <w:tcPr>
                  <w:tcW w:w="1011" w:type="dxa"/>
                  <w:noWrap w:val="0"/>
                  <w:vAlign w:val="center"/>
                </w:tcPr>
                <w:p>
                  <w:pPr>
                    <w:snapToGrid w:val="0"/>
                    <w:jc w:val="center"/>
                    <w:rPr>
                      <w:color w:val="auto"/>
                      <w:sz w:val="21"/>
                      <w:szCs w:val="21"/>
                    </w:rPr>
                  </w:pPr>
                  <w:r>
                    <w:rPr>
                      <w:color w:val="auto"/>
                      <w:sz w:val="21"/>
                      <w:szCs w:val="21"/>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69" w:type="dxa"/>
                  <w:noWrap w:val="0"/>
                  <w:vAlign w:val="center"/>
                </w:tcPr>
                <w:p>
                  <w:pPr>
                    <w:snapToGrid w:val="0"/>
                    <w:jc w:val="center"/>
                    <w:rPr>
                      <w:color w:val="auto"/>
                      <w:sz w:val="21"/>
                      <w:szCs w:val="21"/>
                    </w:rPr>
                  </w:pPr>
                  <w:r>
                    <w:rPr>
                      <w:color w:val="auto"/>
                      <w:sz w:val="21"/>
                      <w:szCs w:val="21"/>
                    </w:rPr>
                    <w:t>△L dB(A)</w:t>
                  </w:r>
                </w:p>
              </w:tc>
              <w:tc>
                <w:tcPr>
                  <w:tcW w:w="992" w:type="dxa"/>
                  <w:noWrap w:val="0"/>
                  <w:vAlign w:val="center"/>
                </w:tcPr>
                <w:p>
                  <w:pPr>
                    <w:snapToGrid w:val="0"/>
                    <w:jc w:val="center"/>
                    <w:rPr>
                      <w:color w:val="auto"/>
                      <w:sz w:val="21"/>
                      <w:szCs w:val="21"/>
                    </w:rPr>
                  </w:pPr>
                  <w:r>
                    <w:rPr>
                      <w:color w:val="auto"/>
                      <w:sz w:val="21"/>
                      <w:szCs w:val="21"/>
                    </w:rPr>
                    <w:t>0</w:t>
                  </w:r>
                </w:p>
              </w:tc>
              <w:tc>
                <w:tcPr>
                  <w:tcW w:w="998" w:type="dxa"/>
                  <w:noWrap w:val="0"/>
                  <w:vAlign w:val="center"/>
                </w:tcPr>
                <w:p>
                  <w:pPr>
                    <w:snapToGrid w:val="0"/>
                    <w:jc w:val="center"/>
                    <w:rPr>
                      <w:color w:val="auto"/>
                      <w:sz w:val="21"/>
                      <w:szCs w:val="21"/>
                    </w:rPr>
                  </w:pPr>
                  <w:r>
                    <w:rPr>
                      <w:color w:val="auto"/>
                      <w:sz w:val="21"/>
                      <w:szCs w:val="21"/>
                    </w:rPr>
                    <w:t>20</w:t>
                  </w:r>
                </w:p>
              </w:tc>
              <w:tc>
                <w:tcPr>
                  <w:tcW w:w="998" w:type="dxa"/>
                  <w:noWrap w:val="0"/>
                  <w:vAlign w:val="center"/>
                </w:tcPr>
                <w:p>
                  <w:pPr>
                    <w:snapToGrid w:val="0"/>
                    <w:jc w:val="center"/>
                    <w:rPr>
                      <w:color w:val="auto"/>
                      <w:sz w:val="21"/>
                      <w:szCs w:val="21"/>
                    </w:rPr>
                  </w:pPr>
                  <w:r>
                    <w:rPr>
                      <w:color w:val="auto"/>
                      <w:sz w:val="21"/>
                      <w:szCs w:val="21"/>
                    </w:rPr>
                    <w:t>34</w:t>
                  </w:r>
                </w:p>
              </w:tc>
              <w:tc>
                <w:tcPr>
                  <w:tcW w:w="1011" w:type="dxa"/>
                  <w:noWrap w:val="0"/>
                  <w:vAlign w:val="center"/>
                </w:tcPr>
                <w:p>
                  <w:pPr>
                    <w:snapToGrid w:val="0"/>
                    <w:jc w:val="center"/>
                    <w:rPr>
                      <w:color w:val="auto"/>
                      <w:sz w:val="21"/>
                      <w:szCs w:val="21"/>
                    </w:rPr>
                  </w:pPr>
                  <w:r>
                    <w:rPr>
                      <w:color w:val="auto"/>
                      <w:sz w:val="21"/>
                      <w:szCs w:val="21"/>
                    </w:rPr>
                    <w:t>40</w:t>
                  </w:r>
                </w:p>
              </w:tc>
              <w:tc>
                <w:tcPr>
                  <w:tcW w:w="1011" w:type="dxa"/>
                  <w:noWrap w:val="0"/>
                  <w:vAlign w:val="center"/>
                </w:tcPr>
                <w:p>
                  <w:pPr>
                    <w:snapToGrid w:val="0"/>
                    <w:jc w:val="center"/>
                    <w:rPr>
                      <w:color w:val="auto"/>
                      <w:sz w:val="21"/>
                      <w:szCs w:val="21"/>
                    </w:rPr>
                  </w:pPr>
                  <w:r>
                    <w:rPr>
                      <w:color w:val="auto"/>
                      <w:sz w:val="21"/>
                      <w:szCs w:val="21"/>
                    </w:rPr>
                    <w:t>43</w:t>
                  </w:r>
                </w:p>
              </w:tc>
              <w:tc>
                <w:tcPr>
                  <w:tcW w:w="1011" w:type="dxa"/>
                  <w:noWrap w:val="0"/>
                  <w:vAlign w:val="center"/>
                </w:tcPr>
                <w:p>
                  <w:pPr>
                    <w:snapToGrid w:val="0"/>
                    <w:jc w:val="center"/>
                    <w:rPr>
                      <w:color w:val="auto"/>
                      <w:sz w:val="21"/>
                      <w:szCs w:val="21"/>
                    </w:rPr>
                  </w:pPr>
                  <w:r>
                    <w:rPr>
                      <w:color w:val="auto"/>
                      <w:sz w:val="21"/>
                      <w:szCs w:val="21"/>
                    </w:rPr>
                    <w:t>46</w:t>
                  </w:r>
                </w:p>
              </w:tc>
              <w:tc>
                <w:tcPr>
                  <w:tcW w:w="1011" w:type="dxa"/>
                  <w:noWrap w:val="0"/>
                  <w:vAlign w:val="center"/>
                </w:tcPr>
                <w:p>
                  <w:pPr>
                    <w:snapToGrid w:val="0"/>
                    <w:jc w:val="center"/>
                    <w:rPr>
                      <w:color w:val="auto"/>
                      <w:sz w:val="21"/>
                      <w:szCs w:val="21"/>
                    </w:rPr>
                  </w:pPr>
                  <w:r>
                    <w:rPr>
                      <w:color w:val="auto"/>
                      <w:sz w:val="21"/>
                      <w:szCs w:val="21"/>
                    </w:rPr>
                    <w:t>57</w:t>
                  </w:r>
                </w:p>
              </w:tc>
            </w:tr>
          </w:tbl>
          <w:p>
            <w:pPr>
              <w:spacing w:line="360" w:lineRule="auto"/>
              <w:ind w:firstLine="480"/>
              <w:rPr>
                <w:b/>
                <w:color w:val="auto"/>
              </w:rPr>
            </w:pPr>
            <w:r>
              <w:rPr>
                <w:color w:val="auto"/>
                <w:kern w:val="0"/>
              </w:rPr>
              <w:t>参照表5-3中设备噪声声压级，各阶段均以噪声最高的设备计算，在不考虑沿途吸声、隔声措施的前提下，工程施工噪声随距离衰减后的结果如表7-6所示。</w:t>
            </w:r>
          </w:p>
          <w:p>
            <w:pPr>
              <w:spacing w:line="360" w:lineRule="auto"/>
              <w:jc w:val="center"/>
              <w:rPr>
                <w:rFonts w:eastAsia="黑体"/>
                <w:bCs/>
                <w:color w:val="auto"/>
              </w:rPr>
            </w:pPr>
            <w:r>
              <w:rPr>
                <w:rFonts w:eastAsia="黑体"/>
                <w:bCs/>
                <w:color w:val="auto"/>
              </w:rPr>
              <w:t>表7-6  施工噪声值随距离的衰减值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575"/>
              <w:gridCol w:w="811"/>
              <w:gridCol w:w="811"/>
              <w:gridCol w:w="811"/>
              <w:gridCol w:w="811"/>
              <w:gridCol w:w="811"/>
              <w:gridCol w:w="811"/>
              <w:gridCol w:w="811"/>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3" w:type="dxa"/>
                  <w:noWrap w:val="0"/>
                  <w:vAlign w:val="center"/>
                </w:tcPr>
                <w:p>
                  <w:pPr>
                    <w:pStyle w:val="55"/>
                    <w:rPr>
                      <w:color w:val="auto"/>
                    </w:rPr>
                  </w:pPr>
                  <w:r>
                    <w:rPr>
                      <w:color w:val="auto"/>
                    </w:rPr>
                    <w:t>阶段</w:t>
                  </w:r>
                </w:p>
              </w:tc>
              <w:tc>
                <w:tcPr>
                  <w:tcW w:w="1575" w:type="dxa"/>
                  <w:noWrap w:val="0"/>
                  <w:vAlign w:val="center"/>
                </w:tcPr>
                <w:p>
                  <w:pPr>
                    <w:pStyle w:val="55"/>
                    <w:rPr>
                      <w:color w:val="auto"/>
                    </w:rPr>
                  </w:pPr>
                  <w:r>
                    <w:rPr>
                      <w:color w:val="auto"/>
                    </w:rPr>
                    <w:t>距离（m）</w:t>
                  </w:r>
                </w:p>
                <w:p>
                  <w:pPr>
                    <w:pStyle w:val="55"/>
                    <w:rPr>
                      <w:color w:val="auto"/>
                    </w:rPr>
                  </w:pPr>
                  <w:r>
                    <w:rPr>
                      <w:color w:val="auto"/>
                    </w:rPr>
                    <w:t>声源值 dB(A)</w:t>
                  </w:r>
                </w:p>
              </w:tc>
              <w:tc>
                <w:tcPr>
                  <w:tcW w:w="811" w:type="dxa"/>
                  <w:noWrap w:val="0"/>
                  <w:vAlign w:val="center"/>
                </w:tcPr>
                <w:p>
                  <w:pPr>
                    <w:pStyle w:val="55"/>
                    <w:rPr>
                      <w:color w:val="auto"/>
                    </w:rPr>
                  </w:pPr>
                  <w:r>
                    <w:rPr>
                      <w:color w:val="auto"/>
                    </w:rPr>
                    <w:t>10</w:t>
                  </w:r>
                </w:p>
              </w:tc>
              <w:tc>
                <w:tcPr>
                  <w:tcW w:w="811" w:type="dxa"/>
                  <w:noWrap w:val="0"/>
                  <w:vAlign w:val="center"/>
                </w:tcPr>
                <w:p>
                  <w:pPr>
                    <w:pStyle w:val="55"/>
                    <w:rPr>
                      <w:color w:val="auto"/>
                    </w:rPr>
                  </w:pPr>
                  <w:r>
                    <w:rPr>
                      <w:color w:val="auto"/>
                    </w:rPr>
                    <w:t>50</w:t>
                  </w:r>
                </w:p>
              </w:tc>
              <w:tc>
                <w:tcPr>
                  <w:tcW w:w="811" w:type="dxa"/>
                  <w:noWrap w:val="0"/>
                  <w:vAlign w:val="center"/>
                </w:tcPr>
                <w:p>
                  <w:pPr>
                    <w:pStyle w:val="55"/>
                    <w:rPr>
                      <w:color w:val="auto"/>
                    </w:rPr>
                  </w:pPr>
                  <w:r>
                    <w:rPr>
                      <w:color w:val="auto"/>
                    </w:rPr>
                    <w:t>100</w:t>
                  </w:r>
                </w:p>
              </w:tc>
              <w:tc>
                <w:tcPr>
                  <w:tcW w:w="811" w:type="dxa"/>
                  <w:noWrap w:val="0"/>
                  <w:vAlign w:val="center"/>
                </w:tcPr>
                <w:p>
                  <w:pPr>
                    <w:pStyle w:val="55"/>
                    <w:rPr>
                      <w:color w:val="auto"/>
                    </w:rPr>
                  </w:pPr>
                  <w:r>
                    <w:rPr>
                      <w:color w:val="auto"/>
                    </w:rPr>
                    <w:t>150</w:t>
                  </w:r>
                </w:p>
              </w:tc>
              <w:tc>
                <w:tcPr>
                  <w:tcW w:w="811" w:type="dxa"/>
                  <w:noWrap w:val="0"/>
                  <w:vAlign w:val="center"/>
                </w:tcPr>
                <w:p>
                  <w:pPr>
                    <w:pStyle w:val="55"/>
                    <w:rPr>
                      <w:color w:val="auto"/>
                    </w:rPr>
                  </w:pPr>
                  <w:r>
                    <w:rPr>
                      <w:color w:val="auto"/>
                    </w:rPr>
                    <w:t>200</w:t>
                  </w:r>
                </w:p>
              </w:tc>
              <w:tc>
                <w:tcPr>
                  <w:tcW w:w="811" w:type="dxa"/>
                  <w:noWrap w:val="0"/>
                  <w:vAlign w:val="center"/>
                </w:tcPr>
                <w:p>
                  <w:pPr>
                    <w:pStyle w:val="55"/>
                    <w:rPr>
                      <w:color w:val="auto"/>
                    </w:rPr>
                  </w:pPr>
                  <w:r>
                    <w:rPr>
                      <w:color w:val="auto"/>
                    </w:rPr>
                    <w:t>560</w:t>
                  </w:r>
                </w:p>
              </w:tc>
              <w:tc>
                <w:tcPr>
                  <w:tcW w:w="811" w:type="dxa"/>
                  <w:noWrap w:val="0"/>
                  <w:vAlign w:val="center"/>
                </w:tcPr>
                <w:p>
                  <w:pPr>
                    <w:pStyle w:val="55"/>
                    <w:rPr>
                      <w:color w:val="auto"/>
                    </w:rPr>
                  </w:pPr>
                  <w:r>
                    <w:rPr>
                      <w:color w:val="auto"/>
                    </w:rPr>
                    <w:t>600</w:t>
                  </w:r>
                </w:p>
              </w:tc>
              <w:tc>
                <w:tcPr>
                  <w:tcW w:w="810" w:type="dxa"/>
                  <w:noWrap w:val="0"/>
                  <w:vAlign w:val="center"/>
                </w:tcPr>
                <w:p>
                  <w:pPr>
                    <w:pStyle w:val="55"/>
                    <w:rPr>
                      <w:color w:val="auto"/>
                    </w:rPr>
                  </w:pPr>
                  <w:r>
                    <w:rPr>
                      <w:color w:val="auto"/>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3" w:type="dxa"/>
                  <w:noWrap w:val="0"/>
                  <w:vAlign w:val="center"/>
                </w:tcPr>
                <w:p>
                  <w:pPr>
                    <w:pStyle w:val="55"/>
                    <w:rPr>
                      <w:color w:val="auto"/>
                    </w:rPr>
                  </w:pPr>
                  <w:r>
                    <w:rPr>
                      <w:color w:val="auto"/>
                    </w:rPr>
                    <w:t>结构</w:t>
                  </w:r>
                </w:p>
              </w:tc>
              <w:tc>
                <w:tcPr>
                  <w:tcW w:w="1575" w:type="dxa"/>
                  <w:noWrap w:val="0"/>
                  <w:vAlign w:val="center"/>
                </w:tcPr>
                <w:p>
                  <w:pPr>
                    <w:pStyle w:val="55"/>
                    <w:rPr>
                      <w:color w:val="auto"/>
                    </w:rPr>
                  </w:pPr>
                  <w:r>
                    <w:rPr>
                      <w:color w:val="auto"/>
                    </w:rPr>
                    <w:t>电锯</w:t>
                  </w:r>
                </w:p>
              </w:tc>
              <w:tc>
                <w:tcPr>
                  <w:tcW w:w="811" w:type="dxa"/>
                  <w:noWrap w:val="0"/>
                  <w:vAlign w:val="center"/>
                </w:tcPr>
                <w:p>
                  <w:pPr>
                    <w:pStyle w:val="55"/>
                    <w:rPr>
                      <w:color w:val="auto"/>
                    </w:rPr>
                  </w:pPr>
                  <w:r>
                    <w:rPr>
                      <w:color w:val="auto"/>
                    </w:rPr>
                    <w:t>95</w:t>
                  </w:r>
                </w:p>
              </w:tc>
              <w:tc>
                <w:tcPr>
                  <w:tcW w:w="811" w:type="dxa"/>
                  <w:noWrap w:val="0"/>
                  <w:vAlign w:val="center"/>
                </w:tcPr>
                <w:p>
                  <w:pPr>
                    <w:pStyle w:val="55"/>
                    <w:rPr>
                      <w:color w:val="auto"/>
                    </w:rPr>
                  </w:pPr>
                  <w:r>
                    <w:rPr>
                      <w:color w:val="auto"/>
                    </w:rPr>
                    <w:t>81</w:t>
                  </w:r>
                </w:p>
              </w:tc>
              <w:tc>
                <w:tcPr>
                  <w:tcW w:w="811" w:type="dxa"/>
                  <w:noWrap w:val="0"/>
                  <w:vAlign w:val="center"/>
                </w:tcPr>
                <w:p>
                  <w:pPr>
                    <w:pStyle w:val="55"/>
                    <w:rPr>
                      <w:color w:val="auto"/>
                    </w:rPr>
                  </w:pPr>
                  <w:r>
                    <w:rPr>
                      <w:color w:val="auto"/>
                    </w:rPr>
                    <w:t>75</w:t>
                  </w:r>
                </w:p>
              </w:tc>
              <w:tc>
                <w:tcPr>
                  <w:tcW w:w="811" w:type="dxa"/>
                  <w:noWrap w:val="0"/>
                  <w:vAlign w:val="center"/>
                </w:tcPr>
                <w:p>
                  <w:pPr>
                    <w:pStyle w:val="55"/>
                    <w:rPr>
                      <w:color w:val="auto"/>
                    </w:rPr>
                  </w:pPr>
                  <w:r>
                    <w:rPr>
                      <w:color w:val="auto"/>
                    </w:rPr>
                    <w:t>72</w:t>
                  </w:r>
                </w:p>
              </w:tc>
              <w:tc>
                <w:tcPr>
                  <w:tcW w:w="811" w:type="dxa"/>
                  <w:noWrap w:val="0"/>
                  <w:vAlign w:val="center"/>
                </w:tcPr>
                <w:p>
                  <w:pPr>
                    <w:pStyle w:val="55"/>
                    <w:rPr>
                      <w:color w:val="auto"/>
                    </w:rPr>
                  </w:pPr>
                  <w:r>
                    <w:rPr>
                      <w:color w:val="auto"/>
                    </w:rPr>
                    <w:t>69</w:t>
                  </w:r>
                </w:p>
              </w:tc>
              <w:tc>
                <w:tcPr>
                  <w:tcW w:w="811" w:type="dxa"/>
                  <w:noWrap w:val="0"/>
                  <w:vAlign w:val="center"/>
                </w:tcPr>
                <w:p>
                  <w:pPr>
                    <w:pStyle w:val="55"/>
                    <w:rPr>
                      <w:color w:val="auto"/>
                    </w:rPr>
                  </w:pPr>
                  <w:r>
                    <w:rPr>
                      <w:color w:val="auto"/>
                    </w:rPr>
                    <w:t>60</w:t>
                  </w:r>
                </w:p>
              </w:tc>
              <w:tc>
                <w:tcPr>
                  <w:tcW w:w="811" w:type="dxa"/>
                  <w:noWrap w:val="0"/>
                  <w:vAlign w:val="center"/>
                </w:tcPr>
                <w:p>
                  <w:pPr>
                    <w:pStyle w:val="55"/>
                    <w:rPr>
                      <w:color w:val="auto"/>
                    </w:rPr>
                  </w:pPr>
                  <w:r>
                    <w:rPr>
                      <w:color w:val="auto"/>
                    </w:rPr>
                    <w:t>58</w:t>
                  </w:r>
                </w:p>
              </w:tc>
              <w:tc>
                <w:tcPr>
                  <w:tcW w:w="810" w:type="dxa"/>
                  <w:noWrap w:val="0"/>
                  <w:vAlign w:val="center"/>
                </w:tcPr>
                <w:p>
                  <w:pPr>
                    <w:pStyle w:val="55"/>
                    <w:rPr>
                      <w:color w:val="auto"/>
                    </w:rPr>
                  </w:pPr>
                  <w:r>
                    <w:rPr>
                      <w:color w:val="auto"/>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93" w:type="dxa"/>
                  <w:noWrap w:val="0"/>
                  <w:vAlign w:val="center"/>
                </w:tcPr>
                <w:p>
                  <w:pPr>
                    <w:pStyle w:val="55"/>
                    <w:rPr>
                      <w:color w:val="auto"/>
                    </w:rPr>
                  </w:pPr>
                  <w:r>
                    <w:rPr>
                      <w:color w:val="auto"/>
                    </w:rPr>
                    <w:t>装修</w:t>
                  </w:r>
                </w:p>
              </w:tc>
              <w:tc>
                <w:tcPr>
                  <w:tcW w:w="1575" w:type="dxa"/>
                  <w:noWrap w:val="0"/>
                  <w:vAlign w:val="center"/>
                </w:tcPr>
                <w:p>
                  <w:pPr>
                    <w:pStyle w:val="55"/>
                    <w:rPr>
                      <w:color w:val="auto"/>
                    </w:rPr>
                  </w:pPr>
                  <w:r>
                    <w:rPr>
                      <w:color w:val="auto"/>
                    </w:rPr>
                    <w:t>木工刨</w:t>
                  </w:r>
                </w:p>
              </w:tc>
              <w:tc>
                <w:tcPr>
                  <w:tcW w:w="811" w:type="dxa"/>
                  <w:noWrap w:val="0"/>
                  <w:vAlign w:val="center"/>
                </w:tcPr>
                <w:p>
                  <w:pPr>
                    <w:pStyle w:val="55"/>
                    <w:rPr>
                      <w:color w:val="auto"/>
                    </w:rPr>
                  </w:pPr>
                  <w:r>
                    <w:rPr>
                      <w:color w:val="auto"/>
                    </w:rPr>
                    <w:t>95</w:t>
                  </w:r>
                </w:p>
              </w:tc>
              <w:tc>
                <w:tcPr>
                  <w:tcW w:w="811" w:type="dxa"/>
                  <w:noWrap w:val="0"/>
                  <w:vAlign w:val="center"/>
                </w:tcPr>
                <w:p>
                  <w:pPr>
                    <w:pStyle w:val="55"/>
                    <w:rPr>
                      <w:color w:val="auto"/>
                    </w:rPr>
                  </w:pPr>
                  <w:r>
                    <w:rPr>
                      <w:color w:val="auto"/>
                    </w:rPr>
                    <w:t>81</w:t>
                  </w:r>
                </w:p>
              </w:tc>
              <w:tc>
                <w:tcPr>
                  <w:tcW w:w="811" w:type="dxa"/>
                  <w:noWrap w:val="0"/>
                  <w:vAlign w:val="center"/>
                </w:tcPr>
                <w:p>
                  <w:pPr>
                    <w:pStyle w:val="55"/>
                    <w:rPr>
                      <w:color w:val="auto"/>
                    </w:rPr>
                  </w:pPr>
                  <w:r>
                    <w:rPr>
                      <w:color w:val="auto"/>
                    </w:rPr>
                    <w:t>75</w:t>
                  </w:r>
                </w:p>
              </w:tc>
              <w:tc>
                <w:tcPr>
                  <w:tcW w:w="811" w:type="dxa"/>
                  <w:noWrap w:val="0"/>
                  <w:vAlign w:val="center"/>
                </w:tcPr>
                <w:p>
                  <w:pPr>
                    <w:pStyle w:val="55"/>
                    <w:rPr>
                      <w:color w:val="auto"/>
                    </w:rPr>
                  </w:pPr>
                  <w:r>
                    <w:rPr>
                      <w:color w:val="auto"/>
                    </w:rPr>
                    <w:t>72</w:t>
                  </w:r>
                </w:p>
              </w:tc>
              <w:tc>
                <w:tcPr>
                  <w:tcW w:w="811" w:type="dxa"/>
                  <w:noWrap w:val="0"/>
                  <w:vAlign w:val="center"/>
                </w:tcPr>
                <w:p>
                  <w:pPr>
                    <w:pStyle w:val="55"/>
                    <w:rPr>
                      <w:color w:val="auto"/>
                    </w:rPr>
                  </w:pPr>
                  <w:r>
                    <w:rPr>
                      <w:color w:val="auto"/>
                    </w:rPr>
                    <w:t>69</w:t>
                  </w:r>
                </w:p>
              </w:tc>
              <w:tc>
                <w:tcPr>
                  <w:tcW w:w="811" w:type="dxa"/>
                  <w:noWrap w:val="0"/>
                  <w:vAlign w:val="center"/>
                </w:tcPr>
                <w:p>
                  <w:pPr>
                    <w:pStyle w:val="55"/>
                    <w:rPr>
                      <w:color w:val="auto"/>
                    </w:rPr>
                  </w:pPr>
                  <w:r>
                    <w:rPr>
                      <w:color w:val="auto"/>
                    </w:rPr>
                    <w:t>60</w:t>
                  </w:r>
                </w:p>
              </w:tc>
              <w:tc>
                <w:tcPr>
                  <w:tcW w:w="811" w:type="dxa"/>
                  <w:noWrap w:val="0"/>
                  <w:vAlign w:val="center"/>
                </w:tcPr>
                <w:p>
                  <w:pPr>
                    <w:pStyle w:val="55"/>
                    <w:rPr>
                      <w:color w:val="auto"/>
                    </w:rPr>
                  </w:pPr>
                  <w:r>
                    <w:rPr>
                      <w:color w:val="auto"/>
                    </w:rPr>
                    <w:t>58</w:t>
                  </w:r>
                </w:p>
              </w:tc>
              <w:tc>
                <w:tcPr>
                  <w:tcW w:w="810" w:type="dxa"/>
                  <w:noWrap w:val="0"/>
                  <w:vAlign w:val="center"/>
                </w:tcPr>
                <w:p>
                  <w:pPr>
                    <w:pStyle w:val="55"/>
                    <w:rPr>
                      <w:color w:val="auto"/>
                    </w:rPr>
                  </w:pPr>
                  <w:r>
                    <w:rPr>
                      <w:color w:val="auto"/>
                    </w:rPr>
                    <w:t>50</w:t>
                  </w:r>
                </w:p>
              </w:tc>
            </w:tr>
          </w:tbl>
          <w:p>
            <w:pPr>
              <w:adjustRightInd w:val="0"/>
              <w:snapToGrid w:val="0"/>
              <w:spacing w:line="360" w:lineRule="auto"/>
              <w:ind w:firstLine="480" w:firstLineChars="200"/>
              <w:rPr>
                <w:color w:val="auto"/>
                <w:kern w:val="0"/>
              </w:rPr>
            </w:pPr>
            <w:r>
              <w:rPr>
                <w:color w:val="auto"/>
                <w:kern w:val="0"/>
              </w:rPr>
              <w:t>由上表计算结果可知，昼间施工机械最大超标范围为560m以内，夜间最大超标范围为650m。为减小施工噪声对周围环境产生的影响，环评</w:t>
            </w:r>
            <w:r>
              <w:rPr>
                <w:color w:val="auto"/>
                <w:lang w:val="zh-CN"/>
              </w:rPr>
              <w:t>要求采取以下控制措施：</w:t>
            </w:r>
          </w:p>
          <w:p>
            <w:pPr>
              <w:autoSpaceDE w:val="0"/>
              <w:autoSpaceDN w:val="0"/>
              <w:adjustRightInd w:val="0"/>
              <w:snapToGrid w:val="0"/>
              <w:spacing w:line="360" w:lineRule="auto"/>
              <w:ind w:firstLine="480" w:firstLineChars="200"/>
              <w:rPr>
                <w:color w:val="auto"/>
              </w:rPr>
            </w:pPr>
            <w:r>
              <w:rPr>
                <w:color w:val="auto"/>
              </w:rPr>
              <w:t>①</w:t>
            </w:r>
            <w:r>
              <w:rPr>
                <w:color w:val="auto"/>
                <w:lang w:val="zh-CN"/>
              </w:rPr>
              <w:t>在施工过程中，施工单位应严格执行《建筑施工场界环境噪声排放标准》（</w:t>
            </w:r>
            <w:r>
              <w:rPr>
                <w:color w:val="auto"/>
              </w:rPr>
              <w:t>GB12523-2011</w:t>
            </w:r>
            <w:r>
              <w:rPr>
                <w:color w:val="auto"/>
                <w:lang w:val="zh-CN"/>
              </w:rPr>
              <w:t>）中的有关规定，避免施工扰民事件的发生。</w:t>
            </w:r>
          </w:p>
          <w:p>
            <w:pPr>
              <w:autoSpaceDE w:val="0"/>
              <w:autoSpaceDN w:val="0"/>
              <w:adjustRightInd w:val="0"/>
              <w:snapToGrid w:val="0"/>
              <w:spacing w:line="360" w:lineRule="auto"/>
              <w:ind w:firstLine="480" w:firstLineChars="200"/>
              <w:rPr>
                <w:b/>
                <w:bCs/>
                <w:color w:val="auto"/>
              </w:rPr>
            </w:pPr>
            <w:r>
              <w:rPr>
                <w:color w:val="auto"/>
              </w:rPr>
              <w:t>②</w:t>
            </w:r>
            <w:r>
              <w:rPr>
                <w:color w:val="auto"/>
                <w:lang w:val="zh-CN"/>
              </w:rPr>
              <w:t>施工单位要合理安排施工作业时间，夜间（</w:t>
            </w:r>
            <w:r>
              <w:rPr>
                <w:color w:val="auto"/>
              </w:rPr>
              <w:t>22:00</w:t>
            </w:r>
            <w:r>
              <w:rPr>
                <w:color w:val="auto"/>
                <w:lang w:val="zh-CN"/>
              </w:rPr>
              <w:t>～</w:t>
            </w:r>
            <w:r>
              <w:rPr>
                <w:color w:val="auto"/>
              </w:rPr>
              <w:t>6:00</w:t>
            </w:r>
            <w:r>
              <w:rPr>
                <w:color w:val="auto"/>
                <w:lang w:val="zh-CN"/>
              </w:rPr>
              <w:t>）、中午（12:00~14:00）禁止一切产噪设备施工，如因建筑工程工艺要求或特殊需要必须连续作业而进行夜间施工的，施工单位必须提前</w:t>
            </w:r>
            <w:r>
              <w:rPr>
                <w:color w:val="auto"/>
              </w:rPr>
              <w:t>7</w:t>
            </w:r>
            <w:r>
              <w:rPr>
                <w:color w:val="auto"/>
                <w:lang w:val="zh-CN"/>
              </w:rPr>
              <w:t>日持建管部门的证明向当地环境保护主管部门申报施工日期和时间，并在周围噪声敏感点张贴告示，经环境保护主管部门批准备案后方可进行夜间施工。</w:t>
            </w:r>
          </w:p>
          <w:p>
            <w:pPr>
              <w:autoSpaceDE w:val="0"/>
              <w:autoSpaceDN w:val="0"/>
              <w:adjustRightInd w:val="0"/>
              <w:snapToGrid w:val="0"/>
              <w:spacing w:line="360" w:lineRule="auto"/>
              <w:ind w:firstLine="480" w:firstLineChars="200"/>
              <w:rPr>
                <w:color w:val="auto"/>
              </w:rPr>
            </w:pPr>
            <w:r>
              <w:rPr>
                <w:color w:val="auto"/>
              </w:rPr>
              <w:t>③</w:t>
            </w:r>
            <w:r>
              <w:rPr>
                <w:color w:val="auto"/>
                <w:lang w:val="zh-CN"/>
              </w:rPr>
              <w:t>施工机械产生的噪声往往具有突发、无规则、不连续和高强度等特点，施工单位应采取合理安排施工机械操作时间的方法加以缓解，并减少同时作业的高噪施工机械数量，尽可能减轻声源叠加影响。</w:t>
            </w:r>
          </w:p>
          <w:p>
            <w:pPr>
              <w:autoSpaceDE w:val="0"/>
              <w:autoSpaceDN w:val="0"/>
              <w:adjustRightInd w:val="0"/>
              <w:snapToGrid w:val="0"/>
              <w:spacing w:line="360" w:lineRule="auto"/>
              <w:ind w:firstLine="480" w:firstLineChars="200"/>
              <w:rPr>
                <w:color w:val="auto"/>
                <w:lang w:val="zh-CN"/>
              </w:rPr>
            </w:pPr>
            <w:r>
              <w:rPr>
                <w:color w:val="auto"/>
              </w:rPr>
              <w:t>④</w:t>
            </w:r>
            <w:r>
              <w:rPr>
                <w:color w:val="auto"/>
                <w:lang w:val="zh-CN"/>
              </w:rPr>
              <w:t>对于施工期间的材料运输、敲击、人的喊叫等噪声源，要求施工单位文明施工、加强有效管理以缓解其影响。</w:t>
            </w:r>
          </w:p>
          <w:p>
            <w:pPr>
              <w:autoSpaceDE w:val="0"/>
              <w:autoSpaceDN w:val="0"/>
              <w:adjustRightInd w:val="0"/>
              <w:snapToGrid w:val="0"/>
              <w:spacing w:line="360" w:lineRule="auto"/>
              <w:ind w:firstLine="480" w:firstLineChars="200"/>
              <w:rPr>
                <w:color w:val="auto"/>
                <w:lang w:val="zh-CN"/>
              </w:rPr>
            </w:pPr>
            <w:r>
              <w:rPr>
                <w:color w:val="auto"/>
                <w:lang w:val="zh-CN"/>
              </w:rPr>
              <w:t>⑤临近桐花村居民点一侧设置移动声屏障，减轻施工噪声对居民点影响。</w:t>
            </w:r>
          </w:p>
          <w:p>
            <w:pPr>
              <w:spacing w:line="360" w:lineRule="auto"/>
              <w:ind w:firstLine="480" w:firstLineChars="200"/>
              <w:rPr>
                <w:color w:val="auto"/>
                <w:lang w:val="zh-CN"/>
              </w:rPr>
            </w:pPr>
            <w:r>
              <w:rPr>
                <w:color w:val="auto"/>
                <w:lang w:val="zh-CN"/>
              </w:rPr>
              <w:fldChar w:fldCharType="begin"/>
            </w:r>
            <w:r>
              <w:rPr>
                <w:color w:val="auto"/>
                <w:lang w:val="zh-CN"/>
              </w:rPr>
              <w:instrText xml:space="preserve"> = 6 \* GB3 \* MERGEFORMAT </w:instrText>
            </w:r>
            <w:r>
              <w:rPr>
                <w:color w:val="auto"/>
                <w:lang w:val="zh-CN"/>
              </w:rPr>
              <w:fldChar w:fldCharType="separate"/>
            </w:r>
            <w:r>
              <w:rPr>
                <w:color w:val="auto"/>
              </w:rPr>
              <w:t>⑥</w:t>
            </w:r>
            <w:r>
              <w:rPr>
                <w:color w:val="auto"/>
                <w:lang w:val="zh-CN"/>
              </w:rPr>
              <w:fldChar w:fldCharType="end"/>
            </w:r>
            <w:r>
              <w:rPr>
                <w:color w:val="auto"/>
                <w:lang w:bidi="ar"/>
              </w:rPr>
              <w:t>针对桐花村村民等噪声敏感目标，管网的铺设应该增加施工人员，加快施工进度，缩短施工期；由于项目采取分段施工，完工一段即平整一段，采取以上措施后，涉及噪声敏感目标的管网建设施工期很短，管网一旦铺设完成后，施工期的噪声也将随之消失。从施工噪声对当地声环境影响的角度分析，本项目的施工建设是可行的。</w:t>
            </w:r>
          </w:p>
          <w:p>
            <w:pPr>
              <w:adjustRightInd w:val="0"/>
              <w:snapToGrid w:val="0"/>
              <w:spacing w:line="360" w:lineRule="auto"/>
              <w:ind w:firstLine="480" w:firstLineChars="200"/>
              <w:rPr>
                <w:color w:val="auto"/>
                <w:kern w:val="0"/>
              </w:rPr>
            </w:pPr>
            <w:r>
              <w:rPr>
                <w:color w:val="auto"/>
                <w:kern w:val="0"/>
              </w:rPr>
              <w:t>采取上述措施后，本项目施工期产生的施工噪声对周围环境不会产生明显的不利影响，且随着施工期的结束影响即消除。</w:t>
            </w:r>
          </w:p>
          <w:p>
            <w:pPr>
              <w:adjustRightInd w:val="0"/>
              <w:snapToGrid w:val="0"/>
              <w:spacing w:line="360" w:lineRule="auto"/>
              <w:ind w:firstLine="482" w:firstLineChars="200"/>
              <w:rPr>
                <w:b/>
                <w:bCs/>
                <w:color w:val="auto"/>
              </w:rPr>
            </w:pPr>
            <w:r>
              <w:rPr>
                <w:b/>
                <w:bCs/>
                <w:color w:val="auto"/>
              </w:rPr>
              <w:t>1.4固体废物环境环境影响分析</w:t>
            </w:r>
          </w:p>
          <w:p>
            <w:pPr>
              <w:adjustRightInd w:val="0"/>
              <w:snapToGrid w:val="0"/>
              <w:spacing w:line="360" w:lineRule="auto"/>
              <w:ind w:firstLine="480" w:firstLineChars="200"/>
              <w:rPr>
                <w:color w:val="auto"/>
              </w:rPr>
            </w:pPr>
            <w:r>
              <w:rPr>
                <w:color w:val="auto"/>
              </w:rPr>
              <w:t>施工期固体废物主要为清理、开挖过程中产生的表层土、施工单位产生的生活垃圾和工地施工产生的建筑垃圾。</w:t>
            </w:r>
          </w:p>
          <w:p>
            <w:pPr>
              <w:adjustRightInd w:val="0"/>
              <w:snapToGrid w:val="0"/>
              <w:spacing w:line="360" w:lineRule="auto"/>
              <w:ind w:firstLine="480" w:firstLineChars="200"/>
              <w:rPr>
                <w:color w:val="auto"/>
              </w:rPr>
            </w:pPr>
            <w:r>
              <w:rPr>
                <w:color w:val="auto"/>
              </w:rPr>
              <w:t>为防止和减少施工期固体废物对环境的影响，建议采取如下措施：</w:t>
            </w:r>
          </w:p>
          <w:p>
            <w:pPr>
              <w:adjustRightInd w:val="0"/>
              <w:snapToGrid w:val="0"/>
              <w:spacing w:line="360" w:lineRule="auto"/>
              <w:ind w:firstLine="480" w:firstLineChars="200"/>
              <w:rPr>
                <w:color w:val="auto"/>
              </w:rPr>
            </w:pPr>
            <w:r>
              <w:rPr>
                <w:color w:val="auto"/>
              </w:rPr>
              <w:t>（1）清理及开挖过程中产生的表层土用于绿化覆土。</w:t>
            </w:r>
          </w:p>
          <w:p>
            <w:pPr>
              <w:adjustRightInd w:val="0"/>
              <w:snapToGrid w:val="0"/>
              <w:spacing w:line="360" w:lineRule="auto"/>
              <w:ind w:firstLine="480" w:firstLineChars="200"/>
              <w:rPr>
                <w:color w:val="auto"/>
              </w:rPr>
            </w:pPr>
            <w:r>
              <w:rPr>
                <w:color w:val="auto"/>
              </w:rPr>
              <w:t>（2）施工开挖的表层土应集中存放，临时堆放在临时堆土场，其余各区表土均堆放在本区一角并采取相应的防护措施，防止雨水冲刷。</w:t>
            </w:r>
          </w:p>
          <w:p>
            <w:pPr>
              <w:adjustRightInd w:val="0"/>
              <w:snapToGrid w:val="0"/>
              <w:spacing w:line="360" w:lineRule="auto"/>
              <w:ind w:firstLine="480" w:firstLineChars="200"/>
              <w:rPr>
                <w:color w:val="auto"/>
              </w:rPr>
            </w:pPr>
            <w:r>
              <w:rPr>
                <w:color w:val="auto"/>
              </w:rPr>
              <w:t>（3）施工过程中产生的弃土、建筑垃圾等经定点收集及时清运至指定的弃渣场，并做好清运前和堆存过程中的水土流失防治工作。</w:t>
            </w:r>
          </w:p>
          <w:p>
            <w:pPr>
              <w:adjustRightInd w:val="0"/>
              <w:snapToGrid w:val="0"/>
              <w:spacing w:line="360" w:lineRule="auto"/>
              <w:ind w:firstLine="480" w:firstLineChars="200"/>
              <w:rPr>
                <w:color w:val="auto"/>
              </w:rPr>
            </w:pPr>
            <w:r>
              <w:rPr>
                <w:color w:val="auto"/>
              </w:rPr>
              <w:t>（4）施工单位驻地产生的生活垃圾经定点收集后及时清运交由当地环卫部门统一处理或运至指定的垃圾填埋场进行卫生填埋。</w:t>
            </w:r>
          </w:p>
          <w:p>
            <w:pPr>
              <w:adjustRightInd w:val="0"/>
              <w:snapToGrid w:val="0"/>
              <w:spacing w:line="360" w:lineRule="auto"/>
              <w:ind w:firstLine="482" w:firstLineChars="200"/>
              <w:rPr>
                <w:b/>
                <w:bCs/>
                <w:color w:val="auto"/>
              </w:rPr>
            </w:pPr>
            <w:r>
              <w:rPr>
                <w:b/>
                <w:bCs/>
                <w:color w:val="auto"/>
              </w:rPr>
              <w:t>1.5生态环境保护措施</w:t>
            </w:r>
          </w:p>
          <w:p>
            <w:pPr>
              <w:adjustRightInd w:val="0"/>
              <w:snapToGrid w:val="0"/>
              <w:spacing w:line="360" w:lineRule="auto"/>
              <w:ind w:firstLine="480" w:firstLineChars="200"/>
              <w:rPr>
                <w:color w:val="auto"/>
              </w:rPr>
            </w:pPr>
            <w:r>
              <w:rPr>
                <w:color w:val="auto"/>
              </w:rPr>
              <w:t>拟建污水处理设施厂址场地开阔，地势较平坦，主要植被类型为杂生草丛、低矮灌木丛、少量人工林，周围无保护的珍稀动物或濒危动植物，项目施工期对周围生态环境影响不大。</w:t>
            </w:r>
          </w:p>
          <w:p>
            <w:pPr>
              <w:adjustRightInd w:val="0"/>
              <w:snapToGrid w:val="0"/>
              <w:spacing w:line="360" w:lineRule="auto"/>
              <w:ind w:firstLine="480" w:firstLineChars="200"/>
              <w:rPr>
                <w:color w:val="auto"/>
              </w:rPr>
            </w:pPr>
            <w:r>
              <w:rPr>
                <w:color w:val="auto"/>
              </w:rPr>
              <w:t>施工过程地面没有大量松散土长久存在，加上地面较为平缓，不会产生持久的明显土壤侵蚀流失，水土流失相对较轻。管槽开挖后随即覆土，因而水土流失时间较短，可使土壤迅速恢复到无明显侵蚀的正常允许状态。</w:t>
            </w:r>
          </w:p>
          <w:p>
            <w:pPr>
              <w:adjustRightInd w:val="0"/>
              <w:snapToGrid w:val="0"/>
              <w:spacing w:line="360" w:lineRule="auto"/>
              <w:ind w:firstLine="480" w:firstLineChars="200"/>
              <w:rPr>
                <w:color w:val="auto"/>
              </w:rPr>
            </w:pPr>
            <w:r>
              <w:rPr>
                <w:color w:val="auto"/>
              </w:rPr>
              <w:t>根据相关资料表明，在采取较为完备的水土保持措施后（施工期间采取平整、压实、建立沉砂池等积极有效的措施），水土流失强度和水土流失量下降很多，其水土流失强度可达到微度侵蚀水平，采取较完备的水土保持措施条件下的水土流失量是不采取水保措施时的2.6%。由此可见，在施工期间和工程完工后采取较完备的水土保持措施是十分有必要的。施工期的生态环境保护保护措施与建议如下：</w:t>
            </w:r>
          </w:p>
          <w:p>
            <w:pPr>
              <w:adjustRightInd w:val="0"/>
              <w:snapToGrid w:val="0"/>
              <w:spacing w:line="360" w:lineRule="auto"/>
              <w:ind w:firstLine="480" w:firstLineChars="200"/>
              <w:rPr>
                <w:color w:val="auto"/>
              </w:rPr>
            </w:pPr>
            <w:r>
              <w:rPr>
                <w:color w:val="auto"/>
              </w:rPr>
              <w:t>（1）对施工现场采取遮挡措施，降低施工粉尘和施工噪声对外界的影响，并缓解施工队城镇景观带来的不良影响。做好场地排水，保持排污沟的畅通。</w:t>
            </w:r>
          </w:p>
          <w:p>
            <w:pPr>
              <w:adjustRightInd w:val="0"/>
              <w:snapToGrid w:val="0"/>
              <w:spacing w:line="360" w:lineRule="auto"/>
              <w:ind w:firstLine="480" w:firstLineChars="200"/>
              <w:rPr>
                <w:color w:val="auto"/>
              </w:rPr>
            </w:pPr>
            <w:r>
              <w:rPr>
                <w:color w:val="auto"/>
              </w:rPr>
              <w:t>（2）施工时应在雨前压实回填的松土；土料要及时回填，尽量减少松土的存在。</w:t>
            </w:r>
          </w:p>
          <w:p>
            <w:pPr>
              <w:adjustRightInd w:val="0"/>
              <w:snapToGrid w:val="0"/>
              <w:spacing w:line="360" w:lineRule="auto"/>
              <w:ind w:firstLine="480" w:firstLineChars="200"/>
              <w:rPr>
                <w:color w:val="auto"/>
              </w:rPr>
            </w:pPr>
            <w:r>
              <w:rPr>
                <w:color w:val="auto"/>
              </w:rPr>
              <w:t>（3）在建设后期，应即采取绿化措施，以减少常年降雨的侵蚀。</w:t>
            </w:r>
          </w:p>
          <w:p>
            <w:pPr>
              <w:adjustRightInd w:val="0"/>
              <w:snapToGrid w:val="0"/>
              <w:spacing w:line="360" w:lineRule="auto"/>
              <w:ind w:firstLine="480" w:firstLineChars="200"/>
              <w:rPr>
                <w:color w:val="auto"/>
              </w:rPr>
            </w:pPr>
            <w:r>
              <w:rPr>
                <w:color w:val="auto"/>
              </w:rPr>
              <w:t>（4）合理安排施工时段，尽可能避开暴雨季节施工，以降低因降雨对水土产生的水力侵蚀，如无法避开雨季施工，应和气象部门保持联系，降雨前对施工区加以覆盖，减轻水土流失。</w:t>
            </w:r>
          </w:p>
          <w:p>
            <w:pPr>
              <w:adjustRightInd w:val="0"/>
              <w:snapToGrid w:val="0"/>
              <w:spacing w:line="360" w:lineRule="auto"/>
              <w:ind w:firstLine="480" w:firstLineChars="200"/>
              <w:rPr>
                <w:color w:val="auto"/>
              </w:rPr>
            </w:pPr>
            <w:r>
              <w:rPr>
                <w:color w:val="auto"/>
              </w:rPr>
              <w:t>（5）做好施工规划，对设计和施工人员进行生态环境保护教育，认识本地区生态环境保护的重要性，做到人人关心和注意生态保护；施工结束后尽快进行植被恢复和绿化。</w:t>
            </w:r>
          </w:p>
          <w:p>
            <w:pPr>
              <w:adjustRightInd w:val="0"/>
              <w:snapToGrid w:val="0"/>
              <w:spacing w:line="360" w:lineRule="auto"/>
              <w:ind w:firstLine="482" w:firstLineChars="200"/>
              <w:rPr>
                <w:b/>
                <w:color w:val="auto"/>
              </w:rPr>
            </w:pPr>
            <w:r>
              <w:rPr>
                <w:b/>
                <w:color w:val="auto"/>
                <w:lang w:bidi="ar"/>
              </w:rPr>
              <w:t>1.6对植被的影响及防治措施分析</w:t>
            </w:r>
          </w:p>
          <w:p>
            <w:pPr>
              <w:adjustRightInd w:val="0"/>
              <w:snapToGrid w:val="0"/>
              <w:spacing w:line="360" w:lineRule="auto"/>
              <w:ind w:firstLine="480" w:firstLineChars="200"/>
              <w:rPr>
                <w:color w:val="auto"/>
              </w:rPr>
            </w:pPr>
            <w:r>
              <w:rPr>
                <w:color w:val="auto"/>
                <w:lang w:bidi="ar"/>
              </w:rPr>
              <w:t>本期工程在管线和进场道路施工过程中，开挖区将使土壤结构完全改变，植被全部被破坏，其两侧的植被也将受到不同程度的破坏和影响。在严重破坏区，即管沟为中心两侧1m、进场道路为中心两侧3m的范围内，植被遭到严重破坏，原有植被基本消失；在中度影响区，即管沟两侧2～3m、进场道路两侧3～5m的范围内，由于挖掘施工中，施工人员和机械设备的践踏、碾压以及土石方的堆放，造成的植被破坏较为严重；在轻度影响区，即管沟两侧3～6m、进场道路两侧5～10m的范围内，由于人为活动的减少，对植被的破坏程度较轻。</w:t>
            </w:r>
          </w:p>
          <w:p>
            <w:pPr>
              <w:adjustRightInd w:val="0"/>
              <w:snapToGrid w:val="0"/>
              <w:spacing w:line="360" w:lineRule="auto"/>
              <w:ind w:firstLine="480" w:firstLineChars="200"/>
              <w:rPr>
                <w:color w:val="auto"/>
                <w:lang w:bidi="ar"/>
              </w:rPr>
            </w:pPr>
            <w:r>
              <w:rPr>
                <w:color w:val="auto"/>
                <w:lang w:bidi="ar"/>
              </w:rPr>
              <w:t>防治措施：</w:t>
            </w:r>
          </w:p>
          <w:p>
            <w:pPr>
              <w:numPr>
                <w:ilvl w:val="0"/>
                <w:numId w:val="4"/>
              </w:numPr>
              <w:adjustRightInd w:val="0"/>
              <w:snapToGrid w:val="0"/>
              <w:spacing w:line="360" w:lineRule="auto"/>
              <w:ind w:firstLine="480" w:firstLineChars="200"/>
              <w:rPr>
                <w:color w:val="auto"/>
                <w:lang w:bidi="ar"/>
              </w:rPr>
            </w:pPr>
            <w:r>
              <w:rPr>
                <w:color w:val="auto"/>
                <w:lang w:bidi="ar"/>
              </w:rPr>
              <w:t>根据施工的需要，合理设置施工作业带，文明施工，对施工人员严格管理，尽量减少施工作业带以外植被的破坏。</w:t>
            </w:r>
          </w:p>
          <w:p>
            <w:pPr>
              <w:numPr>
                <w:ilvl w:val="0"/>
                <w:numId w:val="4"/>
              </w:numPr>
              <w:adjustRightInd w:val="0"/>
              <w:snapToGrid w:val="0"/>
              <w:spacing w:line="360" w:lineRule="auto"/>
              <w:ind w:firstLine="480" w:firstLineChars="200"/>
              <w:rPr>
                <w:color w:val="auto"/>
                <w:lang w:bidi="ar"/>
              </w:rPr>
            </w:pPr>
            <w:r>
              <w:rPr>
                <w:color w:val="auto"/>
                <w:lang w:bidi="ar"/>
              </w:rPr>
              <w:t>选择对农业生产影响较小的季节施工，分段施工，快速施工。</w:t>
            </w:r>
          </w:p>
          <w:p>
            <w:pPr>
              <w:numPr>
                <w:ilvl w:val="0"/>
                <w:numId w:val="4"/>
              </w:numPr>
              <w:adjustRightInd w:val="0"/>
              <w:snapToGrid w:val="0"/>
              <w:spacing w:line="360" w:lineRule="auto"/>
              <w:ind w:firstLine="480" w:firstLineChars="200"/>
              <w:rPr>
                <w:color w:val="auto"/>
                <w:lang w:bidi="ar"/>
              </w:rPr>
            </w:pPr>
            <w:r>
              <w:rPr>
                <w:color w:val="auto"/>
                <w:lang w:bidi="ar"/>
              </w:rPr>
              <w:t>分层取土，施工完后对荒地及时恢复土地原有使用功能，减少施工对荒地的影响。</w:t>
            </w:r>
          </w:p>
          <w:p>
            <w:pPr>
              <w:adjustRightInd w:val="0"/>
              <w:snapToGrid w:val="0"/>
              <w:spacing w:line="360" w:lineRule="auto"/>
              <w:ind w:firstLine="480" w:firstLineChars="200"/>
              <w:rPr>
                <w:color w:val="auto"/>
              </w:rPr>
            </w:pPr>
            <w:r>
              <w:rPr>
                <w:color w:val="auto"/>
                <w:lang w:bidi="ar"/>
              </w:rPr>
              <w:t>（4）不是荒地的临时施工场地及时植树植草绿化恢复生态环境。</w:t>
            </w:r>
          </w:p>
          <w:p>
            <w:pPr>
              <w:adjustRightInd w:val="0"/>
              <w:snapToGrid w:val="0"/>
              <w:spacing w:line="360" w:lineRule="auto"/>
              <w:ind w:firstLine="480" w:firstLineChars="200"/>
              <w:rPr>
                <w:color w:val="auto"/>
              </w:rPr>
            </w:pPr>
            <w:r>
              <w:rPr>
                <w:color w:val="auto"/>
                <w:lang w:bidi="ar"/>
              </w:rPr>
              <w:t>施工区无珍稀动植物、风景名胜和文物古迹，管网施工对荒地和植被的破坏可以恢复，故不会造成重大影响。</w:t>
            </w:r>
          </w:p>
          <w:p>
            <w:pPr>
              <w:adjustRightInd w:val="0"/>
              <w:snapToGrid w:val="0"/>
              <w:spacing w:line="360" w:lineRule="auto"/>
              <w:ind w:firstLine="482" w:firstLineChars="200"/>
              <w:outlineLvl w:val="1"/>
              <w:rPr>
                <w:b/>
                <w:color w:val="auto"/>
              </w:rPr>
            </w:pPr>
            <w:r>
              <w:rPr>
                <w:b/>
                <w:color w:val="auto"/>
                <w:lang w:bidi="ar"/>
              </w:rPr>
              <w:t>1.7对交通及居民出行的影响及防治措施分析</w:t>
            </w:r>
          </w:p>
          <w:p>
            <w:pPr>
              <w:adjustRightInd w:val="0"/>
              <w:snapToGrid w:val="0"/>
              <w:spacing w:line="360" w:lineRule="auto"/>
              <w:ind w:firstLine="480" w:firstLineChars="200"/>
              <w:rPr>
                <w:color w:val="auto"/>
              </w:rPr>
            </w:pPr>
            <w:r>
              <w:rPr>
                <w:color w:val="auto"/>
              </w:rPr>
              <w:t>在本项目管网建设中，将有部分管道沿现有的乡村道路铺设，两侧居民也多，因此，在施工段对这些路上交通和居民出行有一定影响。针对本项目对交通及居民出行的影响</w:t>
            </w:r>
            <w:r>
              <w:rPr>
                <w:b/>
                <w:color w:val="auto"/>
              </w:rPr>
              <w:t>，</w:t>
            </w:r>
            <w:r>
              <w:rPr>
                <w:color w:val="auto"/>
              </w:rPr>
              <w:t>施工单位应采取以下防治措施：</w:t>
            </w:r>
          </w:p>
          <w:p>
            <w:pPr>
              <w:adjustRightInd w:val="0"/>
              <w:snapToGrid w:val="0"/>
              <w:spacing w:line="360" w:lineRule="auto"/>
              <w:ind w:firstLine="480" w:firstLineChars="200"/>
              <w:rPr>
                <w:color w:val="auto"/>
              </w:rPr>
            </w:pPr>
            <w:r>
              <w:rPr>
                <w:color w:val="auto"/>
              </w:rPr>
              <w:t>A、对于经过居民较集中的区域，管网应有计划有步骤组织施工，做到连续作业、快速施工，避免管网施工两侧堆积大量弃土；</w:t>
            </w:r>
          </w:p>
          <w:p>
            <w:pPr>
              <w:adjustRightInd w:val="0"/>
              <w:snapToGrid w:val="0"/>
              <w:spacing w:line="360" w:lineRule="auto"/>
              <w:ind w:firstLine="480" w:firstLineChars="200"/>
              <w:rPr>
                <w:color w:val="auto"/>
              </w:rPr>
            </w:pPr>
            <w:r>
              <w:rPr>
                <w:color w:val="auto"/>
              </w:rPr>
              <w:t>B、分段施工，尽可能缩短工期，及时清运弃土和恢复道路，保证交通畅通；现场应做好封闭围护和组织，施工期间禁止非施工机动车进入。</w:t>
            </w:r>
          </w:p>
          <w:p>
            <w:pPr>
              <w:adjustRightInd w:val="0"/>
              <w:snapToGrid w:val="0"/>
              <w:spacing w:line="360" w:lineRule="auto"/>
              <w:ind w:firstLine="480" w:firstLineChars="200"/>
              <w:rPr>
                <w:color w:val="auto"/>
              </w:rPr>
            </w:pPr>
            <w:r>
              <w:rPr>
                <w:color w:val="auto"/>
              </w:rPr>
              <w:t>C、合理设置弃土弃渣的临时存放点，在道路和人行道上不得随意堆放。</w:t>
            </w:r>
          </w:p>
          <w:p>
            <w:pPr>
              <w:adjustRightInd w:val="0"/>
              <w:snapToGrid w:val="0"/>
              <w:spacing w:line="360" w:lineRule="auto"/>
              <w:ind w:firstLine="480" w:firstLineChars="200"/>
              <w:rPr>
                <w:color w:val="auto"/>
              </w:rPr>
            </w:pPr>
            <w:r>
              <w:rPr>
                <w:color w:val="auto"/>
              </w:rPr>
              <w:t>D、搭建简易栈道，减轻管线施工的阻隔给居民的出行带来的影响。</w:t>
            </w:r>
          </w:p>
          <w:p>
            <w:pPr>
              <w:adjustRightInd w:val="0"/>
              <w:snapToGrid w:val="0"/>
              <w:spacing w:line="360" w:lineRule="auto"/>
              <w:ind w:firstLine="480" w:firstLineChars="200"/>
              <w:rPr>
                <w:color w:val="auto"/>
              </w:rPr>
            </w:pPr>
            <w:r>
              <w:rPr>
                <w:color w:val="auto"/>
              </w:rPr>
              <w:t>E、文明施工，人口较为集中的地方设置警示牌。</w:t>
            </w:r>
          </w:p>
          <w:p>
            <w:pPr>
              <w:adjustRightInd w:val="0"/>
              <w:snapToGrid w:val="0"/>
              <w:spacing w:line="360" w:lineRule="auto"/>
              <w:ind w:firstLine="480" w:firstLineChars="200"/>
              <w:rPr>
                <w:b/>
                <w:color w:val="auto"/>
              </w:rPr>
            </w:pPr>
            <w:r>
              <w:rPr>
                <w:color w:val="auto"/>
                <w:lang w:bidi="ar"/>
              </w:rPr>
              <w:t>F、在施工期间向村民作出通告，通过协调让居民充分理解和支持。</w:t>
            </w:r>
          </w:p>
          <w:p>
            <w:pPr>
              <w:adjustRightInd w:val="0"/>
              <w:snapToGrid w:val="0"/>
              <w:spacing w:line="360" w:lineRule="auto"/>
              <w:ind w:firstLine="480" w:firstLineChars="200"/>
              <w:rPr>
                <w:b/>
                <w:color w:val="auto"/>
              </w:rPr>
            </w:pPr>
            <w:r>
              <w:rPr>
                <w:bCs/>
                <w:color w:val="auto"/>
                <w:lang w:bidi="ar"/>
              </w:rPr>
              <w:t>项目施工便道、施工营地等临时占地的环境影响及保护措施</w:t>
            </w:r>
          </w:p>
          <w:p>
            <w:pPr>
              <w:adjustRightInd w:val="0"/>
              <w:snapToGrid w:val="0"/>
              <w:spacing w:line="360" w:lineRule="auto"/>
              <w:ind w:firstLine="480" w:firstLineChars="200"/>
              <w:rPr>
                <w:color w:val="auto"/>
              </w:rPr>
            </w:pPr>
            <w:r>
              <w:rPr>
                <w:color w:val="auto"/>
                <w:lang w:bidi="ar"/>
              </w:rPr>
              <w:t>工程管线施工过程中，管线两侧约2米范围会作为临时施工便道、施工营地、材料堆放加工场地等。这种临时占地对生态环境的影响主要表现在对提土地利用格局的变化和施工期水土流失这两个方面。为了减轻工程施工对这两方面的影响，环评提出以下保护措施：</w:t>
            </w:r>
          </w:p>
          <w:p>
            <w:pPr>
              <w:numPr>
                <w:ilvl w:val="0"/>
                <w:numId w:val="5"/>
              </w:numPr>
              <w:adjustRightInd w:val="0"/>
              <w:snapToGrid w:val="0"/>
              <w:spacing w:line="360" w:lineRule="auto"/>
              <w:ind w:firstLine="480" w:firstLineChars="200"/>
              <w:rPr>
                <w:color w:val="auto"/>
                <w:lang w:bidi="ar"/>
              </w:rPr>
            </w:pPr>
            <w:r>
              <w:rPr>
                <w:color w:val="auto"/>
                <w:lang w:bidi="ar"/>
              </w:rPr>
              <w:t>施工期间，应确定施工区域和运输线路。严格施工管理，机具摆放有序，严禁乱堆乱放，以减少扰动的土地面积。</w:t>
            </w:r>
          </w:p>
          <w:p>
            <w:pPr>
              <w:numPr>
                <w:ilvl w:val="0"/>
                <w:numId w:val="5"/>
              </w:numPr>
              <w:adjustRightInd w:val="0"/>
              <w:snapToGrid w:val="0"/>
              <w:spacing w:line="360" w:lineRule="auto"/>
              <w:ind w:firstLine="480" w:firstLineChars="200"/>
              <w:rPr>
                <w:color w:val="auto"/>
              </w:rPr>
            </w:pPr>
            <w:r>
              <w:rPr>
                <w:color w:val="auto"/>
                <w:lang w:bidi="ar"/>
              </w:rPr>
              <w:t>管道施工完成后及时恢复原有土地使用功能，需要绿化的地块及时绿化。</w:t>
            </w:r>
          </w:p>
          <w:p>
            <w:pPr>
              <w:numPr>
                <w:ilvl w:val="0"/>
                <w:numId w:val="5"/>
              </w:numPr>
              <w:adjustRightInd w:val="0"/>
              <w:snapToGrid w:val="0"/>
              <w:spacing w:line="360" w:lineRule="auto"/>
              <w:ind w:firstLine="480" w:firstLineChars="200"/>
              <w:rPr>
                <w:color w:val="auto"/>
              </w:rPr>
            </w:pPr>
            <w:r>
              <w:rPr>
                <w:color w:val="auto"/>
                <w:lang w:bidi="ar"/>
              </w:rPr>
              <w:t>施工结束后，拆除临建设施，建筑垃圾运至指定场所处置。</w:t>
            </w:r>
          </w:p>
          <w:p>
            <w:pPr>
              <w:numPr>
                <w:ilvl w:val="0"/>
                <w:numId w:val="5"/>
              </w:numPr>
              <w:adjustRightInd w:val="0"/>
              <w:snapToGrid w:val="0"/>
              <w:spacing w:line="360" w:lineRule="auto"/>
              <w:ind w:firstLine="480" w:firstLineChars="200"/>
              <w:rPr>
                <w:color w:val="auto"/>
              </w:rPr>
            </w:pPr>
            <w:r>
              <w:rPr>
                <w:color w:val="auto"/>
                <w:lang w:bidi="ar"/>
              </w:rPr>
              <w:t>在建设期对主体工程区周边以及施工场地、道路影响范围内加强监督与管理、预防保护工作为主。</w:t>
            </w:r>
          </w:p>
          <w:p>
            <w:pPr>
              <w:numPr>
                <w:ilvl w:val="0"/>
                <w:numId w:val="5"/>
              </w:numPr>
              <w:adjustRightInd w:val="0"/>
              <w:snapToGrid w:val="0"/>
              <w:spacing w:line="360" w:lineRule="auto"/>
              <w:ind w:firstLine="480" w:firstLineChars="200"/>
              <w:rPr>
                <w:color w:val="auto"/>
              </w:rPr>
            </w:pPr>
            <w:r>
              <w:rPr>
                <w:color w:val="auto"/>
                <w:lang w:bidi="ar"/>
              </w:rPr>
              <w:t>加快施工进度，管网施工实施分段施工。</w:t>
            </w:r>
          </w:p>
          <w:p>
            <w:pPr>
              <w:widowControl/>
              <w:adjustRightInd w:val="0"/>
              <w:snapToGrid w:val="0"/>
              <w:spacing w:line="360" w:lineRule="auto"/>
              <w:ind w:firstLine="480" w:firstLineChars="200"/>
              <w:rPr>
                <w:color w:val="auto"/>
                <w:lang w:bidi="ar"/>
              </w:rPr>
            </w:pPr>
            <w:r>
              <w:rPr>
                <w:color w:val="auto"/>
                <w:lang w:bidi="ar"/>
              </w:rPr>
              <w:t>由于项目建设量不大，施工范围小，施工期也不长，施工期对环境的影响随着施工期结束而消除。通过采取防治措施后，本项目施工期对环境影响可以接受。</w:t>
            </w:r>
          </w:p>
          <w:p>
            <w:pPr>
              <w:tabs>
                <w:tab w:val="left" w:pos="1080"/>
              </w:tabs>
              <w:adjustRightInd w:val="0"/>
              <w:snapToGrid w:val="0"/>
              <w:spacing w:line="360" w:lineRule="auto"/>
              <w:ind w:firstLine="482" w:firstLineChars="200"/>
              <w:outlineLvl w:val="3"/>
              <w:rPr>
                <w:b/>
                <w:color w:val="auto"/>
              </w:rPr>
            </w:pPr>
            <w:r>
              <w:rPr>
                <w:b/>
                <w:color w:val="auto"/>
              </w:rPr>
              <w:t>1.8施工期对地下水环境的影响</w:t>
            </w:r>
          </w:p>
          <w:p>
            <w:pPr>
              <w:adjustRightInd w:val="0"/>
              <w:snapToGrid w:val="0"/>
              <w:spacing w:line="360" w:lineRule="auto"/>
              <w:ind w:firstLine="480" w:firstLineChars="200"/>
              <w:rPr>
                <w:bCs/>
                <w:color w:val="auto"/>
              </w:rPr>
            </w:pPr>
            <w:r>
              <w:rPr>
                <w:bCs/>
                <w:color w:val="auto"/>
              </w:rPr>
              <w:t>1、污水处理站建设对地下水环境的影响</w:t>
            </w:r>
          </w:p>
          <w:p>
            <w:pPr>
              <w:adjustRightInd w:val="0"/>
              <w:snapToGrid w:val="0"/>
              <w:spacing w:line="360" w:lineRule="auto"/>
              <w:ind w:firstLine="480" w:firstLineChars="200"/>
              <w:rPr>
                <w:bCs/>
                <w:color w:val="auto"/>
              </w:rPr>
            </w:pPr>
            <w:r>
              <w:rPr>
                <w:bCs/>
                <w:color w:val="auto"/>
              </w:rPr>
              <w:t>拟建建筑物基础在开挖时应考虑采用必要的降水处理措施，并注意建筑物（构筑物）的抗浮设计，如加大建筑物（构筑物）的恒载或采用面状均匀布置的锚杆措施。降水措施抽出的地下涌水采用管道收集后进入临时沉淀池处理后作为施工用水进行回用。</w:t>
            </w:r>
          </w:p>
          <w:p>
            <w:pPr>
              <w:adjustRightInd w:val="0"/>
              <w:snapToGrid w:val="0"/>
              <w:spacing w:line="360" w:lineRule="auto"/>
              <w:ind w:firstLine="480" w:firstLineChars="200"/>
              <w:rPr>
                <w:bCs/>
                <w:color w:val="auto"/>
              </w:rPr>
            </w:pPr>
            <w:r>
              <w:rPr>
                <w:bCs/>
                <w:color w:val="auto"/>
              </w:rPr>
              <w:t>由于项目施工面积不大，因此对区域地下水影响不大。</w:t>
            </w:r>
          </w:p>
          <w:p>
            <w:pPr>
              <w:adjustRightInd w:val="0"/>
              <w:snapToGrid w:val="0"/>
              <w:spacing w:line="360" w:lineRule="auto"/>
              <w:ind w:firstLine="480" w:firstLineChars="200"/>
              <w:rPr>
                <w:bCs/>
                <w:color w:val="auto"/>
              </w:rPr>
            </w:pPr>
            <w:r>
              <w:rPr>
                <w:bCs/>
                <w:color w:val="auto"/>
              </w:rPr>
              <w:t>2、管网工程建设对地下水环境的影响</w:t>
            </w:r>
          </w:p>
          <w:p>
            <w:pPr>
              <w:adjustRightInd w:val="0"/>
              <w:snapToGrid w:val="0"/>
              <w:spacing w:line="360" w:lineRule="auto"/>
              <w:ind w:firstLine="480" w:firstLineChars="200"/>
              <w:rPr>
                <w:rFonts w:eastAsia="黑体"/>
                <w:bCs/>
                <w:color w:val="auto"/>
                <w:sz w:val="28"/>
                <w:szCs w:val="28"/>
              </w:rPr>
            </w:pPr>
            <w:r>
              <w:rPr>
                <w:bCs/>
                <w:color w:val="auto"/>
              </w:rPr>
              <w:t>管网工程施工期间，施工场地内堆放的各种建筑材料、施工废弃物以及机械漏油在雨水的冲刷下可能导致污染物下渗进入地下水，造成地下水污染。施工过程中保证施工机械和车辆清洁并正常运行的条件下，产生的油污很少，且容易浮于泥浆之上被带走。部分管道施工段所在区域地下水埋深较浅，管道开挖过程可能造成地下水涌水。为此，为保护地下水环境，防止地下水漏失，在管道施工时对渗、漏水处理应坚持“以堵为主，防治结合”的原则。在施工前对管道填埋区要进行较详细的地质和水文地质勘察，查清地下水赋存规律和补、径、排条件，判断有无大的导水构造，制定详细的施工防治水方案。</w:t>
            </w:r>
          </w:p>
          <w:p>
            <w:pPr>
              <w:adjustRightInd w:val="0"/>
              <w:snapToGrid w:val="0"/>
              <w:spacing w:line="360" w:lineRule="auto"/>
              <w:rPr>
                <w:rFonts w:eastAsia="黑体"/>
                <w:bCs/>
                <w:color w:val="auto"/>
                <w:sz w:val="28"/>
                <w:szCs w:val="28"/>
              </w:rPr>
            </w:pPr>
            <w:r>
              <w:rPr>
                <w:rFonts w:eastAsia="黑体"/>
                <w:bCs/>
                <w:color w:val="auto"/>
                <w:sz w:val="28"/>
                <w:szCs w:val="28"/>
              </w:rPr>
              <w:t>二、营运期环境影响分析</w:t>
            </w:r>
          </w:p>
          <w:p>
            <w:pPr>
              <w:pStyle w:val="3"/>
              <w:adjustRightInd w:val="0"/>
              <w:snapToGrid w:val="0"/>
              <w:spacing w:line="360" w:lineRule="auto"/>
              <w:ind w:firstLine="482" w:firstLineChars="200"/>
              <w:rPr>
                <w:rFonts w:hint="default" w:ascii="Times New Roman" w:hAnsi="Times New Roman"/>
                <w:b/>
                <w:color w:val="auto"/>
                <w:kern w:val="2"/>
                <w:szCs w:val="24"/>
              </w:rPr>
            </w:pPr>
            <w:r>
              <w:rPr>
                <w:rFonts w:hint="default" w:ascii="Times New Roman" w:hAnsi="Times New Roman"/>
                <w:b/>
                <w:color w:val="auto"/>
                <w:kern w:val="2"/>
                <w:szCs w:val="24"/>
              </w:rPr>
              <w:t>2.1大气环境影响分析及其防治措施</w:t>
            </w:r>
          </w:p>
          <w:p>
            <w:pPr>
              <w:adjustRightInd w:val="0"/>
              <w:snapToGrid w:val="0"/>
              <w:spacing w:line="360" w:lineRule="auto"/>
              <w:ind w:firstLine="480" w:firstLineChars="200"/>
              <w:jc w:val="left"/>
              <w:rPr>
                <w:color w:val="auto"/>
              </w:rPr>
            </w:pPr>
            <w:r>
              <w:rPr>
                <w:color w:val="auto"/>
              </w:rPr>
              <w:t>（1）恶臭源分析</w:t>
            </w:r>
          </w:p>
          <w:p>
            <w:pPr>
              <w:adjustRightInd w:val="0"/>
              <w:snapToGrid w:val="0"/>
              <w:spacing w:line="360" w:lineRule="auto"/>
              <w:ind w:firstLine="480" w:firstLineChars="200"/>
              <w:jc w:val="left"/>
              <w:rPr>
                <w:color w:val="auto"/>
              </w:rPr>
            </w:pPr>
            <w:r>
              <w:rPr>
                <w:color w:val="auto"/>
              </w:rPr>
              <w:t>恶臭污染是由恶臭物质引起的感觉公害。当恶臭物质直接作用于人器官时，不仅给人以感官上的刺激，使人产生不愉快和厌恶感，而且也对体健康造成同程度的危害。污水处理厂恶臭气体的主要成分为氨、硫化氢等，恶臭物质的恶臭特征见表7-6。</w:t>
            </w:r>
          </w:p>
          <w:p>
            <w:pPr>
              <w:adjustRightInd w:val="0"/>
              <w:snapToGrid w:val="0"/>
              <w:spacing w:line="360" w:lineRule="auto"/>
              <w:ind w:firstLine="480" w:firstLineChars="200"/>
              <w:jc w:val="center"/>
              <w:rPr>
                <w:rFonts w:eastAsia="黑体"/>
                <w:bCs/>
                <w:color w:val="auto"/>
              </w:rPr>
            </w:pPr>
            <w:r>
              <w:rPr>
                <w:rFonts w:eastAsia="黑体"/>
                <w:bCs/>
                <w:color w:val="auto"/>
              </w:rPr>
              <w:t>表7-6  主要恶臭物质的恶臭特征</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9"/>
              <w:gridCol w:w="3019"/>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19" w:type="dxa"/>
                  <w:noWrap w:val="0"/>
                  <w:vAlign w:val="top"/>
                </w:tcPr>
                <w:p>
                  <w:pPr>
                    <w:adjustRightInd w:val="0"/>
                    <w:snapToGrid w:val="0"/>
                    <w:jc w:val="center"/>
                    <w:rPr>
                      <w:b/>
                      <w:bCs/>
                      <w:color w:val="auto"/>
                      <w:szCs w:val="21"/>
                    </w:rPr>
                  </w:pPr>
                  <w:r>
                    <w:rPr>
                      <w:b/>
                      <w:bCs/>
                      <w:color w:val="auto"/>
                    </w:rPr>
                    <w:t>恶臭物质</w:t>
                  </w:r>
                </w:p>
              </w:tc>
              <w:tc>
                <w:tcPr>
                  <w:tcW w:w="3019" w:type="dxa"/>
                  <w:noWrap w:val="0"/>
                  <w:vAlign w:val="top"/>
                </w:tcPr>
                <w:p>
                  <w:pPr>
                    <w:pStyle w:val="21"/>
                    <w:adjustRightInd w:val="0"/>
                    <w:snapToGrid w:val="0"/>
                    <w:spacing w:before="0" w:line="240" w:lineRule="auto"/>
                    <w:ind w:firstLine="0"/>
                    <w:jc w:val="center"/>
                    <w:rPr>
                      <w:rFonts w:ascii="Times New Roman"/>
                      <w:b/>
                      <w:bCs/>
                      <w:color w:val="auto"/>
                      <w:sz w:val="21"/>
                      <w:szCs w:val="21"/>
                    </w:rPr>
                  </w:pPr>
                  <w:r>
                    <w:rPr>
                      <w:rFonts w:ascii="Times New Roman"/>
                      <w:b/>
                      <w:bCs/>
                      <w:color w:val="auto"/>
                      <w:sz w:val="21"/>
                    </w:rPr>
                    <w:t>硫化氢</w:t>
                  </w:r>
                </w:p>
              </w:tc>
              <w:tc>
                <w:tcPr>
                  <w:tcW w:w="3020" w:type="dxa"/>
                  <w:noWrap w:val="0"/>
                  <w:vAlign w:val="top"/>
                </w:tcPr>
                <w:p>
                  <w:pPr>
                    <w:pStyle w:val="21"/>
                    <w:adjustRightInd w:val="0"/>
                    <w:snapToGrid w:val="0"/>
                    <w:spacing w:before="0" w:line="240" w:lineRule="auto"/>
                    <w:ind w:firstLine="0"/>
                    <w:jc w:val="center"/>
                    <w:rPr>
                      <w:rFonts w:ascii="Times New Roman"/>
                      <w:b/>
                      <w:bCs/>
                      <w:color w:val="auto"/>
                      <w:sz w:val="21"/>
                      <w:szCs w:val="21"/>
                    </w:rPr>
                  </w:pPr>
                  <w:r>
                    <w:rPr>
                      <w:rFonts w:ascii="Times New Roman"/>
                      <w:b/>
                      <w:bCs/>
                      <w:color w:val="auto"/>
                      <w:sz w:val="21"/>
                    </w:rPr>
                    <w:t>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9" w:type="dxa"/>
                  <w:noWrap w:val="0"/>
                  <w:vAlign w:val="top"/>
                </w:tcPr>
                <w:p>
                  <w:pPr>
                    <w:pStyle w:val="21"/>
                    <w:adjustRightInd w:val="0"/>
                    <w:snapToGrid w:val="0"/>
                    <w:spacing w:before="0" w:line="240" w:lineRule="auto"/>
                    <w:ind w:firstLine="0"/>
                    <w:jc w:val="center"/>
                    <w:rPr>
                      <w:rFonts w:ascii="Times New Roman"/>
                      <w:b/>
                      <w:bCs/>
                      <w:color w:val="auto"/>
                      <w:sz w:val="21"/>
                      <w:szCs w:val="21"/>
                    </w:rPr>
                  </w:pPr>
                  <w:r>
                    <w:rPr>
                      <w:rFonts w:ascii="Times New Roman"/>
                      <w:color w:val="auto"/>
                      <w:sz w:val="21"/>
                    </w:rPr>
                    <w:t>臭气性质</w:t>
                  </w:r>
                </w:p>
              </w:tc>
              <w:tc>
                <w:tcPr>
                  <w:tcW w:w="3019" w:type="dxa"/>
                  <w:noWrap w:val="0"/>
                  <w:vAlign w:val="top"/>
                </w:tcPr>
                <w:p>
                  <w:pPr>
                    <w:pStyle w:val="21"/>
                    <w:adjustRightInd w:val="0"/>
                    <w:snapToGrid w:val="0"/>
                    <w:spacing w:before="0" w:line="240" w:lineRule="auto"/>
                    <w:ind w:firstLine="0"/>
                    <w:jc w:val="center"/>
                    <w:rPr>
                      <w:rFonts w:ascii="Times New Roman"/>
                      <w:b/>
                      <w:bCs/>
                      <w:color w:val="auto"/>
                      <w:sz w:val="21"/>
                      <w:szCs w:val="21"/>
                    </w:rPr>
                  </w:pPr>
                  <w:r>
                    <w:rPr>
                      <w:rFonts w:ascii="Times New Roman"/>
                      <w:color w:val="auto"/>
                      <w:sz w:val="21"/>
                    </w:rPr>
                    <w:t>腐烂性蛋臭</w:t>
                  </w:r>
                </w:p>
              </w:tc>
              <w:tc>
                <w:tcPr>
                  <w:tcW w:w="3020" w:type="dxa"/>
                  <w:noWrap w:val="0"/>
                  <w:vAlign w:val="top"/>
                </w:tcPr>
                <w:p>
                  <w:pPr>
                    <w:pStyle w:val="21"/>
                    <w:adjustRightInd w:val="0"/>
                    <w:snapToGrid w:val="0"/>
                    <w:spacing w:before="0" w:line="240" w:lineRule="auto"/>
                    <w:ind w:firstLine="0"/>
                    <w:jc w:val="center"/>
                    <w:rPr>
                      <w:rFonts w:ascii="Times New Roman"/>
                      <w:b/>
                      <w:bCs/>
                      <w:color w:val="auto"/>
                      <w:sz w:val="21"/>
                      <w:szCs w:val="21"/>
                    </w:rPr>
                  </w:pPr>
                  <w:r>
                    <w:rPr>
                      <w:rFonts w:ascii="Times New Roman"/>
                      <w:color w:val="auto"/>
                      <w:sz w:val="21"/>
                    </w:rPr>
                    <w:t>特殊的刺激性臭</w:t>
                  </w:r>
                </w:p>
              </w:tc>
            </w:tr>
          </w:tbl>
          <w:p>
            <w:pPr>
              <w:adjustRightInd w:val="0"/>
              <w:snapToGrid w:val="0"/>
              <w:spacing w:line="360" w:lineRule="auto"/>
              <w:ind w:firstLine="480" w:firstLineChars="200"/>
              <w:jc w:val="left"/>
              <w:rPr>
                <w:color w:val="auto"/>
              </w:rPr>
            </w:pPr>
            <w:r>
              <w:rPr>
                <w:color w:val="auto"/>
              </w:rPr>
              <w:t>本项目主要的恶臭排放源是格栅</w:t>
            </w:r>
            <w:r>
              <w:rPr>
                <w:rFonts w:hint="eastAsia"/>
                <w:color w:val="auto"/>
              </w:rPr>
              <w:t>井</w:t>
            </w:r>
            <w:r>
              <w:rPr>
                <w:color w:val="auto"/>
              </w:rPr>
              <w:t>、</w:t>
            </w:r>
            <w:r>
              <w:rPr>
                <w:rFonts w:hint="eastAsia"/>
                <w:color w:val="auto"/>
              </w:rPr>
              <w:t>缺氧池</w:t>
            </w:r>
            <w:r>
              <w:rPr>
                <w:color w:val="auto"/>
              </w:rPr>
              <w:t>等。</w:t>
            </w:r>
          </w:p>
          <w:p>
            <w:pPr>
              <w:adjustRightInd w:val="0"/>
              <w:snapToGrid w:val="0"/>
              <w:spacing w:line="360" w:lineRule="auto"/>
              <w:ind w:firstLine="480" w:firstLineChars="200"/>
              <w:jc w:val="center"/>
              <w:rPr>
                <w:rFonts w:eastAsia="黑体"/>
                <w:bCs/>
                <w:color w:val="auto"/>
              </w:rPr>
            </w:pPr>
            <w:r>
              <w:rPr>
                <w:rFonts w:eastAsia="黑体"/>
                <w:bCs/>
                <w:color w:val="auto"/>
              </w:rPr>
              <w:t>表7-7  项目恶臭气体排放情况表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497"/>
              <w:gridCol w:w="882"/>
              <w:gridCol w:w="772"/>
              <w:gridCol w:w="667"/>
              <w:gridCol w:w="545"/>
              <w:gridCol w:w="480"/>
              <w:gridCol w:w="612"/>
              <w:gridCol w:w="1069"/>
              <w:gridCol w:w="873"/>
              <w:gridCol w:w="493"/>
              <w:gridCol w:w="978"/>
              <w:gridCol w:w="8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0" w:hRule="atLeast"/>
                <w:tblHeader/>
                <w:jc w:val="center"/>
              </w:trPr>
              <w:tc>
                <w:tcPr>
                  <w:tcW w:w="497" w:type="dxa"/>
                  <w:vMerge w:val="restart"/>
                  <w:noWrap w:val="0"/>
                  <w:vAlign w:val="center"/>
                </w:tcPr>
                <w:p>
                  <w:pPr>
                    <w:jc w:val="center"/>
                    <w:rPr>
                      <w:color w:val="auto"/>
                      <w:sz w:val="18"/>
                      <w:szCs w:val="18"/>
                    </w:rPr>
                  </w:pPr>
                  <w:r>
                    <w:rPr>
                      <w:color w:val="auto"/>
                      <w:sz w:val="18"/>
                      <w:szCs w:val="18"/>
                    </w:rPr>
                    <w:t>名称</w:t>
                  </w:r>
                </w:p>
              </w:tc>
              <w:tc>
                <w:tcPr>
                  <w:tcW w:w="1654" w:type="dxa"/>
                  <w:gridSpan w:val="2"/>
                  <w:noWrap w:val="0"/>
                  <w:vAlign w:val="center"/>
                </w:tcPr>
                <w:p>
                  <w:pPr>
                    <w:jc w:val="center"/>
                    <w:rPr>
                      <w:color w:val="auto"/>
                      <w:sz w:val="18"/>
                      <w:szCs w:val="18"/>
                    </w:rPr>
                  </w:pPr>
                  <w:r>
                    <w:rPr>
                      <w:color w:val="auto"/>
                      <w:sz w:val="18"/>
                      <w:szCs w:val="18"/>
                    </w:rPr>
                    <w:t>面源起点坐标</w:t>
                  </w:r>
                </w:p>
              </w:tc>
              <w:tc>
                <w:tcPr>
                  <w:tcW w:w="667" w:type="dxa"/>
                  <w:vMerge w:val="restart"/>
                  <w:noWrap w:val="0"/>
                  <w:vAlign w:val="center"/>
                </w:tcPr>
                <w:p>
                  <w:pPr>
                    <w:jc w:val="center"/>
                    <w:rPr>
                      <w:color w:val="auto"/>
                      <w:sz w:val="18"/>
                      <w:szCs w:val="18"/>
                    </w:rPr>
                  </w:pPr>
                  <w:r>
                    <w:rPr>
                      <w:color w:val="auto"/>
                      <w:sz w:val="18"/>
                      <w:szCs w:val="18"/>
                    </w:rPr>
                    <w:t>面源海拔高度/m</w:t>
                  </w:r>
                </w:p>
              </w:tc>
              <w:tc>
                <w:tcPr>
                  <w:tcW w:w="545" w:type="dxa"/>
                  <w:vMerge w:val="restart"/>
                  <w:noWrap w:val="0"/>
                  <w:vAlign w:val="center"/>
                </w:tcPr>
                <w:p>
                  <w:pPr>
                    <w:jc w:val="center"/>
                    <w:rPr>
                      <w:color w:val="auto"/>
                      <w:sz w:val="18"/>
                      <w:szCs w:val="18"/>
                    </w:rPr>
                  </w:pPr>
                  <w:r>
                    <w:rPr>
                      <w:color w:val="auto"/>
                      <w:sz w:val="18"/>
                      <w:szCs w:val="18"/>
                    </w:rPr>
                    <w:t>面源</w:t>
                  </w:r>
                </w:p>
                <w:p>
                  <w:pPr>
                    <w:jc w:val="center"/>
                    <w:rPr>
                      <w:color w:val="auto"/>
                      <w:sz w:val="18"/>
                      <w:szCs w:val="18"/>
                    </w:rPr>
                  </w:pPr>
                  <w:r>
                    <w:rPr>
                      <w:color w:val="auto"/>
                      <w:sz w:val="18"/>
                      <w:szCs w:val="18"/>
                    </w:rPr>
                    <w:t>长度/m</w:t>
                  </w:r>
                </w:p>
              </w:tc>
              <w:tc>
                <w:tcPr>
                  <w:tcW w:w="480" w:type="dxa"/>
                  <w:vMerge w:val="restart"/>
                  <w:noWrap w:val="0"/>
                  <w:vAlign w:val="center"/>
                </w:tcPr>
                <w:p>
                  <w:pPr>
                    <w:jc w:val="center"/>
                    <w:rPr>
                      <w:color w:val="auto"/>
                      <w:sz w:val="18"/>
                      <w:szCs w:val="18"/>
                    </w:rPr>
                  </w:pPr>
                  <w:r>
                    <w:rPr>
                      <w:color w:val="auto"/>
                      <w:sz w:val="18"/>
                      <w:szCs w:val="18"/>
                    </w:rPr>
                    <w:t>面源</w:t>
                  </w:r>
                </w:p>
                <w:p>
                  <w:pPr>
                    <w:jc w:val="center"/>
                    <w:rPr>
                      <w:color w:val="auto"/>
                      <w:sz w:val="18"/>
                      <w:szCs w:val="18"/>
                    </w:rPr>
                  </w:pPr>
                  <w:r>
                    <w:rPr>
                      <w:color w:val="auto"/>
                      <w:sz w:val="18"/>
                      <w:szCs w:val="18"/>
                    </w:rPr>
                    <w:t>宽度/m</w:t>
                  </w:r>
                </w:p>
              </w:tc>
              <w:tc>
                <w:tcPr>
                  <w:tcW w:w="612" w:type="dxa"/>
                  <w:vMerge w:val="restart"/>
                  <w:noWrap w:val="0"/>
                  <w:vAlign w:val="center"/>
                </w:tcPr>
                <w:p>
                  <w:pPr>
                    <w:jc w:val="center"/>
                    <w:rPr>
                      <w:color w:val="auto"/>
                      <w:sz w:val="18"/>
                      <w:szCs w:val="18"/>
                    </w:rPr>
                  </w:pPr>
                  <w:r>
                    <w:rPr>
                      <w:color w:val="auto"/>
                      <w:sz w:val="18"/>
                      <w:szCs w:val="18"/>
                    </w:rPr>
                    <w:t>与正北夹角/</w:t>
                  </w:r>
                  <w:r>
                    <w:rPr>
                      <w:color w:val="auto"/>
                      <w:sz w:val="18"/>
                      <w:szCs w:val="18"/>
                      <w:vertAlign w:val="superscript"/>
                    </w:rPr>
                    <w:t>o</w:t>
                  </w:r>
                </w:p>
              </w:tc>
              <w:tc>
                <w:tcPr>
                  <w:tcW w:w="1069" w:type="dxa"/>
                  <w:vMerge w:val="restart"/>
                  <w:noWrap w:val="0"/>
                  <w:vAlign w:val="center"/>
                </w:tcPr>
                <w:p>
                  <w:pPr>
                    <w:jc w:val="center"/>
                    <w:rPr>
                      <w:color w:val="auto"/>
                      <w:sz w:val="18"/>
                      <w:szCs w:val="18"/>
                    </w:rPr>
                  </w:pPr>
                  <w:r>
                    <w:rPr>
                      <w:color w:val="auto"/>
                      <w:sz w:val="18"/>
                      <w:szCs w:val="18"/>
                    </w:rPr>
                    <w:t>面源有效排放高度/m</w:t>
                  </w:r>
                </w:p>
              </w:tc>
              <w:tc>
                <w:tcPr>
                  <w:tcW w:w="873" w:type="dxa"/>
                  <w:vMerge w:val="restart"/>
                  <w:noWrap w:val="0"/>
                  <w:vAlign w:val="center"/>
                </w:tcPr>
                <w:p>
                  <w:pPr>
                    <w:jc w:val="center"/>
                    <w:rPr>
                      <w:color w:val="auto"/>
                      <w:sz w:val="18"/>
                      <w:szCs w:val="18"/>
                    </w:rPr>
                  </w:pPr>
                  <w:r>
                    <w:rPr>
                      <w:color w:val="auto"/>
                      <w:sz w:val="18"/>
                      <w:szCs w:val="18"/>
                    </w:rPr>
                    <w:t>年排放小时数/h</w:t>
                  </w:r>
                </w:p>
              </w:tc>
              <w:tc>
                <w:tcPr>
                  <w:tcW w:w="493" w:type="dxa"/>
                  <w:vMerge w:val="restart"/>
                  <w:noWrap w:val="0"/>
                  <w:vAlign w:val="center"/>
                </w:tcPr>
                <w:p>
                  <w:pPr>
                    <w:jc w:val="center"/>
                    <w:rPr>
                      <w:color w:val="auto"/>
                      <w:sz w:val="18"/>
                      <w:szCs w:val="18"/>
                    </w:rPr>
                  </w:pPr>
                  <w:r>
                    <w:rPr>
                      <w:color w:val="auto"/>
                      <w:sz w:val="18"/>
                      <w:szCs w:val="18"/>
                    </w:rPr>
                    <w:t>排放工况</w:t>
                  </w:r>
                </w:p>
              </w:tc>
              <w:tc>
                <w:tcPr>
                  <w:tcW w:w="1820" w:type="dxa"/>
                  <w:gridSpan w:val="2"/>
                  <w:noWrap w:val="0"/>
                  <w:vAlign w:val="center"/>
                </w:tcPr>
                <w:p>
                  <w:pPr>
                    <w:jc w:val="center"/>
                    <w:rPr>
                      <w:color w:val="auto"/>
                      <w:sz w:val="18"/>
                      <w:szCs w:val="18"/>
                    </w:rPr>
                  </w:pPr>
                  <w:r>
                    <w:rPr>
                      <w:color w:val="auto"/>
                      <w:sz w:val="18"/>
                      <w:szCs w:val="18"/>
                    </w:rPr>
                    <w:t>污染物排放速率（kg/h）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6" w:hRule="atLeast"/>
                <w:tblHeader/>
                <w:jc w:val="center"/>
              </w:trPr>
              <w:tc>
                <w:tcPr>
                  <w:tcW w:w="497" w:type="dxa"/>
                  <w:vMerge w:val="continue"/>
                  <w:noWrap w:val="0"/>
                  <w:vAlign w:val="center"/>
                </w:tcPr>
                <w:p>
                  <w:pPr>
                    <w:jc w:val="center"/>
                    <w:rPr>
                      <w:color w:val="auto"/>
                      <w:sz w:val="18"/>
                      <w:szCs w:val="18"/>
                    </w:rPr>
                  </w:pPr>
                </w:p>
              </w:tc>
              <w:tc>
                <w:tcPr>
                  <w:tcW w:w="882" w:type="dxa"/>
                  <w:noWrap w:val="0"/>
                  <w:vAlign w:val="center"/>
                </w:tcPr>
                <w:p>
                  <w:pPr>
                    <w:jc w:val="center"/>
                    <w:rPr>
                      <w:color w:val="auto"/>
                      <w:sz w:val="18"/>
                      <w:szCs w:val="18"/>
                    </w:rPr>
                  </w:pPr>
                  <w:r>
                    <w:rPr>
                      <w:color w:val="auto"/>
                      <w:sz w:val="21"/>
                      <w:szCs w:val="21"/>
                    </w:rPr>
                    <w:t>经度</w:t>
                  </w:r>
                </w:p>
              </w:tc>
              <w:tc>
                <w:tcPr>
                  <w:tcW w:w="772" w:type="dxa"/>
                  <w:noWrap w:val="0"/>
                  <w:vAlign w:val="center"/>
                </w:tcPr>
                <w:p>
                  <w:pPr>
                    <w:jc w:val="center"/>
                    <w:rPr>
                      <w:color w:val="auto"/>
                      <w:sz w:val="18"/>
                      <w:szCs w:val="18"/>
                    </w:rPr>
                  </w:pPr>
                  <w:r>
                    <w:rPr>
                      <w:color w:val="auto"/>
                      <w:sz w:val="21"/>
                      <w:szCs w:val="21"/>
                    </w:rPr>
                    <w:t>纬度</w:t>
                  </w:r>
                </w:p>
              </w:tc>
              <w:tc>
                <w:tcPr>
                  <w:tcW w:w="667" w:type="dxa"/>
                  <w:vMerge w:val="continue"/>
                  <w:noWrap w:val="0"/>
                  <w:vAlign w:val="center"/>
                </w:tcPr>
                <w:p>
                  <w:pPr>
                    <w:jc w:val="center"/>
                    <w:rPr>
                      <w:color w:val="auto"/>
                      <w:sz w:val="18"/>
                      <w:szCs w:val="18"/>
                    </w:rPr>
                  </w:pPr>
                </w:p>
              </w:tc>
              <w:tc>
                <w:tcPr>
                  <w:tcW w:w="545" w:type="dxa"/>
                  <w:vMerge w:val="continue"/>
                  <w:noWrap w:val="0"/>
                  <w:vAlign w:val="center"/>
                </w:tcPr>
                <w:p>
                  <w:pPr>
                    <w:jc w:val="center"/>
                    <w:rPr>
                      <w:color w:val="auto"/>
                      <w:sz w:val="18"/>
                      <w:szCs w:val="18"/>
                    </w:rPr>
                  </w:pPr>
                </w:p>
              </w:tc>
              <w:tc>
                <w:tcPr>
                  <w:tcW w:w="480" w:type="dxa"/>
                  <w:vMerge w:val="continue"/>
                  <w:noWrap w:val="0"/>
                  <w:vAlign w:val="center"/>
                </w:tcPr>
                <w:p>
                  <w:pPr>
                    <w:jc w:val="center"/>
                    <w:rPr>
                      <w:color w:val="auto"/>
                      <w:sz w:val="18"/>
                      <w:szCs w:val="18"/>
                    </w:rPr>
                  </w:pPr>
                </w:p>
              </w:tc>
              <w:tc>
                <w:tcPr>
                  <w:tcW w:w="612" w:type="dxa"/>
                  <w:vMerge w:val="continue"/>
                  <w:noWrap w:val="0"/>
                  <w:vAlign w:val="center"/>
                </w:tcPr>
                <w:p>
                  <w:pPr>
                    <w:jc w:val="center"/>
                    <w:rPr>
                      <w:color w:val="auto"/>
                      <w:sz w:val="18"/>
                      <w:szCs w:val="18"/>
                    </w:rPr>
                  </w:pPr>
                </w:p>
              </w:tc>
              <w:tc>
                <w:tcPr>
                  <w:tcW w:w="1069" w:type="dxa"/>
                  <w:vMerge w:val="continue"/>
                  <w:noWrap w:val="0"/>
                  <w:vAlign w:val="center"/>
                </w:tcPr>
                <w:p>
                  <w:pPr>
                    <w:jc w:val="center"/>
                    <w:rPr>
                      <w:color w:val="auto"/>
                      <w:sz w:val="18"/>
                      <w:szCs w:val="18"/>
                    </w:rPr>
                  </w:pPr>
                </w:p>
              </w:tc>
              <w:tc>
                <w:tcPr>
                  <w:tcW w:w="873" w:type="dxa"/>
                  <w:vMerge w:val="continue"/>
                  <w:noWrap w:val="0"/>
                  <w:vAlign w:val="center"/>
                </w:tcPr>
                <w:p>
                  <w:pPr>
                    <w:jc w:val="center"/>
                    <w:rPr>
                      <w:color w:val="auto"/>
                      <w:sz w:val="18"/>
                      <w:szCs w:val="18"/>
                    </w:rPr>
                  </w:pPr>
                </w:p>
              </w:tc>
              <w:tc>
                <w:tcPr>
                  <w:tcW w:w="493" w:type="dxa"/>
                  <w:vMerge w:val="continue"/>
                  <w:noWrap w:val="0"/>
                  <w:vAlign w:val="center"/>
                </w:tcPr>
                <w:p>
                  <w:pPr>
                    <w:jc w:val="center"/>
                    <w:rPr>
                      <w:color w:val="auto"/>
                      <w:sz w:val="18"/>
                      <w:szCs w:val="18"/>
                    </w:rPr>
                  </w:pPr>
                </w:p>
              </w:tc>
              <w:tc>
                <w:tcPr>
                  <w:tcW w:w="978" w:type="dxa"/>
                  <w:tcBorders>
                    <w:right w:val="single" w:color="auto" w:sz="4" w:space="0"/>
                  </w:tcBorders>
                  <w:noWrap w:val="0"/>
                  <w:vAlign w:val="center"/>
                </w:tcPr>
                <w:p>
                  <w:pPr>
                    <w:adjustRightInd w:val="0"/>
                    <w:snapToGrid w:val="0"/>
                    <w:jc w:val="center"/>
                    <w:rPr>
                      <w:color w:val="auto"/>
                      <w:sz w:val="18"/>
                      <w:szCs w:val="18"/>
                    </w:rPr>
                  </w:pPr>
                  <w:r>
                    <w:rPr>
                      <w:bCs/>
                      <w:color w:val="auto"/>
                      <w:sz w:val="18"/>
                      <w:szCs w:val="18"/>
                    </w:rPr>
                    <w:t>NH</w:t>
                  </w:r>
                  <w:r>
                    <w:rPr>
                      <w:bCs/>
                      <w:color w:val="auto"/>
                      <w:sz w:val="18"/>
                      <w:szCs w:val="18"/>
                      <w:vertAlign w:val="subscript"/>
                    </w:rPr>
                    <w:t>3</w:t>
                  </w:r>
                </w:p>
              </w:tc>
              <w:tc>
                <w:tcPr>
                  <w:tcW w:w="842" w:type="dxa"/>
                  <w:tcBorders>
                    <w:left w:val="single" w:color="auto" w:sz="4" w:space="0"/>
                  </w:tcBorders>
                  <w:noWrap w:val="0"/>
                  <w:vAlign w:val="center"/>
                </w:tcPr>
                <w:p>
                  <w:pPr>
                    <w:adjustRightInd w:val="0"/>
                    <w:snapToGrid w:val="0"/>
                    <w:ind w:firstLine="90" w:firstLineChars="50"/>
                    <w:jc w:val="center"/>
                    <w:rPr>
                      <w:color w:val="auto"/>
                      <w:sz w:val="18"/>
                      <w:szCs w:val="18"/>
                    </w:rPr>
                  </w:pPr>
                  <w:r>
                    <w:rPr>
                      <w:bCs/>
                      <w:color w:val="auto"/>
                      <w:sz w:val="18"/>
                      <w:szCs w:val="18"/>
                    </w:rPr>
                    <w:t>H</w:t>
                  </w:r>
                  <w:r>
                    <w:rPr>
                      <w:bCs/>
                      <w:color w:val="auto"/>
                      <w:sz w:val="18"/>
                      <w:szCs w:val="18"/>
                      <w:vertAlign w:val="subscript"/>
                    </w:rPr>
                    <w:t>2</w:t>
                  </w:r>
                  <w:r>
                    <w:rPr>
                      <w:bCs/>
                      <w:color w:val="auto"/>
                      <w:sz w:val="18"/>
                      <w:szCs w:val="18"/>
                    </w:rPr>
                    <w:t>S</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6" w:hRule="atLeast"/>
                <w:jc w:val="center"/>
              </w:trPr>
              <w:tc>
                <w:tcPr>
                  <w:tcW w:w="497" w:type="dxa"/>
                  <w:noWrap w:val="0"/>
                  <w:vAlign w:val="center"/>
                </w:tcPr>
                <w:p>
                  <w:pPr>
                    <w:adjustRightInd w:val="0"/>
                    <w:snapToGrid w:val="0"/>
                    <w:spacing w:line="320" w:lineRule="exact"/>
                    <w:jc w:val="center"/>
                    <w:rPr>
                      <w:color w:val="auto"/>
                      <w:sz w:val="18"/>
                      <w:szCs w:val="18"/>
                    </w:rPr>
                  </w:pPr>
                  <w:r>
                    <w:rPr>
                      <w:color w:val="auto"/>
                      <w:sz w:val="18"/>
                      <w:szCs w:val="18"/>
                    </w:rPr>
                    <w:t>等效面源</w:t>
                  </w:r>
                </w:p>
              </w:tc>
              <w:tc>
                <w:tcPr>
                  <w:tcW w:w="882" w:type="dxa"/>
                  <w:noWrap w:val="0"/>
                  <w:vAlign w:val="center"/>
                </w:tcPr>
                <w:p>
                  <w:pPr>
                    <w:jc w:val="center"/>
                    <w:rPr>
                      <w:color w:val="auto"/>
                      <w:sz w:val="18"/>
                      <w:szCs w:val="18"/>
                    </w:rPr>
                  </w:pPr>
                  <w:r>
                    <w:rPr>
                      <w:color w:val="auto"/>
                      <w:sz w:val="21"/>
                      <w:szCs w:val="21"/>
                    </w:rPr>
                    <w:t>103.1893</w:t>
                  </w:r>
                </w:p>
              </w:tc>
              <w:tc>
                <w:tcPr>
                  <w:tcW w:w="772" w:type="dxa"/>
                  <w:noWrap w:val="0"/>
                  <w:vAlign w:val="center"/>
                </w:tcPr>
                <w:p>
                  <w:pPr>
                    <w:jc w:val="center"/>
                    <w:rPr>
                      <w:color w:val="auto"/>
                      <w:sz w:val="18"/>
                      <w:szCs w:val="18"/>
                    </w:rPr>
                  </w:pPr>
                  <w:r>
                    <w:rPr>
                      <w:color w:val="auto"/>
                      <w:sz w:val="21"/>
                      <w:szCs w:val="21"/>
                    </w:rPr>
                    <w:t>29.2248</w:t>
                  </w:r>
                </w:p>
              </w:tc>
              <w:tc>
                <w:tcPr>
                  <w:tcW w:w="667" w:type="dxa"/>
                  <w:noWrap w:val="0"/>
                  <w:vAlign w:val="center"/>
                </w:tcPr>
                <w:p>
                  <w:pPr>
                    <w:adjustRightInd w:val="0"/>
                    <w:snapToGrid w:val="0"/>
                    <w:spacing w:line="320" w:lineRule="exact"/>
                    <w:jc w:val="center"/>
                    <w:rPr>
                      <w:rFonts w:hint="eastAsia"/>
                      <w:color w:val="auto"/>
                      <w:sz w:val="18"/>
                      <w:szCs w:val="18"/>
                    </w:rPr>
                  </w:pPr>
                  <w:r>
                    <w:rPr>
                      <w:rFonts w:hint="eastAsia"/>
                      <w:color w:val="auto"/>
                      <w:sz w:val="18"/>
                      <w:szCs w:val="18"/>
                    </w:rPr>
                    <w:t>610</w:t>
                  </w:r>
                </w:p>
              </w:tc>
              <w:tc>
                <w:tcPr>
                  <w:tcW w:w="545" w:type="dxa"/>
                  <w:noWrap w:val="0"/>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20</w:t>
                  </w:r>
                </w:p>
              </w:tc>
              <w:tc>
                <w:tcPr>
                  <w:tcW w:w="480" w:type="dxa"/>
                  <w:noWrap w:val="0"/>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15</w:t>
                  </w:r>
                </w:p>
              </w:tc>
              <w:tc>
                <w:tcPr>
                  <w:tcW w:w="612" w:type="dxa"/>
                  <w:noWrap w:val="0"/>
                  <w:vAlign w:val="center"/>
                </w:tcPr>
                <w:p>
                  <w:pPr>
                    <w:widowControl/>
                    <w:adjustRightInd w:val="0"/>
                    <w:snapToGrid w:val="0"/>
                    <w:jc w:val="center"/>
                    <w:rPr>
                      <w:color w:val="auto"/>
                      <w:kern w:val="0"/>
                      <w:sz w:val="18"/>
                      <w:szCs w:val="18"/>
                    </w:rPr>
                  </w:pPr>
                  <w:r>
                    <w:rPr>
                      <w:color w:val="auto"/>
                      <w:kern w:val="0"/>
                      <w:sz w:val="18"/>
                      <w:szCs w:val="18"/>
                    </w:rPr>
                    <w:t>0</w:t>
                  </w:r>
                </w:p>
              </w:tc>
              <w:tc>
                <w:tcPr>
                  <w:tcW w:w="1069" w:type="dxa"/>
                  <w:noWrap w:val="0"/>
                  <w:vAlign w:val="center"/>
                </w:tcPr>
                <w:p>
                  <w:pPr>
                    <w:widowControl/>
                    <w:adjustRightInd w:val="0"/>
                    <w:snapToGrid w:val="0"/>
                    <w:jc w:val="center"/>
                    <w:rPr>
                      <w:rFonts w:hint="eastAsia"/>
                      <w:color w:val="auto"/>
                      <w:kern w:val="0"/>
                      <w:sz w:val="18"/>
                      <w:szCs w:val="18"/>
                    </w:rPr>
                  </w:pPr>
                  <w:r>
                    <w:rPr>
                      <w:rFonts w:hint="eastAsia"/>
                      <w:color w:val="auto"/>
                      <w:kern w:val="0"/>
                      <w:sz w:val="18"/>
                      <w:szCs w:val="18"/>
                    </w:rPr>
                    <w:t>3.0</w:t>
                  </w:r>
                </w:p>
              </w:tc>
              <w:tc>
                <w:tcPr>
                  <w:tcW w:w="873" w:type="dxa"/>
                  <w:noWrap w:val="0"/>
                  <w:vAlign w:val="center"/>
                </w:tcPr>
                <w:p>
                  <w:pPr>
                    <w:widowControl/>
                    <w:adjustRightInd w:val="0"/>
                    <w:snapToGrid w:val="0"/>
                    <w:jc w:val="center"/>
                    <w:rPr>
                      <w:color w:val="auto"/>
                      <w:kern w:val="0"/>
                      <w:sz w:val="18"/>
                      <w:szCs w:val="18"/>
                    </w:rPr>
                  </w:pPr>
                  <w:r>
                    <w:rPr>
                      <w:color w:val="auto"/>
                      <w:kern w:val="0"/>
                      <w:sz w:val="18"/>
                      <w:szCs w:val="18"/>
                    </w:rPr>
                    <w:t>8760</w:t>
                  </w:r>
                </w:p>
              </w:tc>
              <w:tc>
                <w:tcPr>
                  <w:tcW w:w="493" w:type="dxa"/>
                  <w:noWrap w:val="0"/>
                  <w:vAlign w:val="center"/>
                </w:tcPr>
                <w:p>
                  <w:pPr>
                    <w:widowControl/>
                    <w:adjustRightInd w:val="0"/>
                    <w:snapToGrid w:val="0"/>
                    <w:jc w:val="center"/>
                    <w:rPr>
                      <w:color w:val="auto"/>
                      <w:kern w:val="0"/>
                      <w:sz w:val="18"/>
                      <w:szCs w:val="18"/>
                    </w:rPr>
                  </w:pPr>
                  <w:r>
                    <w:rPr>
                      <w:color w:val="auto"/>
                      <w:kern w:val="0"/>
                      <w:sz w:val="18"/>
                      <w:szCs w:val="18"/>
                    </w:rPr>
                    <w:t>连续</w:t>
                  </w:r>
                </w:p>
              </w:tc>
              <w:tc>
                <w:tcPr>
                  <w:tcW w:w="978" w:type="dxa"/>
                  <w:tcBorders>
                    <w:right w:val="single" w:color="auto" w:sz="4" w:space="0"/>
                  </w:tcBorders>
                  <w:noWrap w:val="0"/>
                  <w:vAlign w:val="center"/>
                </w:tcPr>
                <w:p>
                  <w:pPr>
                    <w:jc w:val="center"/>
                    <w:rPr>
                      <w:color w:val="auto"/>
                      <w:kern w:val="0"/>
                      <w:sz w:val="18"/>
                      <w:szCs w:val="18"/>
                    </w:rPr>
                  </w:pPr>
                  <w:r>
                    <w:rPr>
                      <w:color w:val="auto"/>
                      <w:sz w:val="21"/>
                      <w:szCs w:val="21"/>
                    </w:rPr>
                    <w:t>0.000011</w:t>
                  </w:r>
                </w:p>
              </w:tc>
              <w:tc>
                <w:tcPr>
                  <w:tcW w:w="842" w:type="dxa"/>
                  <w:tcBorders>
                    <w:left w:val="single" w:color="auto" w:sz="4" w:space="0"/>
                  </w:tcBorders>
                  <w:noWrap w:val="0"/>
                  <w:vAlign w:val="center"/>
                </w:tcPr>
                <w:p>
                  <w:pPr>
                    <w:jc w:val="center"/>
                    <w:rPr>
                      <w:color w:val="auto"/>
                      <w:kern w:val="0"/>
                      <w:sz w:val="18"/>
                      <w:szCs w:val="18"/>
                    </w:rPr>
                  </w:pPr>
                  <w:r>
                    <w:rPr>
                      <w:color w:val="auto"/>
                      <w:sz w:val="21"/>
                      <w:szCs w:val="21"/>
                    </w:rPr>
                    <w:t>0.0005</w:t>
                  </w:r>
                </w:p>
              </w:tc>
            </w:tr>
          </w:tbl>
          <w:p>
            <w:pPr>
              <w:adjustRightInd w:val="0"/>
              <w:snapToGrid w:val="0"/>
              <w:spacing w:line="360" w:lineRule="auto"/>
              <w:ind w:firstLine="480" w:firstLineChars="200"/>
              <w:rPr>
                <w:color w:val="auto"/>
              </w:rPr>
            </w:pPr>
            <w:r>
              <w:rPr>
                <w:color w:val="auto"/>
                <w:szCs w:val="21"/>
              </w:rPr>
              <w:t>注：NH</w:t>
            </w:r>
            <w:r>
              <w:rPr>
                <w:color w:val="auto"/>
                <w:szCs w:val="21"/>
                <w:vertAlign w:val="subscript"/>
              </w:rPr>
              <w:t>3</w:t>
            </w:r>
            <w:r>
              <w:rPr>
                <w:color w:val="auto"/>
                <w:szCs w:val="21"/>
              </w:rPr>
              <w:t>和H</w:t>
            </w:r>
            <w:r>
              <w:rPr>
                <w:color w:val="auto"/>
                <w:szCs w:val="21"/>
                <w:vertAlign w:val="subscript"/>
              </w:rPr>
              <w:t>2</w:t>
            </w:r>
            <w:r>
              <w:rPr>
                <w:color w:val="auto"/>
                <w:szCs w:val="21"/>
              </w:rPr>
              <w:t>S质量标准执行《环境影响评价技术导则 大气环境》（HJ 2.2-2018）附录D中的浓度限值。</w:t>
            </w:r>
          </w:p>
          <w:p>
            <w:pPr>
              <w:adjustRightInd w:val="0"/>
              <w:snapToGrid w:val="0"/>
              <w:spacing w:line="360" w:lineRule="auto"/>
              <w:ind w:firstLine="480" w:firstLineChars="200"/>
              <w:jc w:val="left"/>
              <w:rPr>
                <w:color w:val="auto"/>
              </w:rPr>
            </w:pPr>
            <w:r>
              <w:rPr>
                <w:color w:val="auto"/>
              </w:rPr>
              <w:t>（2）评价等级</w:t>
            </w:r>
          </w:p>
          <w:p>
            <w:pPr>
              <w:adjustRightInd w:val="0"/>
              <w:snapToGrid w:val="0"/>
              <w:spacing w:line="360" w:lineRule="auto"/>
              <w:ind w:firstLine="480" w:firstLineChars="200"/>
              <w:jc w:val="left"/>
              <w:rPr>
                <w:color w:val="auto"/>
              </w:rPr>
            </w:pPr>
            <w:r>
              <w:rPr>
                <w:color w:val="auto"/>
              </w:rPr>
              <w:t xml:space="preserve">根据《环境影响评价技术导则 </w:t>
            </w:r>
            <w:r>
              <w:rPr>
                <w:color w:val="auto"/>
                <w:szCs w:val="21"/>
              </w:rPr>
              <w:t>大气环境</w:t>
            </w:r>
            <w:r>
              <w:rPr>
                <w:color w:val="auto"/>
              </w:rPr>
              <w:t>》（HJ2.2-2018）中推荐的大气评价工作等级划分原则，选择1-3种主要污染物，分别计算每一种污染物的最大地面浓度占率Pi。</w:t>
            </w:r>
          </w:p>
          <w:p>
            <w:pPr>
              <w:adjustRightInd w:val="0"/>
              <w:snapToGrid w:val="0"/>
              <w:spacing w:line="360" w:lineRule="auto"/>
              <w:ind w:firstLine="480" w:firstLineChars="200"/>
              <w:jc w:val="left"/>
              <w:rPr>
                <w:color w:val="auto"/>
              </w:rPr>
            </w:pPr>
            <w:r>
              <w:rPr>
                <w:color w:val="auto"/>
              </w:rPr>
              <w:t>计算公式如下：</w:t>
            </w:r>
          </w:p>
          <w:p>
            <w:pPr>
              <w:adjustRightInd w:val="0"/>
              <w:snapToGrid w:val="0"/>
              <w:spacing w:line="360" w:lineRule="auto"/>
              <w:ind w:firstLine="422" w:firstLineChars="176"/>
              <w:jc w:val="center"/>
              <w:rPr>
                <w:color w:val="auto"/>
              </w:rPr>
            </w:pPr>
            <m:oMath>
              <m:sSub>
                <m:sSubPr>
                  <m:ctrlPr>
                    <w:rPr>
                      <w:rFonts w:hint="default" w:ascii="Cambria Math" w:hAnsi="Cambria Math" w:cs="Times New Roman"/>
                      <w:color w:val="auto"/>
                      <w:sz w:val="24"/>
                      <w:szCs w:val="24"/>
                    </w:rPr>
                  </m:ctrlPr>
                </m:sSubPr>
                <m:e>
                  <m:r>
                    <w:rPr>
                      <w:rFonts w:hint="default" w:ascii="Cambria Math" w:hAnsi="Cambria Math" w:cs="Times New Roman"/>
                      <w:color w:val="auto"/>
                      <w:sz w:val="24"/>
                      <w:szCs w:val="24"/>
                    </w:rPr>
                    <m:t>P</m:t>
                  </m:r>
                  <m:ctrlPr>
                    <w:rPr>
                      <w:rFonts w:hint="default" w:ascii="Cambria Math" w:hAnsi="Cambria Math" w:cs="Times New Roman"/>
                      <w:color w:val="auto"/>
                      <w:sz w:val="24"/>
                      <w:szCs w:val="24"/>
                    </w:rPr>
                  </m:ctrlPr>
                </m:e>
                <m:sub>
                  <m:r>
                    <w:rPr>
                      <w:rFonts w:hint="default" w:ascii="Cambria Math" w:hAnsi="Cambria Math" w:cs="Times New Roman"/>
                      <w:color w:val="auto"/>
                      <w:sz w:val="24"/>
                      <w:szCs w:val="24"/>
                    </w:rPr>
                    <m:t>i</m:t>
                  </m:r>
                  <m:ctrlPr>
                    <w:rPr>
                      <w:rFonts w:hint="default" w:ascii="Cambria Math" w:hAnsi="Cambria Math" w:cs="Times New Roman"/>
                      <w:color w:val="auto"/>
                      <w:sz w:val="24"/>
                      <w:szCs w:val="24"/>
                    </w:rPr>
                  </m:ctrlPr>
                </m:sub>
              </m:sSub>
              <m:r>
                <m:rPr>
                  <m:sty m:val="p"/>
                </m:rPr>
                <w:rPr>
                  <w:rFonts w:hint="default" w:ascii="Cambria Math" w:hAnsi="Cambria Math" w:cs="Times New Roman"/>
                  <w:color w:val="auto"/>
                  <w:sz w:val="24"/>
                  <w:szCs w:val="24"/>
                </w:rPr>
                <m:t>=</m:t>
              </m:r>
              <m:f>
                <m:fPr>
                  <m:ctrlPr>
                    <w:rPr>
                      <w:rFonts w:hint="default" w:ascii="Cambria Math" w:hAnsi="Cambria Math" w:cs="Times New Roman"/>
                      <w:color w:val="auto"/>
                      <w:sz w:val="24"/>
                      <w:szCs w:val="24"/>
                    </w:rPr>
                  </m:ctrlPr>
                </m:fPr>
                <m:num>
                  <m:sSub>
                    <m:sSubPr>
                      <m:ctrlPr>
                        <w:rPr>
                          <w:rFonts w:hint="default" w:ascii="Cambria Math" w:hAnsi="Cambria Math" w:cs="Times New Roman"/>
                          <w:i/>
                          <w:color w:val="auto"/>
                          <w:sz w:val="24"/>
                          <w:szCs w:val="24"/>
                        </w:rPr>
                      </m:ctrlPr>
                    </m:sSubPr>
                    <m:e>
                      <m:r>
                        <w:rPr>
                          <w:rFonts w:hint="default" w:ascii="Cambria Math" w:hAnsi="Cambria Math" w:cs="Times New Roman"/>
                          <w:color w:val="auto"/>
                          <w:sz w:val="24"/>
                          <w:szCs w:val="24"/>
                        </w:rPr>
                        <m:t>C</m:t>
                      </m:r>
                      <m:ctrlPr>
                        <w:rPr>
                          <w:rFonts w:hint="default" w:ascii="Cambria Math" w:hAnsi="Cambria Math" w:cs="Times New Roman"/>
                          <w:i/>
                          <w:color w:val="auto"/>
                          <w:sz w:val="24"/>
                          <w:szCs w:val="24"/>
                        </w:rPr>
                      </m:ctrlPr>
                    </m:e>
                    <m:sub>
                      <m:r>
                        <w:rPr>
                          <w:rFonts w:hint="default" w:ascii="Cambria Math" w:hAnsi="Cambria Math" w:cs="Times New Roman"/>
                          <w:color w:val="auto"/>
                          <w:sz w:val="24"/>
                          <w:szCs w:val="24"/>
                        </w:rPr>
                        <m:t>i</m:t>
                      </m:r>
                      <m:ctrlPr>
                        <w:rPr>
                          <w:rFonts w:hint="default" w:ascii="Cambria Math" w:hAnsi="Cambria Math" w:cs="Times New Roman"/>
                          <w:i/>
                          <w:color w:val="auto"/>
                          <w:sz w:val="24"/>
                          <w:szCs w:val="24"/>
                        </w:rPr>
                      </m:ctrlPr>
                    </m:sub>
                  </m:sSub>
                  <m:ctrlPr>
                    <w:rPr>
                      <w:rFonts w:hint="default" w:ascii="Cambria Math" w:hAnsi="Cambria Math" w:cs="Times New Roman"/>
                      <w:color w:val="auto"/>
                      <w:sz w:val="24"/>
                      <w:szCs w:val="24"/>
                    </w:rPr>
                  </m:ctrlPr>
                </m:num>
                <m:den>
                  <m:sSub>
                    <m:sSubPr>
                      <m:ctrlPr>
                        <w:rPr>
                          <w:rFonts w:hint="default" w:ascii="Cambria Math" w:hAnsi="Cambria Math" w:cs="Times New Roman"/>
                          <w:i/>
                          <w:color w:val="auto"/>
                          <w:sz w:val="24"/>
                          <w:szCs w:val="24"/>
                        </w:rPr>
                      </m:ctrlPr>
                    </m:sSubPr>
                    <m:e>
                      <m:r>
                        <w:rPr>
                          <w:rFonts w:hint="default" w:ascii="Cambria Math" w:hAnsi="Cambria Math" w:cs="Times New Roman"/>
                          <w:color w:val="auto"/>
                          <w:sz w:val="24"/>
                          <w:szCs w:val="24"/>
                        </w:rPr>
                        <m:t>C</m:t>
                      </m:r>
                      <m:ctrlPr>
                        <w:rPr>
                          <w:rFonts w:hint="default" w:ascii="Cambria Math" w:hAnsi="Cambria Math" w:cs="Times New Roman"/>
                          <w:i/>
                          <w:color w:val="auto"/>
                          <w:sz w:val="24"/>
                          <w:szCs w:val="24"/>
                        </w:rPr>
                      </m:ctrlPr>
                    </m:e>
                    <m:sub>
                      <m:r>
                        <w:rPr>
                          <w:rFonts w:hint="default" w:ascii="Cambria Math" w:hAnsi="Cambria Math" w:cs="Times New Roman"/>
                          <w:color w:val="auto"/>
                          <w:sz w:val="24"/>
                          <w:szCs w:val="24"/>
                        </w:rPr>
                        <m:t>0i</m:t>
                      </m:r>
                      <m:ctrlPr>
                        <w:rPr>
                          <w:rFonts w:hint="default" w:ascii="Cambria Math" w:hAnsi="Cambria Math" w:cs="Times New Roman"/>
                          <w:i/>
                          <w:color w:val="auto"/>
                          <w:sz w:val="24"/>
                          <w:szCs w:val="24"/>
                        </w:rPr>
                      </m:ctrlPr>
                    </m:sub>
                  </m:sSub>
                  <m:ctrlPr>
                    <w:rPr>
                      <w:rFonts w:hint="default" w:ascii="Cambria Math" w:hAnsi="Cambria Math" w:cs="Times New Roman"/>
                      <w:color w:val="auto"/>
                      <w:sz w:val="24"/>
                      <w:szCs w:val="24"/>
                    </w:rPr>
                  </m:ctrlPr>
                </m:den>
              </m:f>
              <m:r>
                <w:rPr>
                  <w:rFonts w:hint="default" w:ascii="Cambria Math" w:hAnsi="Cambria Math" w:cs="Times New Roman"/>
                  <w:color w:val="auto"/>
                  <w:sz w:val="24"/>
                  <w:szCs w:val="24"/>
                </w:rPr>
                <m:t>×100%</m:t>
              </m:r>
            </m:oMath>
          </w:p>
          <w:p>
            <w:pPr>
              <w:adjustRightInd w:val="0"/>
              <w:snapToGrid w:val="0"/>
              <w:spacing w:line="360" w:lineRule="auto"/>
              <w:jc w:val="left"/>
              <w:rPr>
                <w:color w:val="auto"/>
              </w:rPr>
            </w:pPr>
            <m:oMath>
              <m:sSub>
                <m:sSubPr>
                  <m:ctrlPr>
                    <w:rPr>
                      <w:rFonts w:hint="default" w:ascii="Cambria Math" w:hAnsi="Cambria Math" w:cs="Times New Roman"/>
                      <w:color w:val="auto"/>
                      <w:sz w:val="24"/>
                      <w:szCs w:val="24"/>
                    </w:rPr>
                  </m:ctrlPr>
                </m:sSubPr>
                <m:e>
                  <m:r>
                    <w:rPr>
                      <w:rFonts w:hint="default" w:ascii="Cambria Math" w:hAnsi="Cambria Math" w:cs="Times New Roman"/>
                      <w:color w:val="auto"/>
                      <w:sz w:val="24"/>
                      <w:szCs w:val="24"/>
                    </w:rPr>
                    <m:t>P</m:t>
                  </m:r>
                  <m:ctrlPr>
                    <w:rPr>
                      <w:rFonts w:hint="default" w:ascii="Cambria Math" w:hAnsi="Cambria Math" w:cs="Times New Roman"/>
                      <w:color w:val="auto"/>
                      <w:sz w:val="24"/>
                      <w:szCs w:val="24"/>
                    </w:rPr>
                  </m:ctrlPr>
                </m:e>
                <m:sub>
                  <m:r>
                    <w:rPr>
                      <w:rFonts w:hint="default" w:ascii="Cambria Math" w:hAnsi="Cambria Math" w:cs="Times New Roman"/>
                      <w:color w:val="auto"/>
                      <w:sz w:val="24"/>
                      <w:szCs w:val="24"/>
                    </w:rPr>
                    <m:t>i</m:t>
                  </m:r>
                  <m:ctrlPr>
                    <w:rPr>
                      <w:rFonts w:hint="default" w:ascii="Cambria Math" w:hAnsi="Cambria Math" w:cs="Times New Roman"/>
                      <w:color w:val="auto"/>
                      <w:sz w:val="24"/>
                      <w:szCs w:val="24"/>
                    </w:rPr>
                  </m:ctrlPr>
                </m:sub>
              </m:sSub>
            </m:oMath>
            <w:r>
              <w:rPr>
                <w:color w:val="auto"/>
              </w:rPr>
              <w:t>——第i个污染物的最大地面空气质量浓度占标率，%；</w:t>
            </w:r>
          </w:p>
          <w:p>
            <w:pPr>
              <w:adjustRightInd w:val="0"/>
              <w:snapToGrid w:val="0"/>
              <w:spacing w:line="360" w:lineRule="auto"/>
              <w:jc w:val="left"/>
              <w:rPr>
                <w:color w:val="auto"/>
              </w:rPr>
            </w:pPr>
            <m:oMath>
              <m:sSub>
                <m:sSubPr>
                  <m:ctrlPr>
                    <w:rPr>
                      <w:rFonts w:hint="default" w:ascii="Cambria Math" w:hAnsi="Cambria Math" w:cs="Times New Roman"/>
                      <w:i/>
                      <w:color w:val="auto"/>
                      <w:sz w:val="24"/>
                      <w:szCs w:val="24"/>
                    </w:rPr>
                  </m:ctrlPr>
                </m:sSubPr>
                <m:e>
                  <m:r>
                    <w:rPr>
                      <w:rFonts w:hint="default" w:ascii="Cambria Math" w:hAnsi="Cambria Math" w:cs="Times New Roman"/>
                      <w:color w:val="auto"/>
                      <w:sz w:val="24"/>
                      <w:szCs w:val="24"/>
                    </w:rPr>
                    <m:t>C</m:t>
                  </m:r>
                  <m:ctrlPr>
                    <w:rPr>
                      <w:rFonts w:hint="default" w:ascii="Cambria Math" w:hAnsi="Cambria Math" w:cs="Times New Roman"/>
                      <w:i/>
                      <w:color w:val="auto"/>
                      <w:sz w:val="24"/>
                      <w:szCs w:val="24"/>
                    </w:rPr>
                  </m:ctrlPr>
                </m:e>
                <m:sub>
                  <m:r>
                    <w:rPr>
                      <w:rFonts w:hint="default" w:ascii="Cambria Math" w:hAnsi="Cambria Math" w:cs="Times New Roman"/>
                      <w:color w:val="auto"/>
                      <w:sz w:val="24"/>
                      <w:szCs w:val="24"/>
                    </w:rPr>
                    <m:t>i</m:t>
                  </m:r>
                  <m:ctrlPr>
                    <w:rPr>
                      <w:rFonts w:hint="default" w:ascii="Cambria Math" w:hAnsi="Cambria Math" w:cs="Times New Roman"/>
                      <w:i/>
                      <w:color w:val="auto"/>
                      <w:sz w:val="24"/>
                      <w:szCs w:val="24"/>
                    </w:rPr>
                  </m:ctrlPr>
                </m:sub>
              </m:sSub>
            </m:oMath>
            <w:r>
              <w:rPr>
                <w:color w:val="auto"/>
              </w:rPr>
              <w:t>——采用估算模型计算的第i个污染物的最大1h地面空气质量浓度，μg/m</w:t>
            </w:r>
            <w:r>
              <w:rPr>
                <w:color w:val="auto"/>
                <w:vertAlign w:val="superscript"/>
              </w:rPr>
              <w:t>3</w:t>
            </w:r>
            <w:r>
              <w:rPr>
                <w:color w:val="auto"/>
              </w:rPr>
              <w:t>；</w:t>
            </w:r>
          </w:p>
          <w:p>
            <w:pPr>
              <w:adjustRightInd w:val="0"/>
              <w:snapToGrid w:val="0"/>
              <w:spacing w:line="360" w:lineRule="auto"/>
              <w:jc w:val="left"/>
              <w:rPr>
                <w:color w:val="auto"/>
              </w:rPr>
            </w:pPr>
            <m:oMath>
              <m:sSub>
                <m:sSubPr>
                  <m:ctrlPr>
                    <w:rPr>
                      <w:rFonts w:hint="default" w:ascii="Cambria Math" w:hAnsi="Cambria Math" w:cs="Times New Roman"/>
                      <w:i/>
                      <w:color w:val="auto"/>
                      <w:sz w:val="24"/>
                      <w:szCs w:val="24"/>
                    </w:rPr>
                  </m:ctrlPr>
                </m:sSubPr>
                <m:e>
                  <m:r>
                    <w:rPr>
                      <w:rFonts w:hint="default" w:ascii="Cambria Math" w:hAnsi="Cambria Math" w:cs="Times New Roman"/>
                      <w:color w:val="auto"/>
                      <w:sz w:val="24"/>
                      <w:szCs w:val="24"/>
                    </w:rPr>
                    <m:t>C</m:t>
                  </m:r>
                  <m:ctrlPr>
                    <w:rPr>
                      <w:rFonts w:hint="default" w:ascii="Cambria Math" w:hAnsi="Cambria Math" w:cs="Times New Roman"/>
                      <w:i/>
                      <w:color w:val="auto"/>
                      <w:sz w:val="24"/>
                      <w:szCs w:val="24"/>
                    </w:rPr>
                  </m:ctrlPr>
                </m:e>
                <m:sub>
                  <m:r>
                    <w:rPr>
                      <w:rFonts w:hint="default" w:ascii="Cambria Math" w:hAnsi="Cambria Math" w:cs="Times New Roman"/>
                      <w:color w:val="auto"/>
                      <w:sz w:val="24"/>
                      <w:szCs w:val="24"/>
                    </w:rPr>
                    <m:t>0i</m:t>
                  </m:r>
                  <m:ctrlPr>
                    <w:rPr>
                      <w:rFonts w:hint="default" w:ascii="Cambria Math" w:hAnsi="Cambria Math" w:cs="Times New Roman"/>
                      <w:i/>
                      <w:color w:val="auto"/>
                      <w:sz w:val="24"/>
                      <w:szCs w:val="24"/>
                    </w:rPr>
                  </m:ctrlPr>
                </m:sub>
              </m:sSub>
            </m:oMath>
            <w:r>
              <w:rPr>
                <w:color w:val="auto"/>
              </w:rPr>
              <w:t>——第i个污染物的环境空气质量浓度标准，μg/m</w:t>
            </w:r>
            <w:r>
              <w:rPr>
                <w:color w:val="auto"/>
                <w:vertAlign w:val="superscript"/>
              </w:rPr>
              <w:t>3</w:t>
            </w:r>
            <w:r>
              <w:rPr>
                <w:color w:val="auto"/>
              </w:rPr>
              <w:t>。</w:t>
            </w:r>
          </w:p>
          <w:p>
            <w:pPr>
              <w:adjustRightInd w:val="0"/>
              <w:snapToGrid w:val="0"/>
              <w:spacing w:line="360" w:lineRule="auto"/>
              <w:ind w:firstLine="480" w:firstLineChars="200"/>
              <w:jc w:val="left"/>
              <w:rPr>
                <w:color w:val="auto"/>
              </w:rPr>
            </w:pPr>
            <w:r>
              <w:rPr>
                <w:color w:val="auto"/>
              </w:rPr>
              <w:t>C</w:t>
            </w:r>
            <w:r>
              <w:rPr>
                <w:color w:val="auto"/>
                <w:vertAlign w:val="subscript"/>
              </w:rPr>
              <w:t>0i</w:t>
            </w:r>
            <w:r>
              <w:rPr>
                <w:color w:val="auto"/>
              </w:rPr>
              <w:t>第i个污染物的环境空气质量浓度标准，μg/m</w:t>
            </w:r>
            <w:r>
              <w:rPr>
                <w:color w:val="auto"/>
                <w:vertAlign w:val="superscript"/>
              </w:rPr>
              <w:t>3</w:t>
            </w:r>
            <w:r>
              <w:rPr>
                <w:color w:val="auto"/>
              </w:rPr>
              <w:t xml:space="preserve">。一般选用GB3095中h平均质量浓度的二级浓度限值，如项目位于一类环境空气功能区，应选择相应的一级浓度限值；对仅有8h平均质量浓度限值、日平均质量浓度限值或年平均量浓度限值的，可分别按2倍、3倍、6倍折算为1h平均质量浓度限值。本项目参照《环境影响评价技术导则 </w:t>
            </w:r>
            <w:r>
              <w:rPr>
                <w:color w:val="auto"/>
                <w:szCs w:val="21"/>
              </w:rPr>
              <w:t>大气环境</w:t>
            </w:r>
            <w:r>
              <w:rPr>
                <w:color w:val="auto"/>
              </w:rPr>
              <w:t>》（HJ2.2-2018）附录D中的浓度限值。</w:t>
            </w:r>
          </w:p>
          <w:p>
            <w:pPr>
              <w:adjustRightInd w:val="0"/>
              <w:snapToGrid w:val="0"/>
              <w:spacing w:line="360" w:lineRule="auto"/>
              <w:ind w:firstLine="480" w:firstLineChars="200"/>
              <w:jc w:val="left"/>
              <w:rPr>
                <w:color w:val="auto"/>
              </w:rPr>
            </w:pPr>
            <w:r>
              <w:rPr>
                <w:color w:val="auto"/>
              </w:rPr>
              <w:t>评价工作等级按下表的分级判据进行划分，如果污染物数i大于1，取P值中最大者（Pmax）和其对于的D</w:t>
            </w:r>
            <w:r>
              <w:rPr>
                <w:color w:val="auto"/>
                <w:vertAlign w:val="subscript"/>
              </w:rPr>
              <w:t>10</w:t>
            </w:r>
            <w:r>
              <w:rPr>
                <w:color w:val="auto"/>
              </w:rPr>
              <w:t>%，D</w:t>
            </w:r>
            <w:r>
              <w:rPr>
                <w:color w:val="auto"/>
                <w:vertAlign w:val="subscript"/>
              </w:rPr>
              <w:t>10</w:t>
            </w:r>
            <w:r>
              <w:rPr>
                <w:color w:val="auto"/>
              </w:rPr>
              <w:t>%为污染物的地面浓度达到标准限值10%时所对应的最远距离。</w:t>
            </w:r>
          </w:p>
          <w:p>
            <w:pPr>
              <w:adjustRightInd w:val="0"/>
              <w:snapToGrid w:val="0"/>
              <w:spacing w:line="360" w:lineRule="auto"/>
              <w:ind w:firstLine="480" w:firstLineChars="200"/>
              <w:jc w:val="center"/>
              <w:rPr>
                <w:rFonts w:eastAsia="黑体"/>
                <w:bCs/>
                <w:color w:val="auto"/>
              </w:rPr>
            </w:pPr>
            <w:r>
              <w:rPr>
                <w:rFonts w:eastAsia="黑体"/>
                <w:bCs/>
                <w:color w:val="auto"/>
              </w:rPr>
              <w:t>表7-8  评价工作等级</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0"/>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noWrap w:val="0"/>
                  <w:vAlign w:val="center"/>
                </w:tcPr>
                <w:p>
                  <w:pPr>
                    <w:adjustRightInd w:val="0"/>
                    <w:snapToGrid w:val="0"/>
                    <w:jc w:val="center"/>
                    <w:rPr>
                      <w:b/>
                      <w:bCs/>
                      <w:color w:val="auto"/>
                      <w:sz w:val="21"/>
                      <w:szCs w:val="21"/>
                    </w:rPr>
                  </w:pPr>
                  <w:r>
                    <w:rPr>
                      <w:b/>
                      <w:bCs/>
                      <w:color w:val="auto"/>
                      <w:sz w:val="21"/>
                      <w:szCs w:val="21"/>
                    </w:rPr>
                    <w:t>评价工作等级</w:t>
                  </w:r>
                </w:p>
              </w:tc>
              <w:tc>
                <w:tcPr>
                  <w:tcW w:w="4530" w:type="dxa"/>
                  <w:noWrap w:val="0"/>
                  <w:vAlign w:val="center"/>
                </w:tcPr>
                <w:p>
                  <w:pPr>
                    <w:adjustRightInd w:val="0"/>
                    <w:snapToGrid w:val="0"/>
                    <w:jc w:val="center"/>
                    <w:rPr>
                      <w:b/>
                      <w:bCs/>
                      <w:color w:val="auto"/>
                      <w:sz w:val="21"/>
                      <w:szCs w:val="21"/>
                    </w:rPr>
                  </w:pPr>
                  <w:r>
                    <w:rPr>
                      <w:b/>
                      <w:bCs/>
                      <w:color w:val="auto"/>
                      <w:sz w:val="21"/>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noWrap w:val="0"/>
                  <w:vAlign w:val="center"/>
                </w:tcPr>
                <w:p>
                  <w:pPr>
                    <w:adjustRightInd w:val="0"/>
                    <w:snapToGrid w:val="0"/>
                    <w:jc w:val="center"/>
                    <w:rPr>
                      <w:color w:val="auto"/>
                      <w:sz w:val="21"/>
                      <w:szCs w:val="21"/>
                    </w:rPr>
                  </w:pPr>
                  <w:r>
                    <w:rPr>
                      <w:color w:val="auto"/>
                      <w:sz w:val="21"/>
                      <w:szCs w:val="21"/>
                    </w:rPr>
                    <w:t>一级评价</w:t>
                  </w:r>
                </w:p>
              </w:tc>
              <w:tc>
                <w:tcPr>
                  <w:tcW w:w="4530" w:type="dxa"/>
                  <w:noWrap w:val="0"/>
                  <w:vAlign w:val="center"/>
                </w:tcPr>
                <w:p>
                  <w:pPr>
                    <w:adjustRightInd w:val="0"/>
                    <w:snapToGrid w:val="0"/>
                    <w:jc w:val="center"/>
                    <w:rPr>
                      <w:color w:val="auto"/>
                      <w:sz w:val="21"/>
                      <w:szCs w:val="21"/>
                    </w:rPr>
                  </w:pPr>
                  <w:r>
                    <w:rPr>
                      <w:color w:val="auto"/>
                      <w:sz w:val="21"/>
                      <w:szCs w:val="21"/>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noWrap w:val="0"/>
                  <w:vAlign w:val="center"/>
                </w:tcPr>
                <w:p>
                  <w:pPr>
                    <w:adjustRightInd w:val="0"/>
                    <w:snapToGrid w:val="0"/>
                    <w:jc w:val="center"/>
                    <w:rPr>
                      <w:color w:val="auto"/>
                      <w:sz w:val="21"/>
                      <w:szCs w:val="21"/>
                    </w:rPr>
                  </w:pPr>
                  <w:r>
                    <w:rPr>
                      <w:color w:val="auto"/>
                      <w:sz w:val="21"/>
                      <w:szCs w:val="21"/>
                    </w:rPr>
                    <w:t>二级评价</w:t>
                  </w:r>
                </w:p>
              </w:tc>
              <w:tc>
                <w:tcPr>
                  <w:tcW w:w="4530" w:type="dxa"/>
                  <w:noWrap w:val="0"/>
                  <w:vAlign w:val="center"/>
                </w:tcPr>
                <w:p>
                  <w:pPr>
                    <w:adjustRightInd w:val="0"/>
                    <w:snapToGrid w:val="0"/>
                    <w:jc w:val="center"/>
                    <w:rPr>
                      <w:color w:val="auto"/>
                      <w:sz w:val="21"/>
                      <w:szCs w:val="21"/>
                    </w:rPr>
                  </w:pPr>
                  <w:r>
                    <w:rPr>
                      <w:color w:val="auto"/>
                      <w:sz w:val="21"/>
                      <w:szCs w:val="21"/>
                    </w:rPr>
                    <w:t>1%≦Pmax&lt;10%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0" w:type="dxa"/>
                  <w:noWrap w:val="0"/>
                  <w:vAlign w:val="center"/>
                </w:tcPr>
                <w:p>
                  <w:pPr>
                    <w:adjustRightInd w:val="0"/>
                    <w:snapToGrid w:val="0"/>
                    <w:jc w:val="center"/>
                    <w:rPr>
                      <w:color w:val="auto"/>
                      <w:sz w:val="21"/>
                      <w:szCs w:val="21"/>
                    </w:rPr>
                  </w:pPr>
                  <w:r>
                    <w:rPr>
                      <w:color w:val="auto"/>
                      <w:sz w:val="21"/>
                      <w:szCs w:val="21"/>
                    </w:rPr>
                    <w:t>三级评价</w:t>
                  </w:r>
                </w:p>
              </w:tc>
              <w:tc>
                <w:tcPr>
                  <w:tcW w:w="4530" w:type="dxa"/>
                  <w:noWrap w:val="0"/>
                  <w:vAlign w:val="center"/>
                </w:tcPr>
                <w:p>
                  <w:pPr>
                    <w:adjustRightInd w:val="0"/>
                    <w:snapToGrid w:val="0"/>
                    <w:jc w:val="center"/>
                    <w:rPr>
                      <w:color w:val="auto"/>
                      <w:sz w:val="21"/>
                      <w:szCs w:val="21"/>
                    </w:rPr>
                  </w:pPr>
                  <w:r>
                    <w:rPr>
                      <w:color w:val="auto"/>
                      <w:sz w:val="21"/>
                      <w:szCs w:val="21"/>
                    </w:rPr>
                    <w:t>Pmax&lt;1%</w:t>
                  </w:r>
                </w:p>
              </w:tc>
            </w:tr>
          </w:tbl>
          <w:p>
            <w:pPr>
              <w:widowControl/>
              <w:adjustRightInd w:val="0"/>
              <w:snapToGrid w:val="0"/>
              <w:spacing w:line="360" w:lineRule="auto"/>
              <w:ind w:firstLine="480" w:firstLineChars="200"/>
              <w:jc w:val="left"/>
              <w:rPr>
                <w:color w:val="auto"/>
              </w:rPr>
            </w:pPr>
            <w:r>
              <w:rPr>
                <w:color w:val="auto"/>
              </w:rPr>
              <w:t>（3）污染物评价标准</w:t>
            </w:r>
          </w:p>
          <w:p>
            <w:pPr>
              <w:widowControl/>
              <w:adjustRightInd w:val="0"/>
              <w:snapToGrid w:val="0"/>
              <w:spacing w:line="360" w:lineRule="auto"/>
              <w:ind w:firstLine="480" w:firstLineChars="200"/>
              <w:jc w:val="left"/>
              <w:rPr>
                <w:color w:val="auto"/>
              </w:rPr>
            </w:pPr>
            <w:r>
              <w:rPr>
                <w:color w:val="auto"/>
              </w:rPr>
              <w:t>污染物评价标准和来源见下表。</w:t>
            </w:r>
          </w:p>
          <w:p>
            <w:pPr>
              <w:pStyle w:val="39"/>
              <w:adjustRightInd w:val="0"/>
              <w:snapToGrid w:val="0"/>
              <w:spacing w:line="360" w:lineRule="auto"/>
              <w:rPr>
                <w:rFonts w:eastAsia="黑体"/>
                <w:bCs/>
                <w:color w:val="auto"/>
                <w:sz w:val="24"/>
              </w:rPr>
            </w:pPr>
            <w:r>
              <w:rPr>
                <w:rFonts w:eastAsia="黑体"/>
                <w:bCs/>
                <w:color w:val="auto"/>
                <w:sz w:val="24"/>
              </w:rPr>
              <w:t>表7-9  污染物评价标准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218"/>
              <w:gridCol w:w="1481"/>
              <w:gridCol w:w="1441"/>
              <w:gridCol w:w="3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noWrap w:val="0"/>
                  <w:vAlign w:val="center"/>
                </w:tcPr>
                <w:p>
                  <w:pPr>
                    <w:widowControl/>
                    <w:adjustRightInd w:val="0"/>
                    <w:snapToGrid w:val="0"/>
                    <w:jc w:val="center"/>
                    <w:rPr>
                      <w:b/>
                      <w:bCs/>
                      <w:color w:val="auto"/>
                      <w:sz w:val="21"/>
                      <w:szCs w:val="21"/>
                    </w:rPr>
                  </w:pPr>
                  <w:r>
                    <w:rPr>
                      <w:b/>
                      <w:bCs/>
                      <w:color w:val="auto"/>
                      <w:sz w:val="21"/>
                      <w:szCs w:val="21"/>
                    </w:rPr>
                    <w:t>污染物名称</w:t>
                  </w:r>
                </w:p>
              </w:tc>
              <w:tc>
                <w:tcPr>
                  <w:tcW w:w="1218" w:type="dxa"/>
                  <w:noWrap w:val="0"/>
                  <w:vAlign w:val="center"/>
                </w:tcPr>
                <w:p>
                  <w:pPr>
                    <w:widowControl/>
                    <w:adjustRightInd w:val="0"/>
                    <w:snapToGrid w:val="0"/>
                    <w:jc w:val="center"/>
                    <w:rPr>
                      <w:b/>
                      <w:bCs/>
                      <w:color w:val="auto"/>
                      <w:sz w:val="21"/>
                      <w:szCs w:val="21"/>
                    </w:rPr>
                  </w:pPr>
                  <w:r>
                    <w:rPr>
                      <w:b/>
                      <w:bCs/>
                      <w:color w:val="auto"/>
                      <w:sz w:val="21"/>
                      <w:szCs w:val="21"/>
                    </w:rPr>
                    <w:t>功能区</w:t>
                  </w:r>
                </w:p>
              </w:tc>
              <w:tc>
                <w:tcPr>
                  <w:tcW w:w="1481" w:type="dxa"/>
                  <w:noWrap w:val="0"/>
                  <w:vAlign w:val="center"/>
                </w:tcPr>
                <w:p>
                  <w:pPr>
                    <w:widowControl/>
                    <w:adjustRightInd w:val="0"/>
                    <w:snapToGrid w:val="0"/>
                    <w:jc w:val="center"/>
                    <w:rPr>
                      <w:b/>
                      <w:bCs/>
                      <w:color w:val="auto"/>
                      <w:sz w:val="21"/>
                      <w:szCs w:val="21"/>
                    </w:rPr>
                  </w:pPr>
                  <w:r>
                    <w:rPr>
                      <w:b/>
                      <w:bCs/>
                      <w:color w:val="auto"/>
                      <w:sz w:val="21"/>
                      <w:szCs w:val="21"/>
                    </w:rPr>
                    <w:t>取值时间</w:t>
                  </w:r>
                </w:p>
              </w:tc>
              <w:tc>
                <w:tcPr>
                  <w:tcW w:w="1441" w:type="dxa"/>
                  <w:noWrap w:val="0"/>
                  <w:vAlign w:val="center"/>
                </w:tcPr>
                <w:p>
                  <w:pPr>
                    <w:widowControl/>
                    <w:adjustRightInd w:val="0"/>
                    <w:snapToGrid w:val="0"/>
                    <w:jc w:val="center"/>
                    <w:rPr>
                      <w:b/>
                      <w:bCs/>
                      <w:color w:val="auto"/>
                      <w:sz w:val="21"/>
                      <w:szCs w:val="21"/>
                    </w:rPr>
                  </w:pPr>
                  <w:r>
                    <w:rPr>
                      <w:b/>
                      <w:bCs/>
                      <w:color w:val="auto"/>
                      <w:sz w:val="21"/>
                      <w:szCs w:val="21"/>
                    </w:rPr>
                    <w:t>标准值</w:t>
                  </w:r>
                </w:p>
                <w:p>
                  <w:pPr>
                    <w:widowControl/>
                    <w:adjustRightInd w:val="0"/>
                    <w:snapToGrid w:val="0"/>
                    <w:jc w:val="center"/>
                    <w:rPr>
                      <w:b/>
                      <w:bCs/>
                      <w:color w:val="auto"/>
                      <w:sz w:val="21"/>
                      <w:szCs w:val="21"/>
                    </w:rPr>
                  </w:pPr>
                  <w:bookmarkStart w:id="6" w:name="OLE_LINK15"/>
                  <w:bookmarkStart w:id="7" w:name="OLE_LINK14"/>
                  <w:r>
                    <w:rPr>
                      <w:b/>
                      <w:bCs/>
                      <w:color w:val="auto"/>
                      <w:sz w:val="21"/>
                      <w:szCs w:val="21"/>
                    </w:rPr>
                    <w:t>(μg/m</w:t>
                  </w:r>
                  <w:r>
                    <w:rPr>
                      <w:b/>
                      <w:bCs/>
                      <w:color w:val="auto"/>
                      <w:sz w:val="21"/>
                      <w:szCs w:val="21"/>
                      <w:vertAlign w:val="superscript"/>
                    </w:rPr>
                    <w:t>3</w:t>
                  </w:r>
                  <w:r>
                    <w:rPr>
                      <w:b/>
                      <w:bCs/>
                      <w:color w:val="auto"/>
                      <w:sz w:val="21"/>
                      <w:szCs w:val="21"/>
                    </w:rPr>
                    <w:t>)</w:t>
                  </w:r>
                  <w:bookmarkEnd w:id="6"/>
                  <w:bookmarkEnd w:id="7"/>
                </w:p>
              </w:tc>
              <w:tc>
                <w:tcPr>
                  <w:tcW w:w="3423" w:type="dxa"/>
                  <w:noWrap w:val="0"/>
                  <w:vAlign w:val="center"/>
                </w:tcPr>
                <w:p>
                  <w:pPr>
                    <w:widowControl/>
                    <w:adjustRightInd w:val="0"/>
                    <w:snapToGrid w:val="0"/>
                    <w:jc w:val="center"/>
                    <w:rPr>
                      <w:b/>
                      <w:bCs/>
                      <w:color w:val="auto"/>
                      <w:sz w:val="21"/>
                      <w:szCs w:val="21"/>
                    </w:rPr>
                  </w:pPr>
                  <w:r>
                    <w:rPr>
                      <w:b/>
                      <w:bCs/>
                      <w:color w:val="auto"/>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noWrap w:val="0"/>
                  <w:vAlign w:val="center"/>
                </w:tcPr>
                <w:p>
                  <w:pPr>
                    <w:widowControl/>
                    <w:adjustRightInd w:val="0"/>
                    <w:snapToGrid w:val="0"/>
                    <w:jc w:val="center"/>
                    <w:rPr>
                      <w:color w:val="auto"/>
                      <w:sz w:val="21"/>
                      <w:szCs w:val="21"/>
                    </w:rPr>
                  </w:pPr>
                  <w:r>
                    <w:rPr>
                      <w:color w:val="auto"/>
                      <w:sz w:val="21"/>
                      <w:szCs w:val="21"/>
                    </w:rPr>
                    <w:t>NH</w:t>
                  </w:r>
                  <w:r>
                    <w:rPr>
                      <w:color w:val="auto"/>
                      <w:sz w:val="21"/>
                      <w:szCs w:val="21"/>
                      <w:vertAlign w:val="subscript"/>
                    </w:rPr>
                    <w:t>3</w:t>
                  </w:r>
                </w:p>
              </w:tc>
              <w:tc>
                <w:tcPr>
                  <w:tcW w:w="1218" w:type="dxa"/>
                  <w:vMerge w:val="restart"/>
                  <w:noWrap w:val="0"/>
                  <w:vAlign w:val="center"/>
                </w:tcPr>
                <w:p>
                  <w:pPr>
                    <w:widowControl/>
                    <w:adjustRightInd w:val="0"/>
                    <w:snapToGrid w:val="0"/>
                    <w:jc w:val="center"/>
                    <w:rPr>
                      <w:color w:val="auto"/>
                      <w:sz w:val="21"/>
                      <w:szCs w:val="21"/>
                    </w:rPr>
                  </w:pPr>
                  <w:r>
                    <w:rPr>
                      <w:color w:val="auto"/>
                      <w:sz w:val="21"/>
                      <w:szCs w:val="21"/>
                    </w:rPr>
                    <w:t>二类限区</w:t>
                  </w:r>
                </w:p>
              </w:tc>
              <w:tc>
                <w:tcPr>
                  <w:tcW w:w="1481" w:type="dxa"/>
                  <w:vMerge w:val="restart"/>
                  <w:noWrap w:val="0"/>
                  <w:vAlign w:val="center"/>
                </w:tcPr>
                <w:p>
                  <w:pPr>
                    <w:widowControl/>
                    <w:adjustRightInd w:val="0"/>
                    <w:snapToGrid w:val="0"/>
                    <w:jc w:val="center"/>
                    <w:rPr>
                      <w:color w:val="auto"/>
                      <w:sz w:val="21"/>
                      <w:szCs w:val="21"/>
                    </w:rPr>
                  </w:pPr>
                  <w:r>
                    <w:rPr>
                      <w:color w:val="auto"/>
                      <w:sz w:val="21"/>
                      <w:szCs w:val="21"/>
                    </w:rPr>
                    <w:t>一小时</w:t>
                  </w:r>
                </w:p>
              </w:tc>
              <w:tc>
                <w:tcPr>
                  <w:tcW w:w="1441" w:type="dxa"/>
                  <w:noWrap w:val="0"/>
                  <w:vAlign w:val="center"/>
                </w:tcPr>
                <w:p>
                  <w:pPr>
                    <w:widowControl/>
                    <w:adjustRightInd w:val="0"/>
                    <w:snapToGrid w:val="0"/>
                    <w:jc w:val="center"/>
                    <w:rPr>
                      <w:color w:val="auto"/>
                      <w:sz w:val="21"/>
                      <w:szCs w:val="21"/>
                    </w:rPr>
                  </w:pPr>
                  <w:r>
                    <w:rPr>
                      <w:color w:val="auto"/>
                      <w:sz w:val="21"/>
                      <w:szCs w:val="21"/>
                    </w:rPr>
                    <w:t>200</w:t>
                  </w:r>
                </w:p>
              </w:tc>
              <w:tc>
                <w:tcPr>
                  <w:tcW w:w="3423" w:type="dxa"/>
                  <w:vMerge w:val="restart"/>
                  <w:noWrap w:val="0"/>
                  <w:vAlign w:val="center"/>
                </w:tcPr>
                <w:p>
                  <w:pPr>
                    <w:widowControl/>
                    <w:adjustRightInd w:val="0"/>
                    <w:snapToGrid w:val="0"/>
                    <w:jc w:val="center"/>
                    <w:rPr>
                      <w:color w:val="auto"/>
                      <w:sz w:val="21"/>
                      <w:szCs w:val="21"/>
                    </w:rPr>
                  </w:pPr>
                  <w:r>
                    <w:rPr>
                      <w:color w:val="auto"/>
                      <w:sz w:val="21"/>
                      <w:szCs w:val="21"/>
                    </w:rPr>
                    <w:t>《环境影响评价技术导则 大气环境》HJ 2.2-2018附录D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noWrap w:val="0"/>
                  <w:vAlign w:val="center"/>
                </w:tcPr>
                <w:p>
                  <w:pPr>
                    <w:widowControl/>
                    <w:adjustRightInd w:val="0"/>
                    <w:snapToGrid w:val="0"/>
                    <w:jc w:val="center"/>
                    <w:rPr>
                      <w:color w:val="auto"/>
                      <w:sz w:val="21"/>
                      <w:szCs w:val="21"/>
                    </w:rPr>
                  </w:pPr>
                  <w:r>
                    <w:rPr>
                      <w:color w:val="auto"/>
                      <w:sz w:val="21"/>
                      <w:szCs w:val="21"/>
                    </w:rPr>
                    <w:t>H</w:t>
                  </w:r>
                  <w:r>
                    <w:rPr>
                      <w:color w:val="auto"/>
                      <w:sz w:val="21"/>
                      <w:szCs w:val="21"/>
                      <w:vertAlign w:val="subscript"/>
                    </w:rPr>
                    <w:t>2</w:t>
                  </w:r>
                  <w:r>
                    <w:rPr>
                      <w:color w:val="auto"/>
                      <w:sz w:val="21"/>
                      <w:szCs w:val="21"/>
                    </w:rPr>
                    <w:t>S</w:t>
                  </w:r>
                </w:p>
              </w:tc>
              <w:tc>
                <w:tcPr>
                  <w:tcW w:w="1218" w:type="dxa"/>
                  <w:vMerge w:val="continue"/>
                  <w:noWrap w:val="0"/>
                  <w:vAlign w:val="center"/>
                </w:tcPr>
                <w:p>
                  <w:pPr>
                    <w:widowControl/>
                    <w:adjustRightInd w:val="0"/>
                    <w:snapToGrid w:val="0"/>
                    <w:jc w:val="center"/>
                    <w:rPr>
                      <w:color w:val="auto"/>
                      <w:sz w:val="21"/>
                      <w:szCs w:val="21"/>
                    </w:rPr>
                  </w:pPr>
                </w:p>
              </w:tc>
              <w:tc>
                <w:tcPr>
                  <w:tcW w:w="1481" w:type="dxa"/>
                  <w:vMerge w:val="continue"/>
                  <w:noWrap w:val="0"/>
                  <w:vAlign w:val="center"/>
                </w:tcPr>
                <w:p>
                  <w:pPr>
                    <w:widowControl/>
                    <w:adjustRightInd w:val="0"/>
                    <w:snapToGrid w:val="0"/>
                    <w:jc w:val="center"/>
                    <w:rPr>
                      <w:color w:val="auto"/>
                      <w:sz w:val="21"/>
                      <w:szCs w:val="21"/>
                    </w:rPr>
                  </w:pPr>
                </w:p>
              </w:tc>
              <w:tc>
                <w:tcPr>
                  <w:tcW w:w="1441" w:type="dxa"/>
                  <w:noWrap w:val="0"/>
                  <w:vAlign w:val="center"/>
                </w:tcPr>
                <w:p>
                  <w:pPr>
                    <w:widowControl/>
                    <w:adjustRightInd w:val="0"/>
                    <w:snapToGrid w:val="0"/>
                    <w:jc w:val="center"/>
                    <w:rPr>
                      <w:color w:val="auto"/>
                      <w:sz w:val="21"/>
                      <w:szCs w:val="21"/>
                    </w:rPr>
                  </w:pPr>
                  <w:r>
                    <w:rPr>
                      <w:color w:val="auto"/>
                      <w:sz w:val="21"/>
                      <w:szCs w:val="21"/>
                    </w:rPr>
                    <w:t>10</w:t>
                  </w:r>
                </w:p>
              </w:tc>
              <w:tc>
                <w:tcPr>
                  <w:tcW w:w="3423" w:type="dxa"/>
                  <w:vMerge w:val="continue"/>
                  <w:noWrap w:val="0"/>
                  <w:vAlign w:val="center"/>
                </w:tcPr>
                <w:p>
                  <w:pPr>
                    <w:widowControl/>
                    <w:adjustRightInd w:val="0"/>
                    <w:snapToGrid w:val="0"/>
                    <w:jc w:val="center"/>
                    <w:rPr>
                      <w:color w:val="auto"/>
                      <w:sz w:val="21"/>
                      <w:szCs w:val="21"/>
                    </w:rPr>
                  </w:pPr>
                </w:p>
              </w:tc>
            </w:tr>
          </w:tbl>
          <w:p>
            <w:pPr>
              <w:widowControl/>
              <w:adjustRightInd w:val="0"/>
              <w:snapToGrid w:val="0"/>
              <w:spacing w:line="360" w:lineRule="auto"/>
              <w:ind w:firstLine="480" w:firstLineChars="200"/>
              <w:jc w:val="left"/>
              <w:rPr>
                <w:color w:val="auto"/>
              </w:rPr>
            </w:pPr>
            <w:r>
              <w:rPr>
                <w:color w:val="auto"/>
              </w:rPr>
              <w:t>（4）项目参数</w:t>
            </w:r>
          </w:p>
          <w:p>
            <w:pPr>
              <w:widowControl/>
              <w:adjustRightInd w:val="0"/>
              <w:snapToGrid w:val="0"/>
              <w:spacing w:line="360" w:lineRule="auto"/>
              <w:ind w:firstLine="480" w:firstLineChars="200"/>
              <w:jc w:val="left"/>
              <w:rPr>
                <w:color w:val="auto"/>
              </w:rPr>
            </w:pPr>
            <w:r>
              <w:rPr>
                <w:color w:val="auto"/>
              </w:rPr>
              <w:t>本次大气环境影响预测采用《环境影响评价技术导则 大气环境》（HJ2.2-2018）推荐模式清单中的AERSCREEN模型进行预测，计算各预测因子最大落地地面浓度值。根据项目所在地环境特点，项目估算模型参数详见下表：</w:t>
            </w:r>
          </w:p>
          <w:p>
            <w:pPr>
              <w:adjustRightInd w:val="0"/>
              <w:snapToGrid w:val="0"/>
              <w:spacing w:line="360" w:lineRule="auto"/>
              <w:ind w:firstLine="480" w:firstLineChars="200"/>
              <w:jc w:val="center"/>
              <w:rPr>
                <w:rFonts w:eastAsia="黑体"/>
                <w:bCs/>
                <w:color w:val="auto"/>
              </w:rPr>
            </w:pPr>
            <w:r>
              <w:rPr>
                <w:rFonts w:eastAsia="黑体"/>
                <w:bCs/>
                <w:color w:val="auto"/>
              </w:rPr>
              <w:t>表7-10  估算模型参数表</w:t>
            </w:r>
          </w:p>
          <w:tbl>
            <w:tblPr>
              <w:tblStyle w:val="2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022"/>
              <w:gridCol w:w="1512"/>
              <w:gridCol w:w="1511"/>
              <w:gridCol w:w="30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4534" w:type="dxa"/>
                  <w:gridSpan w:val="2"/>
                  <w:noWrap w:val="0"/>
                  <w:vAlign w:val="center"/>
                </w:tcPr>
                <w:p>
                  <w:pPr>
                    <w:jc w:val="center"/>
                    <w:rPr>
                      <w:color w:val="auto"/>
                      <w:sz w:val="21"/>
                      <w:szCs w:val="21"/>
                    </w:rPr>
                  </w:pPr>
                  <w:r>
                    <w:rPr>
                      <w:color w:val="auto"/>
                      <w:sz w:val="21"/>
                      <w:szCs w:val="21"/>
                    </w:rPr>
                    <w:t>参数</w:t>
                  </w:r>
                </w:p>
              </w:tc>
              <w:tc>
                <w:tcPr>
                  <w:tcW w:w="4534" w:type="dxa"/>
                  <w:gridSpan w:val="2"/>
                  <w:noWrap w:val="0"/>
                  <w:vAlign w:val="center"/>
                </w:tcPr>
                <w:p>
                  <w:pPr>
                    <w:jc w:val="center"/>
                    <w:rPr>
                      <w:color w:val="auto"/>
                      <w:sz w:val="21"/>
                      <w:szCs w:val="21"/>
                    </w:rPr>
                  </w:pPr>
                  <w:r>
                    <w:rPr>
                      <w:color w:val="auto"/>
                      <w:sz w:val="21"/>
                      <w:szCs w:val="21"/>
                    </w:rPr>
                    <w:t>取值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restart"/>
                  <w:noWrap w:val="0"/>
                  <w:vAlign w:val="center"/>
                </w:tcPr>
                <w:p>
                  <w:pPr>
                    <w:jc w:val="center"/>
                    <w:rPr>
                      <w:color w:val="auto"/>
                      <w:sz w:val="21"/>
                      <w:szCs w:val="21"/>
                    </w:rPr>
                  </w:pPr>
                  <w:r>
                    <w:rPr>
                      <w:color w:val="auto"/>
                      <w:sz w:val="21"/>
                      <w:szCs w:val="21"/>
                    </w:rPr>
                    <w:t>城市/农村选项</w:t>
                  </w:r>
                </w:p>
              </w:tc>
              <w:tc>
                <w:tcPr>
                  <w:tcW w:w="3023" w:type="dxa"/>
                  <w:gridSpan w:val="2"/>
                  <w:noWrap w:val="0"/>
                  <w:vAlign w:val="center"/>
                </w:tcPr>
                <w:p>
                  <w:pPr>
                    <w:jc w:val="center"/>
                    <w:rPr>
                      <w:color w:val="auto"/>
                      <w:sz w:val="21"/>
                      <w:szCs w:val="21"/>
                    </w:rPr>
                  </w:pPr>
                  <w:r>
                    <w:rPr>
                      <w:color w:val="auto"/>
                      <w:sz w:val="21"/>
                      <w:szCs w:val="21"/>
                    </w:rPr>
                    <w:t>城市/农村</w:t>
                  </w:r>
                </w:p>
              </w:tc>
              <w:tc>
                <w:tcPr>
                  <w:tcW w:w="3023" w:type="dxa"/>
                  <w:noWrap w:val="0"/>
                  <w:vAlign w:val="center"/>
                </w:tcPr>
                <w:p>
                  <w:pPr>
                    <w:jc w:val="center"/>
                    <w:rPr>
                      <w:color w:val="auto"/>
                      <w:sz w:val="21"/>
                      <w:szCs w:val="21"/>
                    </w:rPr>
                  </w:pPr>
                  <w:r>
                    <w:rPr>
                      <w:color w:val="auto"/>
                      <w:sz w:val="21"/>
                      <w:szCs w:val="21"/>
                    </w:rPr>
                    <w:t>农村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continue"/>
                  <w:noWrap w:val="0"/>
                  <w:vAlign w:val="center"/>
                </w:tcPr>
                <w:p>
                  <w:pPr>
                    <w:jc w:val="center"/>
                    <w:rPr>
                      <w:color w:val="auto"/>
                      <w:sz w:val="21"/>
                      <w:szCs w:val="21"/>
                    </w:rPr>
                  </w:pPr>
                </w:p>
              </w:tc>
              <w:tc>
                <w:tcPr>
                  <w:tcW w:w="3023" w:type="dxa"/>
                  <w:gridSpan w:val="2"/>
                  <w:noWrap w:val="0"/>
                  <w:vAlign w:val="center"/>
                </w:tcPr>
                <w:p>
                  <w:pPr>
                    <w:jc w:val="center"/>
                    <w:rPr>
                      <w:color w:val="auto"/>
                      <w:sz w:val="21"/>
                      <w:szCs w:val="21"/>
                    </w:rPr>
                  </w:pPr>
                  <w:r>
                    <w:rPr>
                      <w:color w:val="auto"/>
                      <w:sz w:val="21"/>
                      <w:szCs w:val="21"/>
                    </w:rPr>
                    <w:t>人口数(城市人口数)</w:t>
                  </w:r>
                </w:p>
              </w:tc>
              <w:tc>
                <w:tcPr>
                  <w:tcW w:w="3023" w:type="dxa"/>
                  <w:noWrap w:val="0"/>
                  <w:vAlign w:val="center"/>
                </w:tcPr>
                <w:p>
                  <w:pPr>
                    <w:jc w:val="center"/>
                    <w:rPr>
                      <w:color w:val="auto"/>
                      <w:sz w:val="21"/>
                      <w:szCs w:val="21"/>
                    </w:rPr>
                  </w:pPr>
                  <w:r>
                    <w:rPr>
                      <w:color w:val="auto"/>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4534" w:type="dxa"/>
                  <w:gridSpan w:val="2"/>
                  <w:noWrap w:val="0"/>
                  <w:vAlign w:val="center"/>
                </w:tcPr>
                <w:p>
                  <w:pPr>
                    <w:jc w:val="center"/>
                    <w:rPr>
                      <w:color w:val="auto"/>
                      <w:sz w:val="21"/>
                      <w:szCs w:val="21"/>
                    </w:rPr>
                  </w:pPr>
                  <w:r>
                    <w:rPr>
                      <w:color w:val="auto"/>
                      <w:sz w:val="21"/>
                      <w:szCs w:val="21"/>
                    </w:rPr>
                    <w:t>最高环境温度</w:t>
                  </w:r>
                </w:p>
              </w:tc>
              <w:tc>
                <w:tcPr>
                  <w:tcW w:w="4534" w:type="dxa"/>
                  <w:gridSpan w:val="2"/>
                  <w:noWrap w:val="0"/>
                  <w:vAlign w:val="center"/>
                </w:tcPr>
                <w:p>
                  <w:pPr>
                    <w:jc w:val="center"/>
                    <w:rPr>
                      <w:rFonts w:hint="eastAsia"/>
                      <w:color w:val="auto"/>
                      <w:sz w:val="21"/>
                      <w:szCs w:val="21"/>
                    </w:rPr>
                  </w:pPr>
                  <w:r>
                    <w:rPr>
                      <w:rFonts w:hint="eastAsia"/>
                      <w:color w:val="auto"/>
                      <w:sz w:val="21"/>
                      <w:szCs w:val="21"/>
                    </w:rPr>
                    <w:t>36.1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4534" w:type="dxa"/>
                  <w:gridSpan w:val="2"/>
                  <w:noWrap w:val="0"/>
                  <w:vAlign w:val="center"/>
                </w:tcPr>
                <w:p>
                  <w:pPr>
                    <w:jc w:val="center"/>
                    <w:rPr>
                      <w:color w:val="auto"/>
                      <w:sz w:val="21"/>
                      <w:szCs w:val="21"/>
                    </w:rPr>
                  </w:pPr>
                  <w:r>
                    <w:rPr>
                      <w:color w:val="auto"/>
                      <w:sz w:val="21"/>
                      <w:szCs w:val="21"/>
                    </w:rPr>
                    <w:t>最低环境温度</w:t>
                  </w:r>
                </w:p>
              </w:tc>
              <w:tc>
                <w:tcPr>
                  <w:tcW w:w="4534" w:type="dxa"/>
                  <w:gridSpan w:val="2"/>
                  <w:noWrap w:val="0"/>
                  <w:vAlign w:val="center"/>
                </w:tcPr>
                <w:p>
                  <w:pPr>
                    <w:jc w:val="center"/>
                    <w:rPr>
                      <w:rFonts w:hint="eastAsia"/>
                      <w:color w:val="auto"/>
                      <w:sz w:val="21"/>
                      <w:szCs w:val="21"/>
                    </w:rPr>
                  </w:pPr>
                  <w:r>
                    <w:rPr>
                      <w:color w:val="auto"/>
                      <w:sz w:val="21"/>
                      <w:szCs w:val="21"/>
                    </w:rPr>
                    <w:t>-</w:t>
                  </w:r>
                  <w:r>
                    <w:rPr>
                      <w:rFonts w:hint="eastAsia"/>
                      <w:color w:val="auto"/>
                      <w:sz w:val="21"/>
                      <w:szCs w:val="21"/>
                    </w:rPr>
                    <w:t>3.2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4534" w:type="dxa"/>
                  <w:gridSpan w:val="2"/>
                  <w:noWrap w:val="0"/>
                  <w:vAlign w:val="center"/>
                </w:tcPr>
                <w:p>
                  <w:pPr>
                    <w:jc w:val="center"/>
                    <w:rPr>
                      <w:color w:val="auto"/>
                      <w:sz w:val="21"/>
                      <w:szCs w:val="21"/>
                    </w:rPr>
                  </w:pPr>
                  <w:r>
                    <w:rPr>
                      <w:color w:val="auto"/>
                      <w:sz w:val="21"/>
                      <w:szCs w:val="21"/>
                    </w:rPr>
                    <w:t>土地利用类型</w:t>
                  </w:r>
                </w:p>
              </w:tc>
              <w:tc>
                <w:tcPr>
                  <w:tcW w:w="4534" w:type="dxa"/>
                  <w:gridSpan w:val="2"/>
                  <w:noWrap w:val="0"/>
                  <w:vAlign w:val="center"/>
                </w:tcPr>
                <w:p>
                  <w:pPr>
                    <w:jc w:val="center"/>
                    <w:rPr>
                      <w:color w:val="auto"/>
                      <w:sz w:val="21"/>
                      <w:szCs w:val="21"/>
                    </w:rPr>
                  </w:pPr>
                  <w:r>
                    <w:rPr>
                      <w:color w:val="auto"/>
                      <w:sz w:val="21"/>
                      <w:szCs w:val="21"/>
                    </w:rPr>
                    <w:t>阔叶林</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4534" w:type="dxa"/>
                  <w:gridSpan w:val="2"/>
                  <w:noWrap w:val="0"/>
                  <w:vAlign w:val="center"/>
                </w:tcPr>
                <w:p>
                  <w:pPr>
                    <w:jc w:val="center"/>
                    <w:rPr>
                      <w:color w:val="auto"/>
                      <w:sz w:val="21"/>
                      <w:szCs w:val="21"/>
                    </w:rPr>
                  </w:pPr>
                  <w:r>
                    <w:rPr>
                      <w:color w:val="auto"/>
                      <w:sz w:val="21"/>
                      <w:szCs w:val="21"/>
                    </w:rPr>
                    <w:t>区域湿度条件</w:t>
                  </w:r>
                </w:p>
              </w:tc>
              <w:tc>
                <w:tcPr>
                  <w:tcW w:w="4534" w:type="dxa"/>
                  <w:gridSpan w:val="2"/>
                  <w:noWrap w:val="0"/>
                  <w:vAlign w:val="center"/>
                </w:tcPr>
                <w:p>
                  <w:pPr>
                    <w:jc w:val="center"/>
                    <w:rPr>
                      <w:color w:val="auto"/>
                      <w:sz w:val="21"/>
                      <w:szCs w:val="21"/>
                    </w:rPr>
                  </w:pPr>
                  <w:r>
                    <w:rPr>
                      <w:color w:val="auto"/>
                      <w:sz w:val="21"/>
                      <w:szCs w:val="21"/>
                    </w:rPr>
                    <w:t>潮湿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restart"/>
                  <w:noWrap w:val="0"/>
                  <w:vAlign w:val="center"/>
                </w:tcPr>
                <w:p>
                  <w:pPr>
                    <w:jc w:val="center"/>
                    <w:rPr>
                      <w:color w:val="auto"/>
                      <w:sz w:val="21"/>
                      <w:szCs w:val="21"/>
                    </w:rPr>
                  </w:pPr>
                  <w:r>
                    <w:rPr>
                      <w:color w:val="auto"/>
                      <w:sz w:val="21"/>
                      <w:szCs w:val="21"/>
                    </w:rPr>
                    <w:t>是否考虑地形</w:t>
                  </w:r>
                </w:p>
              </w:tc>
              <w:tc>
                <w:tcPr>
                  <w:tcW w:w="3023" w:type="dxa"/>
                  <w:gridSpan w:val="2"/>
                  <w:noWrap w:val="0"/>
                  <w:vAlign w:val="center"/>
                </w:tcPr>
                <w:p>
                  <w:pPr>
                    <w:jc w:val="center"/>
                    <w:rPr>
                      <w:color w:val="auto"/>
                      <w:sz w:val="21"/>
                      <w:szCs w:val="21"/>
                    </w:rPr>
                  </w:pPr>
                  <w:r>
                    <w:rPr>
                      <w:color w:val="auto"/>
                      <w:sz w:val="21"/>
                      <w:szCs w:val="21"/>
                    </w:rPr>
                    <w:t>考虑地形</w:t>
                  </w:r>
                </w:p>
              </w:tc>
              <w:tc>
                <w:tcPr>
                  <w:tcW w:w="3023" w:type="dxa"/>
                  <w:noWrap w:val="0"/>
                  <w:vAlign w:val="center"/>
                </w:tcPr>
                <w:p>
                  <w:pPr>
                    <w:jc w:val="center"/>
                    <w:rPr>
                      <w:color w:val="auto"/>
                      <w:sz w:val="21"/>
                      <w:szCs w:val="21"/>
                    </w:rPr>
                  </w:pPr>
                  <w:r>
                    <w:rPr>
                      <w:color w:val="auto"/>
                      <w:sz w:val="21"/>
                      <w:szCs w:val="21"/>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continue"/>
                  <w:noWrap w:val="0"/>
                  <w:vAlign w:val="center"/>
                </w:tcPr>
                <w:p>
                  <w:pPr>
                    <w:jc w:val="center"/>
                    <w:rPr>
                      <w:color w:val="auto"/>
                      <w:sz w:val="21"/>
                      <w:szCs w:val="21"/>
                    </w:rPr>
                  </w:pPr>
                </w:p>
              </w:tc>
              <w:tc>
                <w:tcPr>
                  <w:tcW w:w="3023" w:type="dxa"/>
                  <w:gridSpan w:val="2"/>
                  <w:noWrap w:val="0"/>
                  <w:vAlign w:val="center"/>
                </w:tcPr>
                <w:p>
                  <w:pPr>
                    <w:jc w:val="center"/>
                    <w:rPr>
                      <w:color w:val="auto"/>
                      <w:sz w:val="21"/>
                      <w:szCs w:val="21"/>
                    </w:rPr>
                  </w:pPr>
                  <w:r>
                    <w:rPr>
                      <w:color w:val="auto"/>
                      <w:sz w:val="21"/>
                      <w:szCs w:val="21"/>
                    </w:rPr>
                    <w:t>地形数据分辨率(m)</w:t>
                  </w:r>
                </w:p>
              </w:tc>
              <w:tc>
                <w:tcPr>
                  <w:tcW w:w="3023" w:type="dxa"/>
                  <w:noWrap w:val="0"/>
                  <w:vAlign w:val="center"/>
                </w:tcPr>
                <w:p>
                  <w:pPr>
                    <w:jc w:val="center"/>
                    <w:rPr>
                      <w:color w:val="auto"/>
                      <w:sz w:val="21"/>
                      <w:szCs w:val="21"/>
                    </w:rPr>
                  </w:pPr>
                  <w:r>
                    <w:rPr>
                      <w:color w:val="auto"/>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restart"/>
                  <w:noWrap w:val="0"/>
                  <w:vAlign w:val="center"/>
                </w:tcPr>
                <w:p>
                  <w:pPr>
                    <w:jc w:val="center"/>
                    <w:rPr>
                      <w:color w:val="auto"/>
                      <w:sz w:val="21"/>
                      <w:szCs w:val="21"/>
                    </w:rPr>
                  </w:pPr>
                  <w:r>
                    <w:rPr>
                      <w:color w:val="auto"/>
                      <w:sz w:val="21"/>
                      <w:szCs w:val="21"/>
                    </w:rPr>
                    <w:t>是否考虑岸线熏烟</w:t>
                  </w:r>
                </w:p>
              </w:tc>
              <w:tc>
                <w:tcPr>
                  <w:tcW w:w="3023" w:type="dxa"/>
                  <w:gridSpan w:val="2"/>
                  <w:noWrap w:val="0"/>
                  <w:vAlign w:val="center"/>
                </w:tcPr>
                <w:p>
                  <w:pPr>
                    <w:jc w:val="center"/>
                    <w:rPr>
                      <w:color w:val="auto"/>
                      <w:sz w:val="21"/>
                      <w:szCs w:val="21"/>
                    </w:rPr>
                  </w:pPr>
                  <w:r>
                    <w:rPr>
                      <w:color w:val="auto"/>
                      <w:sz w:val="21"/>
                      <w:szCs w:val="21"/>
                    </w:rPr>
                    <w:t>考虑岸线熏烟</w:t>
                  </w:r>
                </w:p>
              </w:tc>
              <w:tc>
                <w:tcPr>
                  <w:tcW w:w="3023" w:type="dxa"/>
                  <w:noWrap w:val="0"/>
                  <w:vAlign w:val="center"/>
                </w:tcPr>
                <w:p>
                  <w:pPr>
                    <w:jc w:val="center"/>
                    <w:rPr>
                      <w:color w:val="auto"/>
                      <w:sz w:val="21"/>
                      <w:szCs w:val="21"/>
                    </w:rPr>
                  </w:pPr>
                  <w:r>
                    <w:rPr>
                      <w:color w:val="auto"/>
                      <w:sz w:val="21"/>
                      <w:szCs w:val="21"/>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continue"/>
                  <w:noWrap w:val="0"/>
                  <w:vAlign w:val="center"/>
                </w:tcPr>
                <w:p>
                  <w:pPr>
                    <w:jc w:val="center"/>
                    <w:rPr>
                      <w:color w:val="auto"/>
                      <w:sz w:val="21"/>
                      <w:szCs w:val="21"/>
                    </w:rPr>
                  </w:pPr>
                </w:p>
              </w:tc>
              <w:tc>
                <w:tcPr>
                  <w:tcW w:w="3023" w:type="dxa"/>
                  <w:gridSpan w:val="2"/>
                  <w:noWrap w:val="0"/>
                  <w:vAlign w:val="center"/>
                </w:tcPr>
                <w:p>
                  <w:pPr>
                    <w:jc w:val="center"/>
                    <w:rPr>
                      <w:color w:val="auto"/>
                      <w:sz w:val="21"/>
                      <w:szCs w:val="21"/>
                    </w:rPr>
                  </w:pPr>
                  <w:r>
                    <w:rPr>
                      <w:color w:val="auto"/>
                      <w:sz w:val="21"/>
                      <w:szCs w:val="21"/>
                    </w:rPr>
                    <w:t>岸线距离/m</w:t>
                  </w:r>
                </w:p>
              </w:tc>
              <w:tc>
                <w:tcPr>
                  <w:tcW w:w="3023" w:type="dxa"/>
                  <w:noWrap w:val="0"/>
                  <w:vAlign w:val="center"/>
                </w:tcPr>
                <w:p>
                  <w:pPr>
                    <w:jc w:val="center"/>
                    <w:rPr>
                      <w:color w:val="auto"/>
                      <w:sz w:val="21"/>
                      <w:szCs w:val="21"/>
                    </w:rPr>
                  </w:pPr>
                  <w:r>
                    <w:rPr>
                      <w:color w:val="auto"/>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3022" w:type="dxa"/>
                  <w:vMerge w:val="continue"/>
                  <w:noWrap w:val="0"/>
                  <w:vAlign w:val="center"/>
                </w:tcPr>
                <w:p>
                  <w:pPr>
                    <w:jc w:val="center"/>
                    <w:rPr>
                      <w:color w:val="auto"/>
                      <w:sz w:val="21"/>
                      <w:szCs w:val="21"/>
                    </w:rPr>
                  </w:pPr>
                </w:p>
              </w:tc>
              <w:tc>
                <w:tcPr>
                  <w:tcW w:w="3023" w:type="dxa"/>
                  <w:gridSpan w:val="2"/>
                  <w:noWrap w:val="0"/>
                  <w:vAlign w:val="center"/>
                </w:tcPr>
                <w:p>
                  <w:pPr>
                    <w:jc w:val="center"/>
                    <w:rPr>
                      <w:color w:val="auto"/>
                      <w:sz w:val="21"/>
                      <w:szCs w:val="21"/>
                    </w:rPr>
                  </w:pPr>
                  <w:r>
                    <w:rPr>
                      <w:color w:val="auto"/>
                      <w:sz w:val="21"/>
                      <w:szCs w:val="21"/>
                    </w:rPr>
                    <w:t>岸线方向/°</w:t>
                  </w:r>
                </w:p>
              </w:tc>
              <w:tc>
                <w:tcPr>
                  <w:tcW w:w="3023" w:type="dxa"/>
                  <w:noWrap w:val="0"/>
                  <w:vAlign w:val="center"/>
                </w:tcPr>
                <w:p>
                  <w:pPr>
                    <w:jc w:val="center"/>
                    <w:rPr>
                      <w:color w:val="auto"/>
                      <w:sz w:val="21"/>
                      <w:szCs w:val="21"/>
                    </w:rPr>
                  </w:pPr>
                  <w:r>
                    <w:rPr>
                      <w:color w:val="auto"/>
                      <w:sz w:val="21"/>
                      <w:szCs w:val="21"/>
                    </w:rPr>
                    <w:t>/</w:t>
                  </w:r>
                </w:p>
              </w:tc>
            </w:tr>
          </w:tbl>
          <w:p>
            <w:pPr>
              <w:pStyle w:val="16"/>
              <w:adjustRightInd w:val="0"/>
              <w:snapToGrid w:val="0"/>
              <w:spacing w:before="0"/>
              <w:ind w:firstLine="480" w:firstLineChars="200"/>
              <w:rPr>
                <w:rStyle w:val="96"/>
                <w:rFonts w:hint="eastAsia"/>
                <w:color w:val="auto"/>
              </w:rPr>
            </w:pPr>
            <w:r>
              <w:rPr>
                <w:rStyle w:val="96"/>
                <w:rFonts w:hint="eastAsia"/>
                <w:color w:val="auto"/>
              </w:rPr>
              <w:t>（5）预测结果</w:t>
            </w:r>
          </w:p>
          <w:p>
            <w:pPr>
              <w:pStyle w:val="16"/>
              <w:adjustRightInd w:val="0"/>
              <w:snapToGrid w:val="0"/>
              <w:spacing w:before="0"/>
              <w:ind w:firstLine="480" w:firstLineChars="200"/>
              <w:rPr>
                <w:rFonts w:hint="default" w:ascii="Times New Roman" w:hAnsi="Times New Roman"/>
                <w:bCs/>
                <w:color w:val="auto"/>
                <w:sz w:val="24"/>
                <w:szCs w:val="24"/>
              </w:rPr>
            </w:pPr>
            <w:r>
              <w:rPr>
                <w:rStyle w:val="96"/>
                <w:rFonts w:hint="eastAsia"/>
                <w:color w:val="auto"/>
              </w:rPr>
              <w:t>本项目</w:t>
            </w:r>
            <w:r>
              <w:rPr>
                <w:rFonts w:hint="default" w:ascii="Times New Roman" w:hAnsi="Times New Roman"/>
                <w:bCs/>
                <w:color w:val="auto"/>
                <w:sz w:val="24"/>
                <w:szCs w:val="24"/>
              </w:rPr>
              <w:t>评价因子</w:t>
            </w:r>
            <w:r>
              <w:rPr>
                <w:rStyle w:val="96"/>
                <w:rFonts w:hint="eastAsia"/>
                <w:color w:val="auto"/>
              </w:rPr>
              <w:t>扩散估算模式计算结果见表7-12。</w:t>
            </w:r>
          </w:p>
          <w:p>
            <w:pPr>
              <w:pStyle w:val="16"/>
              <w:adjustRightInd w:val="0"/>
              <w:snapToGrid w:val="0"/>
              <w:spacing w:before="0"/>
              <w:jc w:val="center"/>
              <w:rPr>
                <w:rFonts w:hint="default" w:ascii="Times New Roman" w:hAnsi="Times New Roman" w:eastAsia="黑体"/>
                <w:bCs/>
                <w:color w:val="auto"/>
                <w:sz w:val="24"/>
                <w:szCs w:val="24"/>
              </w:rPr>
            </w:pPr>
            <w:r>
              <w:rPr>
                <w:rFonts w:hint="default" w:ascii="Times New Roman" w:hAnsi="Times New Roman" w:eastAsia="黑体"/>
                <w:bCs/>
                <w:color w:val="auto"/>
                <w:sz w:val="24"/>
                <w:szCs w:val="24"/>
              </w:rPr>
              <w:t>表7-12  项目评价因子估算模式计算结果表</w:t>
            </w:r>
          </w:p>
          <w:tbl>
            <w:tblPr>
              <w:tblStyle w:val="2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3"/>
              <w:gridCol w:w="2017"/>
              <w:gridCol w:w="1609"/>
              <w:gridCol w:w="2017"/>
              <w:gridCol w:w="16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vMerge w:val="restart"/>
                  <w:noWrap w:val="0"/>
                  <w:vAlign w:val="center"/>
                </w:tcPr>
                <w:p>
                  <w:pPr>
                    <w:jc w:val="center"/>
                    <w:rPr>
                      <w:color w:val="auto"/>
                      <w:sz w:val="21"/>
                      <w:szCs w:val="21"/>
                    </w:rPr>
                  </w:pPr>
                  <w:r>
                    <w:rPr>
                      <w:color w:val="auto"/>
                      <w:sz w:val="21"/>
                      <w:szCs w:val="21"/>
                    </w:rPr>
                    <w:t>下风向距离</w:t>
                  </w:r>
                </w:p>
              </w:tc>
              <w:tc>
                <w:tcPr>
                  <w:tcW w:w="7255" w:type="dxa"/>
                  <w:gridSpan w:val="4"/>
                  <w:noWrap w:val="0"/>
                  <w:vAlign w:val="center"/>
                </w:tcPr>
                <w:p>
                  <w:pPr>
                    <w:jc w:val="center"/>
                    <w:rPr>
                      <w:color w:val="auto"/>
                      <w:sz w:val="21"/>
                      <w:szCs w:val="21"/>
                    </w:rPr>
                  </w:pPr>
                  <w:r>
                    <w:rPr>
                      <w:rFonts w:hint="eastAsia"/>
                      <w:color w:val="auto"/>
                      <w:sz w:val="21"/>
                      <w:szCs w:val="21"/>
                    </w:rPr>
                    <w:t>面</w:t>
                  </w:r>
                  <w:r>
                    <w:rPr>
                      <w:color w:val="auto"/>
                      <w:sz w:val="21"/>
                      <w:szCs w:val="21"/>
                    </w:rPr>
                    <w:t>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vMerge w:val="continue"/>
                  <w:noWrap w:val="0"/>
                  <w:vAlign w:val="center"/>
                </w:tcPr>
                <w:p>
                  <w:pPr>
                    <w:jc w:val="center"/>
                    <w:rPr>
                      <w:color w:val="auto"/>
                      <w:sz w:val="21"/>
                      <w:szCs w:val="21"/>
                    </w:rPr>
                  </w:pPr>
                </w:p>
              </w:tc>
              <w:tc>
                <w:tcPr>
                  <w:tcW w:w="2017" w:type="dxa"/>
                  <w:noWrap w:val="0"/>
                  <w:vAlign w:val="center"/>
                </w:tcPr>
                <w:p>
                  <w:pPr>
                    <w:jc w:val="center"/>
                    <w:rPr>
                      <w:color w:val="auto"/>
                      <w:sz w:val="21"/>
                      <w:szCs w:val="21"/>
                    </w:rPr>
                  </w:pPr>
                  <w:r>
                    <w:rPr>
                      <w:color w:val="auto"/>
                      <w:sz w:val="21"/>
                      <w:szCs w:val="21"/>
                    </w:rPr>
                    <w:t>NH</w:t>
                  </w:r>
                  <w:r>
                    <w:rPr>
                      <w:color w:val="auto"/>
                      <w:sz w:val="21"/>
                      <w:szCs w:val="21"/>
                      <w:vertAlign w:val="subscript"/>
                    </w:rPr>
                    <w:t>3</w:t>
                  </w:r>
                  <w:r>
                    <w:rPr>
                      <w:color w:val="auto"/>
                      <w:sz w:val="21"/>
                      <w:szCs w:val="21"/>
                    </w:rPr>
                    <w:t>浓度(μg/m³)</w:t>
                  </w:r>
                </w:p>
              </w:tc>
              <w:tc>
                <w:tcPr>
                  <w:tcW w:w="1609" w:type="dxa"/>
                  <w:noWrap w:val="0"/>
                  <w:vAlign w:val="center"/>
                </w:tcPr>
                <w:p>
                  <w:pPr>
                    <w:jc w:val="center"/>
                    <w:rPr>
                      <w:color w:val="auto"/>
                      <w:sz w:val="21"/>
                      <w:szCs w:val="21"/>
                    </w:rPr>
                  </w:pPr>
                  <w:r>
                    <w:rPr>
                      <w:color w:val="auto"/>
                      <w:sz w:val="21"/>
                      <w:szCs w:val="21"/>
                    </w:rPr>
                    <w:t>NH</w:t>
                  </w:r>
                  <w:r>
                    <w:rPr>
                      <w:color w:val="auto"/>
                      <w:sz w:val="21"/>
                      <w:szCs w:val="21"/>
                      <w:vertAlign w:val="subscript"/>
                    </w:rPr>
                    <w:t>3</w:t>
                  </w:r>
                  <w:r>
                    <w:rPr>
                      <w:color w:val="auto"/>
                      <w:sz w:val="21"/>
                      <w:szCs w:val="21"/>
                    </w:rPr>
                    <w:t>占标率(%)</w:t>
                  </w:r>
                </w:p>
              </w:tc>
              <w:tc>
                <w:tcPr>
                  <w:tcW w:w="2017" w:type="dxa"/>
                  <w:noWrap w:val="0"/>
                  <w:vAlign w:val="center"/>
                </w:tcPr>
                <w:p>
                  <w:pPr>
                    <w:jc w:val="center"/>
                    <w:rPr>
                      <w:color w:val="auto"/>
                      <w:sz w:val="21"/>
                      <w:szCs w:val="21"/>
                    </w:rPr>
                  </w:pPr>
                  <w:r>
                    <w:rPr>
                      <w:color w:val="auto"/>
                      <w:sz w:val="21"/>
                      <w:szCs w:val="21"/>
                    </w:rPr>
                    <w:t>H</w:t>
                  </w:r>
                  <w:r>
                    <w:rPr>
                      <w:color w:val="auto"/>
                      <w:sz w:val="21"/>
                      <w:szCs w:val="21"/>
                      <w:vertAlign w:val="subscript"/>
                    </w:rPr>
                    <w:t>2</w:t>
                  </w:r>
                  <w:r>
                    <w:rPr>
                      <w:color w:val="auto"/>
                      <w:sz w:val="21"/>
                      <w:szCs w:val="21"/>
                    </w:rPr>
                    <w:t>S浓度(μg/m³)</w:t>
                  </w:r>
                </w:p>
              </w:tc>
              <w:tc>
                <w:tcPr>
                  <w:tcW w:w="1612" w:type="dxa"/>
                  <w:noWrap w:val="0"/>
                  <w:vAlign w:val="center"/>
                </w:tcPr>
                <w:p>
                  <w:pPr>
                    <w:jc w:val="center"/>
                    <w:rPr>
                      <w:color w:val="auto"/>
                      <w:sz w:val="21"/>
                      <w:szCs w:val="21"/>
                    </w:rPr>
                  </w:pPr>
                  <w:r>
                    <w:rPr>
                      <w:color w:val="auto"/>
                      <w:sz w:val="21"/>
                      <w:szCs w:val="21"/>
                    </w:rPr>
                    <w:t>H</w:t>
                  </w:r>
                  <w:r>
                    <w:rPr>
                      <w:color w:val="auto"/>
                      <w:sz w:val="21"/>
                      <w:szCs w:val="21"/>
                      <w:vertAlign w:val="subscript"/>
                    </w:rPr>
                    <w:t>2</w:t>
                  </w:r>
                  <w:r>
                    <w:rPr>
                      <w:color w:val="auto"/>
                      <w:sz w:val="21"/>
                      <w:szCs w:val="21"/>
                    </w:rPr>
                    <w:t>S占标率(%)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50.0</w:t>
                  </w:r>
                </w:p>
              </w:tc>
              <w:tc>
                <w:tcPr>
                  <w:tcW w:w="2017" w:type="dxa"/>
                  <w:noWrap w:val="0"/>
                  <w:vAlign w:val="center"/>
                </w:tcPr>
                <w:p>
                  <w:pPr>
                    <w:jc w:val="center"/>
                    <w:rPr>
                      <w:color w:val="auto"/>
                      <w:sz w:val="21"/>
                      <w:szCs w:val="21"/>
                    </w:rPr>
                  </w:pPr>
                  <w:r>
                    <w:rPr>
                      <w:color w:val="auto"/>
                      <w:sz w:val="21"/>
                      <w:szCs w:val="21"/>
                    </w:rPr>
                    <w:t>0.1008</w:t>
                  </w:r>
                </w:p>
              </w:tc>
              <w:tc>
                <w:tcPr>
                  <w:tcW w:w="1609" w:type="dxa"/>
                  <w:noWrap w:val="0"/>
                  <w:vAlign w:val="center"/>
                </w:tcPr>
                <w:p>
                  <w:pPr>
                    <w:jc w:val="center"/>
                    <w:rPr>
                      <w:color w:val="auto"/>
                      <w:sz w:val="21"/>
                      <w:szCs w:val="21"/>
                    </w:rPr>
                  </w:pPr>
                  <w:r>
                    <w:rPr>
                      <w:color w:val="auto"/>
                      <w:sz w:val="21"/>
                      <w:szCs w:val="21"/>
                    </w:rPr>
                    <w:t>0.0504</w:t>
                  </w:r>
                </w:p>
              </w:tc>
              <w:tc>
                <w:tcPr>
                  <w:tcW w:w="2017" w:type="dxa"/>
                  <w:noWrap w:val="0"/>
                  <w:vAlign w:val="center"/>
                </w:tcPr>
                <w:p>
                  <w:pPr>
                    <w:jc w:val="center"/>
                    <w:rPr>
                      <w:color w:val="auto"/>
                      <w:sz w:val="21"/>
                      <w:szCs w:val="21"/>
                    </w:rPr>
                  </w:pPr>
                  <w:r>
                    <w:rPr>
                      <w:color w:val="auto"/>
                      <w:sz w:val="21"/>
                      <w:szCs w:val="21"/>
                    </w:rPr>
                    <w:t>0.0022</w:t>
                  </w:r>
                </w:p>
              </w:tc>
              <w:tc>
                <w:tcPr>
                  <w:tcW w:w="1612" w:type="dxa"/>
                  <w:noWrap w:val="0"/>
                  <w:vAlign w:val="center"/>
                </w:tcPr>
                <w:p>
                  <w:pPr>
                    <w:jc w:val="center"/>
                    <w:rPr>
                      <w:color w:val="auto"/>
                      <w:sz w:val="21"/>
                      <w:szCs w:val="21"/>
                    </w:rPr>
                  </w:pPr>
                  <w:r>
                    <w:rPr>
                      <w:color w:val="auto"/>
                      <w:sz w:val="21"/>
                      <w:szCs w:val="21"/>
                    </w:rPr>
                    <w:t>0.0222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b/>
                      <w:bCs/>
                      <w:color w:val="auto"/>
                      <w:sz w:val="21"/>
                      <w:szCs w:val="21"/>
                    </w:rPr>
                  </w:pPr>
                  <w:r>
                    <w:rPr>
                      <w:b/>
                      <w:bCs/>
                      <w:color w:val="auto"/>
                      <w:sz w:val="21"/>
                      <w:szCs w:val="21"/>
                    </w:rPr>
                    <w:t>63.0</w:t>
                  </w:r>
                </w:p>
              </w:tc>
              <w:tc>
                <w:tcPr>
                  <w:tcW w:w="2017" w:type="dxa"/>
                  <w:noWrap w:val="0"/>
                  <w:vAlign w:val="center"/>
                </w:tcPr>
                <w:p>
                  <w:pPr>
                    <w:jc w:val="center"/>
                    <w:rPr>
                      <w:b/>
                      <w:bCs/>
                      <w:color w:val="auto"/>
                      <w:sz w:val="21"/>
                      <w:szCs w:val="21"/>
                    </w:rPr>
                  </w:pPr>
                  <w:r>
                    <w:rPr>
                      <w:b/>
                      <w:bCs/>
                      <w:color w:val="auto"/>
                      <w:sz w:val="21"/>
                      <w:szCs w:val="21"/>
                    </w:rPr>
                    <w:t>1.6514</w:t>
                  </w:r>
                </w:p>
              </w:tc>
              <w:tc>
                <w:tcPr>
                  <w:tcW w:w="1609" w:type="dxa"/>
                  <w:noWrap w:val="0"/>
                  <w:vAlign w:val="center"/>
                </w:tcPr>
                <w:p>
                  <w:pPr>
                    <w:jc w:val="center"/>
                    <w:rPr>
                      <w:b/>
                      <w:bCs/>
                      <w:color w:val="auto"/>
                      <w:sz w:val="21"/>
                      <w:szCs w:val="21"/>
                    </w:rPr>
                  </w:pPr>
                  <w:r>
                    <w:rPr>
                      <w:b/>
                      <w:bCs/>
                      <w:color w:val="auto"/>
                      <w:sz w:val="21"/>
                      <w:szCs w:val="21"/>
                    </w:rPr>
                    <w:t>0.8257</w:t>
                  </w:r>
                </w:p>
              </w:tc>
              <w:tc>
                <w:tcPr>
                  <w:tcW w:w="2017" w:type="dxa"/>
                  <w:noWrap w:val="0"/>
                  <w:vAlign w:val="center"/>
                </w:tcPr>
                <w:p>
                  <w:pPr>
                    <w:jc w:val="center"/>
                    <w:rPr>
                      <w:b/>
                      <w:bCs/>
                      <w:color w:val="auto"/>
                      <w:sz w:val="21"/>
                      <w:szCs w:val="21"/>
                    </w:rPr>
                  </w:pPr>
                  <w:r>
                    <w:rPr>
                      <w:b/>
                      <w:bCs/>
                      <w:color w:val="auto"/>
                      <w:sz w:val="21"/>
                      <w:szCs w:val="21"/>
                    </w:rPr>
                    <w:t>0.0307</w:t>
                  </w:r>
                </w:p>
              </w:tc>
              <w:tc>
                <w:tcPr>
                  <w:tcW w:w="1612" w:type="dxa"/>
                  <w:noWrap w:val="0"/>
                  <w:vAlign w:val="center"/>
                </w:tcPr>
                <w:p>
                  <w:pPr>
                    <w:jc w:val="center"/>
                    <w:rPr>
                      <w:b/>
                      <w:bCs/>
                      <w:color w:val="auto"/>
                      <w:sz w:val="21"/>
                      <w:szCs w:val="21"/>
                    </w:rPr>
                  </w:pPr>
                  <w:r>
                    <w:rPr>
                      <w:b/>
                      <w:bCs/>
                      <w:color w:val="auto"/>
                      <w:sz w:val="21"/>
                      <w:szCs w:val="21"/>
                    </w:rPr>
                    <w:t>0.3070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100.0</w:t>
                  </w:r>
                </w:p>
              </w:tc>
              <w:tc>
                <w:tcPr>
                  <w:tcW w:w="2017" w:type="dxa"/>
                  <w:noWrap w:val="0"/>
                  <w:vAlign w:val="center"/>
                </w:tcPr>
                <w:p>
                  <w:pPr>
                    <w:jc w:val="center"/>
                    <w:rPr>
                      <w:color w:val="auto"/>
                      <w:sz w:val="21"/>
                      <w:szCs w:val="21"/>
                    </w:rPr>
                  </w:pPr>
                  <w:r>
                    <w:rPr>
                      <w:color w:val="auto"/>
                      <w:sz w:val="21"/>
                      <w:szCs w:val="21"/>
                    </w:rPr>
                    <w:t>0.6100</w:t>
                  </w:r>
                </w:p>
              </w:tc>
              <w:tc>
                <w:tcPr>
                  <w:tcW w:w="1609" w:type="dxa"/>
                  <w:noWrap w:val="0"/>
                  <w:vAlign w:val="center"/>
                </w:tcPr>
                <w:p>
                  <w:pPr>
                    <w:jc w:val="center"/>
                    <w:rPr>
                      <w:color w:val="auto"/>
                      <w:sz w:val="21"/>
                      <w:szCs w:val="21"/>
                    </w:rPr>
                  </w:pPr>
                  <w:r>
                    <w:rPr>
                      <w:color w:val="auto"/>
                      <w:sz w:val="21"/>
                      <w:szCs w:val="21"/>
                    </w:rPr>
                    <w:t>0.3050</w:t>
                  </w:r>
                </w:p>
              </w:tc>
              <w:tc>
                <w:tcPr>
                  <w:tcW w:w="2017" w:type="dxa"/>
                  <w:noWrap w:val="0"/>
                  <w:vAlign w:val="center"/>
                </w:tcPr>
                <w:p>
                  <w:pPr>
                    <w:jc w:val="center"/>
                    <w:rPr>
                      <w:color w:val="auto"/>
                      <w:sz w:val="21"/>
                      <w:szCs w:val="21"/>
                    </w:rPr>
                  </w:pPr>
                  <w:r>
                    <w:rPr>
                      <w:color w:val="auto"/>
                      <w:sz w:val="21"/>
                      <w:szCs w:val="21"/>
                    </w:rPr>
                    <w:t>0.0134</w:t>
                  </w:r>
                </w:p>
              </w:tc>
              <w:tc>
                <w:tcPr>
                  <w:tcW w:w="1612" w:type="dxa"/>
                  <w:noWrap w:val="0"/>
                  <w:vAlign w:val="center"/>
                </w:tcPr>
                <w:p>
                  <w:pPr>
                    <w:jc w:val="center"/>
                    <w:rPr>
                      <w:color w:val="auto"/>
                      <w:sz w:val="21"/>
                      <w:szCs w:val="21"/>
                    </w:rPr>
                  </w:pPr>
                  <w:r>
                    <w:rPr>
                      <w:color w:val="auto"/>
                      <w:sz w:val="21"/>
                      <w:szCs w:val="21"/>
                    </w:rPr>
                    <w:t>0.1342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200.0</w:t>
                  </w:r>
                </w:p>
              </w:tc>
              <w:tc>
                <w:tcPr>
                  <w:tcW w:w="2017" w:type="dxa"/>
                  <w:noWrap w:val="0"/>
                  <w:vAlign w:val="center"/>
                </w:tcPr>
                <w:p>
                  <w:pPr>
                    <w:jc w:val="center"/>
                    <w:rPr>
                      <w:color w:val="auto"/>
                      <w:sz w:val="21"/>
                      <w:szCs w:val="21"/>
                    </w:rPr>
                  </w:pPr>
                  <w:r>
                    <w:rPr>
                      <w:color w:val="auto"/>
                      <w:sz w:val="21"/>
                      <w:szCs w:val="21"/>
                    </w:rPr>
                    <w:t>0.6653</w:t>
                  </w:r>
                </w:p>
              </w:tc>
              <w:tc>
                <w:tcPr>
                  <w:tcW w:w="1609" w:type="dxa"/>
                  <w:noWrap w:val="0"/>
                  <w:vAlign w:val="center"/>
                </w:tcPr>
                <w:p>
                  <w:pPr>
                    <w:jc w:val="center"/>
                    <w:rPr>
                      <w:color w:val="auto"/>
                      <w:sz w:val="21"/>
                      <w:szCs w:val="21"/>
                    </w:rPr>
                  </w:pPr>
                  <w:r>
                    <w:rPr>
                      <w:color w:val="auto"/>
                      <w:sz w:val="21"/>
                      <w:szCs w:val="21"/>
                    </w:rPr>
                    <w:t>0.3326</w:t>
                  </w:r>
                </w:p>
              </w:tc>
              <w:tc>
                <w:tcPr>
                  <w:tcW w:w="2017" w:type="dxa"/>
                  <w:noWrap w:val="0"/>
                  <w:vAlign w:val="center"/>
                </w:tcPr>
                <w:p>
                  <w:pPr>
                    <w:jc w:val="center"/>
                    <w:rPr>
                      <w:color w:val="auto"/>
                      <w:sz w:val="21"/>
                      <w:szCs w:val="21"/>
                    </w:rPr>
                  </w:pPr>
                  <w:r>
                    <w:rPr>
                      <w:color w:val="auto"/>
                      <w:sz w:val="21"/>
                      <w:szCs w:val="21"/>
                    </w:rPr>
                    <w:t>0.0146</w:t>
                  </w:r>
                </w:p>
              </w:tc>
              <w:tc>
                <w:tcPr>
                  <w:tcW w:w="1612" w:type="dxa"/>
                  <w:noWrap w:val="0"/>
                  <w:vAlign w:val="center"/>
                </w:tcPr>
                <w:p>
                  <w:pPr>
                    <w:jc w:val="center"/>
                    <w:rPr>
                      <w:color w:val="auto"/>
                      <w:sz w:val="21"/>
                      <w:szCs w:val="21"/>
                    </w:rPr>
                  </w:pPr>
                  <w:r>
                    <w:rPr>
                      <w:color w:val="auto"/>
                      <w:sz w:val="21"/>
                      <w:szCs w:val="21"/>
                    </w:rPr>
                    <w:t>0.1464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300.0</w:t>
                  </w:r>
                </w:p>
              </w:tc>
              <w:tc>
                <w:tcPr>
                  <w:tcW w:w="2017" w:type="dxa"/>
                  <w:noWrap w:val="0"/>
                  <w:vAlign w:val="center"/>
                </w:tcPr>
                <w:p>
                  <w:pPr>
                    <w:jc w:val="center"/>
                    <w:rPr>
                      <w:color w:val="auto"/>
                      <w:sz w:val="21"/>
                      <w:szCs w:val="21"/>
                    </w:rPr>
                  </w:pPr>
                  <w:r>
                    <w:rPr>
                      <w:color w:val="auto"/>
                      <w:sz w:val="21"/>
                      <w:szCs w:val="21"/>
                    </w:rPr>
                    <w:t>0.4018</w:t>
                  </w:r>
                </w:p>
              </w:tc>
              <w:tc>
                <w:tcPr>
                  <w:tcW w:w="1609" w:type="dxa"/>
                  <w:noWrap w:val="0"/>
                  <w:vAlign w:val="center"/>
                </w:tcPr>
                <w:p>
                  <w:pPr>
                    <w:jc w:val="center"/>
                    <w:rPr>
                      <w:color w:val="auto"/>
                      <w:sz w:val="21"/>
                      <w:szCs w:val="21"/>
                    </w:rPr>
                  </w:pPr>
                  <w:r>
                    <w:rPr>
                      <w:color w:val="auto"/>
                      <w:sz w:val="21"/>
                      <w:szCs w:val="21"/>
                    </w:rPr>
                    <w:t>0.2009</w:t>
                  </w:r>
                </w:p>
              </w:tc>
              <w:tc>
                <w:tcPr>
                  <w:tcW w:w="2017" w:type="dxa"/>
                  <w:noWrap w:val="0"/>
                  <w:vAlign w:val="center"/>
                </w:tcPr>
                <w:p>
                  <w:pPr>
                    <w:jc w:val="center"/>
                    <w:rPr>
                      <w:color w:val="auto"/>
                      <w:sz w:val="21"/>
                      <w:szCs w:val="21"/>
                    </w:rPr>
                  </w:pPr>
                  <w:r>
                    <w:rPr>
                      <w:color w:val="auto"/>
                      <w:sz w:val="21"/>
                      <w:szCs w:val="21"/>
                    </w:rPr>
                    <w:t>0.0088</w:t>
                  </w:r>
                </w:p>
              </w:tc>
              <w:tc>
                <w:tcPr>
                  <w:tcW w:w="1612" w:type="dxa"/>
                  <w:noWrap w:val="0"/>
                  <w:vAlign w:val="center"/>
                </w:tcPr>
                <w:p>
                  <w:pPr>
                    <w:jc w:val="center"/>
                    <w:rPr>
                      <w:color w:val="auto"/>
                      <w:sz w:val="21"/>
                      <w:szCs w:val="21"/>
                    </w:rPr>
                  </w:pPr>
                  <w:r>
                    <w:rPr>
                      <w:color w:val="auto"/>
                      <w:sz w:val="21"/>
                      <w:szCs w:val="21"/>
                    </w:rPr>
                    <w:t>0.0884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400.0</w:t>
                  </w:r>
                </w:p>
              </w:tc>
              <w:tc>
                <w:tcPr>
                  <w:tcW w:w="2017" w:type="dxa"/>
                  <w:noWrap w:val="0"/>
                  <w:vAlign w:val="center"/>
                </w:tcPr>
                <w:p>
                  <w:pPr>
                    <w:jc w:val="center"/>
                    <w:rPr>
                      <w:color w:val="auto"/>
                      <w:sz w:val="21"/>
                      <w:szCs w:val="21"/>
                    </w:rPr>
                  </w:pPr>
                  <w:r>
                    <w:rPr>
                      <w:color w:val="auto"/>
                      <w:sz w:val="21"/>
                      <w:szCs w:val="21"/>
                    </w:rPr>
                    <w:t>0.3018</w:t>
                  </w:r>
                </w:p>
              </w:tc>
              <w:tc>
                <w:tcPr>
                  <w:tcW w:w="1609" w:type="dxa"/>
                  <w:noWrap w:val="0"/>
                  <w:vAlign w:val="center"/>
                </w:tcPr>
                <w:p>
                  <w:pPr>
                    <w:jc w:val="center"/>
                    <w:rPr>
                      <w:color w:val="auto"/>
                      <w:sz w:val="21"/>
                      <w:szCs w:val="21"/>
                    </w:rPr>
                  </w:pPr>
                  <w:r>
                    <w:rPr>
                      <w:color w:val="auto"/>
                      <w:sz w:val="21"/>
                      <w:szCs w:val="21"/>
                    </w:rPr>
                    <w:t>0.1509</w:t>
                  </w:r>
                </w:p>
              </w:tc>
              <w:tc>
                <w:tcPr>
                  <w:tcW w:w="2017" w:type="dxa"/>
                  <w:noWrap w:val="0"/>
                  <w:vAlign w:val="center"/>
                </w:tcPr>
                <w:p>
                  <w:pPr>
                    <w:jc w:val="center"/>
                    <w:rPr>
                      <w:color w:val="auto"/>
                      <w:sz w:val="21"/>
                      <w:szCs w:val="21"/>
                    </w:rPr>
                  </w:pPr>
                  <w:r>
                    <w:rPr>
                      <w:color w:val="auto"/>
                      <w:sz w:val="21"/>
                      <w:szCs w:val="21"/>
                    </w:rPr>
                    <w:t>0.0066</w:t>
                  </w:r>
                </w:p>
              </w:tc>
              <w:tc>
                <w:tcPr>
                  <w:tcW w:w="1612" w:type="dxa"/>
                  <w:noWrap w:val="0"/>
                  <w:vAlign w:val="center"/>
                </w:tcPr>
                <w:p>
                  <w:pPr>
                    <w:jc w:val="center"/>
                    <w:rPr>
                      <w:color w:val="auto"/>
                      <w:sz w:val="21"/>
                      <w:szCs w:val="21"/>
                    </w:rPr>
                  </w:pPr>
                  <w:r>
                    <w:rPr>
                      <w:color w:val="auto"/>
                      <w:sz w:val="21"/>
                      <w:szCs w:val="21"/>
                    </w:rPr>
                    <w:t>0.0664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500.0</w:t>
                  </w:r>
                </w:p>
              </w:tc>
              <w:tc>
                <w:tcPr>
                  <w:tcW w:w="2017" w:type="dxa"/>
                  <w:noWrap w:val="0"/>
                  <w:vAlign w:val="center"/>
                </w:tcPr>
                <w:p>
                  <w:pPr>
                    <w:jc w:val="center"/>
                    <w:rPr>
                      <w:color w:val="auto"/>
                      <w:sz w:val="21"/>
                      <w:szCs w:val="21"/>
                    </w:rPr>
                  </w:pPr>
                  <w:r>
                    <w:rPr>
                      <w:color w:val="auto"/>
                      <w:sz w:val="21"/>
                      <w:szCs w:val="21"/>
                    </w:rPr>
                    <w:t>0.2319</w:t>
                  </w:r>
                </w:p>
              </w:tc>
              <w:tc>
                <w:tcPr>
                  <w:tcW w:w="1609" w:type="dxa"/>
                  <w:noWrap w:val="0"/>
                  <w:vAlign w:val="center"/>
                </w:tcPr>
                <w:p>
                  <w:pPr>
                    <w:jc w:val="center"/>
                    <w:rPr>
                      <w:color w:val="auto"/>
                      <w:sz w:val="21"/>
                      <w:szCs w:val="21"/>
                    </w:rPr>
                  </w:pPr>
                  <w:r>
                    <w:rPr>
                      <w:color w:val="auto"/>
                      <w:sz w:val="21"/>
                      <w:szCs w:val="21"/>
                    </w:rPr>
                    <w:t>0.1159</w:t>
                  </w:r>
                </w:p>
              </w:tc>
              <w:tc>
                <w:tcPr>
                  <w:tcW w:w="2017" w:type="dxa"/>
                  <w:noWrap w:val="0"/>
                  <w:vAlign w:val="center"/>
                </w:tcPr>
                <w:p>
                  <w:pPr>
                    <w:jc w:val="center"/>
                    <w:rPr>
                      <w:color w:val="auto"/>
                      <w:sz w:val="21"/>
                      <w:szCs w:val="21"/>
                    </w:rPr>
                  </w:pPr>
                  <w:r>
                    <w:rPr>
                      <w:color w:val="auto"/>
                      <w:sz w:val="21"/>
                      <w:szCs w:val="21"/>
                    </w:rPr>
                    <w:t>0.0051</w:t>
                  </w:r>
                </w:p>
              </w:tc>
              <w:tc>
                <w:tcPr>
                  <w:tcW w:w="1612" w:type="dxa"/>
                  <w:noWrap w:val="0"/>
                  <w:vAlign w:val="center"/>
                </w:tcPr>
                <w:p>
                  <w:pPr>
                    <w:jc w:val="center"/>
                    <w:rPr>
                      <w:color w:val="auto"/>
                      <w:sz w:val="21"/>
                      <w:szCs w:val="21"/>
                    </w:rPr>
                  </w:pPr>
                  <w:r>
                    <w:rPr>
                      <w:color w:val="auto"/>
                      <w:sz w:val="21"/>
                      <w:szCs w:val="21"/>
                    </w:rPr>
                    <w:t>0.0510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600.0</w:t>
                  </w:r>
                </w:p>
              </w:tc>
              <w:tc>
                <w:tcPr>
                  <w:tcW w:w="2017" w:type="dxa"/>
                  <w:noWrap w:val="0"/>
                  <w:vAlign w:val="center"/>
                </w:tcPr>
                <w:p>
                  <w:pPr>
                    <w:jc w:val="center"/>
                    <w:rPr>
                      <w:color w:val="auto"/>
                      <w:sz w:val="21"/>
                      <w:szCs w:val="21"/>
                    </w:rPr>
                  </w:pPr>
                  <w:r>
                    <w:rPr>
                      <w:color w:val="auto"/>
                      <w:sz w:val="21"/>
                      <w:szCs w:val="21"/>
                    </w:rPr>
                    <w:t>0.0242</w:t>
                  </w:r>
                </w:p>
              </w:tc>
              <w:tc>
                <w:tcPr>
                  <w:tcW w:w="1609" w:type="dxa"/>
                  <w:noWrap w:val="0"/>
                  <w:vAlign w:val="center"/>
                </w:tcPr>
                <w:p>
                  <w:pPr>
                    <w:jc w:val="center"/>
                    <w:rPr>
                      <w:color w:val="auto"/>
                      <w:sz w:val="21"/>
                      <w:szCs w:val="21"/>
                    </w:rPr>
                  </w:pPr>
                  <w:r>
                    <w:rPr>
                      <w:color w:val="auto"/>
                      <w:sz w:val="21"/>
                      <w:szCs w:val="21"/>
                    </w:rPr>
                    <w:t>0.0121</w:t>
                  </w:r>
                </w:p>
              </w:tc>
              <w:tc>
                <w:tcPr>
                  <w:tcW w:w="2017" w:type="dxa"/>
                  <w:noWrap w:val="0"/>
                  <w:vAlign w:val="center"/>
                </w:tcPr>
                <w:p>
                  <w:pPr>
                    <w:jc w:val="center"/>
                    <w:rPr>
                      <w:color w:val="auto"/>
                      <w:sz w:val="21"/>
                      <w:szCs w:val="21"/>
                    </w:rPr>
                  </w:pPr>
                  <w:r>
                    <w:rPr>
                      <w:color w:val="auto"/>
                      <w:sz w:val="21"/>
                      <w:szCs w:val="21"/>
                    </w:rPr>
                    <w:t>0.0005</w:t>
                  </w:r>
                </w:p>
              </w:tc>
              <w:tc>
                <w:tcPr>
                  <w:tcW w:w="1612" w:type="dxa"/>
                  <w:noWrap w:val="0"/>
                  <w:vAlign w:val="center"/>
                </w:tcPr>
                <w:p>
                  <w:pPr>
                    <w:jc w:val="center"/>
                    <w:rPr>
                      <w:color w:val="auto"/>
                      <w:sz w:val="21"/>
                      <w:szCs w:val="21"/>
                    </w:rPr>
                  </w:pPr>
                  <w:r>
                    <w:rPr>
                      <w:color w:val="auto"/>
                      <w:sz w:val="21"/>
                      <w:szCs w:val="21"/>
                    </w:rPr>
                    <w:t>0.0053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700.0</w:t>
                  </w:r>
                </w:p>
              </w:tc>
              <w:tc>
                <w:tcPr>
                  <w:tcW w:w="2017" w:type="dxa"/>
                  <w:noWrap w:val="0"/>
                  <w:vAlign w:val="center"/>
                </w:tcPr>
                <w:p>
                  <w:pPr>
                    <w:jc w:val="center"/>
                    <w:rPr>
                      <w:color w:val="auto"/>
                      <w:sz w:val="21"/>
                      <w:szCs w:val="21"/>
                    </w:rPr>
                  </w:pPr>
                  <w:r>
                    <w:rPr>
                      <w:color w:val="auto"/>
                      <w:sz w:val="21"/>
                      <w:szCs w:val="21"/>
                    </w:rPr>
                    <w:t>0.0214</w:t>
                  </w:r>
                </w:p>
              </w:tc>
              <w:tc>
                <w:tcPr>
                  <w:tcW w:w="1609" w:type="dxa"/>
                  <w:noWrap w:val="0"/>
                  <w:vAlign w:val="center"/>
                </w:tcPr>
                <w:p>
                  <w:pPr>
                    <w:jc w:val="center"/>
                    <w:rPr>
                      <w:color w:val="auto"/>
                      <w:sz w:val="21"/>
                      <w:szCs w:val="21"/>
                    </w:rPr>
                  </w:pPr>
                  <w:r>
                    <w:rPr>
                      <w:color w:val="auto"/>
                      <w:sz w:val="21"/>
                      <w:szCs w:val="21"/>
                    </w:rPr>
                    <w:t>0.0107</w:t>
                  </w:r>
                </w:p>
              </w:tc>
              <w:tc>
                <w:tcPr>
                  <w:tcW w:w="2017" w:type="dxa"/>
                  <w:noWrap w:val="0"/>
                  <w:vAlign w:val="center"/>
                </w:tcPr>
                <w:p>
                  <w:pPr>
                    <w:jc w:val="center"/>
                    <w:rPr>
                      <w:color w:val="auto"/>
                      <w:sz w:val="21"/>
                      <w:szCs w:val="21"/>
                    </w:rPr>
                  </w:pPr>
                  <w:r>
                    <w:rPr>
                      <w:color w:val="auto"/>
                      <w:sz w:val="21"/>
                      <w:szCs w:val="21"/>
                    </w:rPr>
                    <w:t>0.0005</w:t>
                  </w:r>
                </w:p>
              </w:tc>
              <w:tc>
                <w:tcPr>
                  <w:tcW w:w="1612" w:type="dxa"/>
                  <w:noWrap w:val="0"/>
                  <w:vAlign w:val="center"/>
                </w:tcPr>
                <w:p>
                  <w:pPr>
                    <w:jc w:val="center"/>
                    <w:rPr>
                      <w:color w:val="auto"/>
                      <w:sz w:val="21"/>
                      <w:szCs w:val="21"/>
                    </w:rPr>
                  </w:pPr>
                  <w:r>
                    <w:rPr>
                      <w:color w:val="auto"/>
                      <w:sz w:val="21"/>
                      <w:szCs w:val="21"/>
                    </w:rPr>
                    <w:t>0.0047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800.0</w:t>
                  </w:r>
                </w:p>
              </w:tc>
              <w:tc>
                <w:tcPr>
                  <w:tcW w:w="2017" w:type="dxa"/>
                  <w:noWrap w:val="0"/>
                  <w:vAlign w:val="center"/>
                </w:tcPr>
                <w:p>
                  <w:pPr>
                    <w:jc w:val="center"/>
                    <w:rPr>
                      <w:color w:val="auto"/>
                      <w:sz w:val="21"/>
                      <w:szCs w:val="21"/>
                    </w:rPr>
                  </w:pPr>
                  <w:r>
                    <w:rPr>
                      <w:color w:val="auto"/>
                      <w:sz w:val="21"/>
                      <w:szCs w:val="21"/>
                    </w:rPr>
                    <w:t>0.0261</w:t>
                  </w:r>
                </w:p>
              </w:tc>
              <w:tc>
                <w:tcPr>
                  <w:tcW w:w="1609" w:type="dxa"/>
                  <w:noWrap w:val="0"/>
                  <w:vAlign w:val="center"/>
                </w:tcPr>
                <w:p>
                  <w:pPr>
                    <w:jc w:val="center"/>
                    <w:rPr>
                      <w:color w:val="auto"/>
                      <w:sz w:val="21"/>
                      <w:szCs w:val="21"/>
                    </w:rPr>
                  </w:pPr>
                  <w:r>
                    <w:rPr>
                      <w:color w:val="auto"/>
                      <w:sz w:val="21"/>
                      <w:szCs w:val="21"/>
                    </w:rPr>
                    <w:t>0.0131</w:t>
                  </w:r>
                </w:p>
              </w:tc>
              <w:tc>
                <w:tcPr>
                  <w:tcW w:w="2017" w:type="dxa"/>
                  <w:noWrap w:val="0"/>
                  <w:vAlign w:val="center"/>
                </w:tcPr>
                <w:p>
                  <w:pPr>
                    <w:jc w:val="center"/>
                    <w:rPr>
                      <w:color w:val="auto"/>
                      <w:sz w:val="21"/>
                      <w:szCs w:val="21"/>
                    </w:rPr>
                  </w:pPr>
                  <w:r>
                    <w:rPr>
                      <w:color w:val="auto"/>
                      <w:sz w:val="21"/>
                      <w:szCs w:val="21"/>
                    </w:rPr>
                    <w:t>0.0006</w:t>
                  </w:r>
                </w:p>
              </w:tc>
              <w:tc>
                <w:tcPr>
                  <w:tcW w:w="1612" w:type="dxa"/>
                  <w:noWrap w:val="0"/>
                  <w:vAlign w:val="center"/>
                </w:tcPr>
                <w:p>
                  <w:pPr>
                    <w:jc w:val="center"/>
                    <w:rPr>
                      <w:color w:val="auto"/>
                      <w:sz w:val="21"/>
                      <w:szCs w:val="21"/>
                    </w:rPr>
                  </w:pPr>
                  <w:r>
                    <w:rPr>
                      <w:color w:val="auto"/>
                      <w:sz w:val="21"/>
                      <w:szCs w:val="21"/>
                    </w:rPr>
                    <w:t>0.0057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900.0</w:t>
                  </w:r>
                </w:p>
              </w:tc>
              <w:tc>
                <w:tcPr>
                  <w:tcW w:w="2017" w:type="dxa"/>
                  <w:noWrap w:val="0"/>
                  <w:vAlign w:val="center"/>
                </w:tcPr>
                <w:p>
                  <w:pPr>
                    <w:jc w:val="center"/>
                    <w:rPr>
                      <w:color w:val="auto"/>
                      <w:sz w:val="21"/>
                      <w:szCs w:val="21"/>
                    </w:rPr>
                  </w:pPr>
                  <w:r>
                    <w:rPr>
                      <w:color w:val="auto"/>
                      <w:sz w:val="21"/>
                      <w:szCs w:val="21"/>
                    </w:rPr>
                    <w:t>0.0142</w:t>
                  </w:r>
                </w:p>
              </w:tc>
              <w:tc>
                <w:tcPr>
                  <w:tcW w:w="1609" w:type="dxa"/>
                  <w:noWrap w:val="0"/>
                  <w:vAlign w:val="center"/>
                </w:tcPr>
                <w:p>
                  <w:pPr>
                    <w:jc w:val="center"/>
                    <w:rPr>
                      <w:color w:val="auto"/>
                      <w:sz w:val="21"/>
                      <w:szCs w:val="21"/>
                    </w:rPr>
                  </w:pPr>
                  <w:r>
                    <w:rPr>
                      <w:color w:val="auto"/>
                      <w:sz w:val="21"/>
                      <w:szCs w:val="21"/>
                    </w:rPr>
                    <w:t>0.0071</w:t>
                  </w:r>
                </w:p>
              </w:tc>
              <w:tc>
                <w:tcPr>
                  <w:tcW w:w="2017" w:type="dxa"/>
                  <w:noWrap w:val="0"/>
                  <w:vAlign w:val="center"/>
                </w:tcPr>
                <w:p>
                  <w:pPr>
                    <w:jc w:val="center"/>
                    <w:rPr>
                      <w:color w:val="auto"/>
                      <w:sz w:val="21"/>
                      <w:szCs w:val="21"/>
                    </w:rPr>
                  </w:pPr>
                  <w:r>
                    <w:rPr>
                      <w:color w:val="auto"/>
                      <w:sz w:val="21"/>
                      <w:szCs w:val="21"/>
                    </w:rPr>
                    <w:t>0.0003</w:t>
                  </w:r>
                </w:p>
              </w:tc>
              <w:tc>
                <w:tcPr>
                  <w:tcW w:w="1612" w:type="dxa"/>
                  <w:noWrap w:val="0"/>
                  <w:vAlign w:val="center"/>
                </w:tcPr>
                <w:p>
                  <w:pPr>
                    <w:jc w:val="center"/>
                    <w:rPr>
                      <w:color w:val="auto"/>
                      <w:sz w:val="21"/>
                      <w:szCs w:val="21"/>
                    </w:rPr>
                  </w:pPr>
                  <w:r>
                    <w:rPr>
                      <w:color w:val="auto"/>
                      <w:sz w:val="21"/>
                      <w:szCs w:val="21"/>
                    </w:rPr>
                    <w:t>0.0031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1000.0</w:t>
                  </w:r>
                </w:p>
              </w:tc>
              <w:tc>
                <w:tcPr>
                  <w:tcW w:w="2017" w:type="dxa"/>
                  <w:noWrap w:val="0"/>
                  <w:vAlign w:val="center"/>
                </w:tcPr>
                <w:p>
                  <w:pPr>
                    <w:jc w:val="center"/>
                    <w:rPr>
                      <w:color w:val="auto"/>
                      <w:sz w:val="21"/>
                      <w:szCs w:val="21"/>
                    </w:rPr>
                  </w:pPr>
                  <w:r>
                    <w:rPr>
                      <w:color w:val="auto"/>
                      <w:sz w:val="21"/>
                      <w:szCs w:val="21"/>
                    </w:rPr>
                    <w:t>0.0178</w:t>
                  </w:r>
                </w:p>
              </w:tc>
              <w:tc>
                <w:tcPr>
                  <w:tcW w:w="1609" w:type="dxa"/>
                  <w:noWrap w:val="0"/>
                  <w:vAlign w:val="center"/>
                </w:tcPr>
                <w:p>
                  <w:pPr>
                    <w:jc w:val="center"/>
                    <w:rPr>
                      <w:color w:val="auto"/>
                      <w:sz w:val="21"/>
                      <w:szCs w:val="21"/>
                    </w:rPr>
                  </w:pPr>
                  <w:r>
                    <w:rPr>
                      <w:color w:val="auto"/>
                      <w:sz w:val="21"/>
                      <w:szCs w:val="21"/>
                    </w:rPr>
                    <w:t>0.0089</w:t>
                  </w:r>
                </w:p>
              </w:tc>
              <w:tc>
                <w:tcPr>
                  <w:tcW w:w="2017" w:type="dxa"/>
                  <w:noWrap w:val="0"/>
                  <w:vAlign w:val="center"/>
                </w:tcPr>
                <w:p>
                  <w:pPr>
                    <w:jc w:val="center"/>
                    <w:rPr>
                      <w:color w:val="auto"/>
                      <w:sz w:val="21"/>
                      <w:szCs w:val="21"/>
                    </w:rPr>
                  </w:pPr>
                  <w:r>
                    <w:rPr>
                      <w:color w:val="auto"/>
                      <w:sz w:val="21"/>
                      <w:szCs w:val="21"/>
                    </w:rPr>
                    <w:t>0.0004</w:t>
                  </w:r>
                </w:p>
              </w:tc>
              <w:tc>
                <w:tcPr>
                  <w:tcW w:w="1612" w:type="dxa"/>
                  <w:noWrap w:val="0"/>
                  <w:vAlign w:val="center"/>
                </w:tcPr>
                <w:p>
                  <w:pPr>
                    <w:jc w:val="center"/>
                    <w:rPr>
                      <w:color w:val="auto"/>
                      <w:sz w:val="21"/>
                      <w:szCs w:val="21"/>
                    </w:rPr>
                  </w:pPr>
                  <w:r>
                    <w:rPr>
                      <w:color w:val="auto"/>
                      <w:sz w:val="21"/>
                      <w:szCs w:val="21"/>
                    </w:rPr>
                    <w:t>0.0039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1200.0</w:t>
                  </w:r>
                </w:p>
              </w:tc>
              <w:tc>
                <w:tcPr>
                  <w:tcW w:w="2017" w:type="dxa"/>
                  <w:noWrap w:val="0"/>
                  <w:vAlign w:val="center"/>
                </w:tcPr>
                <w:p>
                  <w:pPr>
                    <w:jc w:val="center"/>
                    <w:rPr>
                      <w:color w:val="auto"/>
                      <w:sz w:val="21"/>
                      <w:szCs w:val="21"/>
                    </w:rPr>
                  </w:pPr>
                  <w:r>
                    <w:rPr>
                      <w:color w:val="auto"/>
                      <w:sz w:val="21"/>
                      <w:szCs w:val="21"/>
                    </w:rPr>
                    <w:t>0.0167</w:t>
                  </w:r>
                </w:p>
              </w:tc>
              <w:tc>
                <w:tcPr>
                  <w:tcW w:w="1609" w:type="dxa"/>
                  <w:noWrap w:val="0"/>
                  <w:vAlign w:val="center"/>
                </w:tcPr>
                <w:p>
                  <w:pPr>
                    <w:jc w:val="center"/>
                    <w:rPr>
                      <w:color w:val="auto"/>
                      <w:sz w:val="21"/>
                      <w:szCs w:val="21"/>
                    </w:rPr>
                  </w:pPr>
                  <w:r>
                    <w:rPr>
                      <w:color w:val="auto"/>
                      <w:sz w:val="21"/>
                      <w:szCs w:val="21"/>
                    </w:rPr>
                    <w:t>0.0083</w:t>
                  </w:r>
                </w:p>
              </w:tc>
              <w:tc>
                <w:tcPr>
                  <w:tcW w:w="2017" w:type="dxa"/>
                  <w:noWrap w:val="0"/>
                  <w:vAlign w:val="center"/>
                </w:tcPr>
                <w:p>
                  <w:pPr>
                    <w:jc w:val="center"/>
                    <w:rPr>
                      <w:color w:val="auto"/>
                      <w:sz w:val="21"/>
                      <w:szCs w:val="21"/>
                    </w:rPr>
                  </w:pPr>
                  <w:r>
                    <w:rPr>
                      <w:color w:val="auto"/>
                      <w:sz w:val="21"/>
                      <w:szCs w:val="21"/>
                    </w:rPr>
                    <w:t>0.0004</w:t>
                  </w:r>
                </w:p>
              </w:tc>
              <w:tc>
                <w:tcPr>
                  <w:tcW w:w="1612" w:type="dxa"/>
                  <w:noWrap w:val="0"/>
                  <w:vAlign w:val="center"/>
                </w:tcPr>
                <w:p>
                  <w:pPr>
                    <w:jc w:val="center"/>
                    <w:rPr>
                      <w:color w:val="auto"/>
                      <w:sz w:val="21"/>
                      <w:szCs w:val="21"/>
                    </w:rPr>
                  </w:pPr>
                  <w:r>
                    <w:rPr>
                      <w:color w:val="auto"/>
                      <w:sz w:val="21"/>
                      <w:szCs w:val="21"/>
                    </w:rPr>
                    <w:t>0.0037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1400.0</w:t>
                  </w:r>
                </w:p>
              </w:tc>
              <w:tc>
                <w:tcPr>
                  <w:tcW w:w="2017" w:type="dxa"/>
                  <w:noWrap w:val="0"/>
                  <w:vAlign w:val="center"/>
                </w:tcPr>
                <w:p>
                  <w:pPr>
                    <w:jc w:val="center"/>
                    <w:rPr>
                      <w:color w:val="auto"/>
                      <w:sz w:val="21"/>
                      <w:szCs w:val="21"/>
                    </w:rPr>
                  </w:pPr>
                  <w:r>
                    <w:rPr>
                      <w:color w:val="auto"/>
                      <w:sz w:val="21"/>
                      <w:szCs w:val="21"/>
                    </w:rPr>
                    <w:t>0.0071</w:t>
                  </w:r>
                </w:p>
              </w:tc>
              <w:tc>
                <w:tcPr>
                  <w:tcW w:w="1609" w:type="dxa"/>
                  <w:noWrap w:val="0"/>
                  <w:vAlign w:val="center"/>
                </w:tcPr>
                <w:p>
                  <w:pPr>
                    <w:jc w:val="center"/>
                    <w:rPr>
                      <w:color w:val="auto"/>
                      <w:sz w:val="21"/>
                      <w:szCs w:val="21"/>
                    </w:rPr>
                  </w:pPr>
                  <w:r>
                    <w:rPr>
                      <w:color w:val="auto"/>
                      <w:sz w:val="21"/>
                      <w:szCs w:val="21"/>
                    </w:rPr>
                    <w:t>0.0036</w:t>
                  </w:r>
                </w:p>
              </w:tc>
              <w:tc>
                <w:tcPr>
                  <w:tcW w:w="2017" w:type="dxa"/>
                  <w:noWrap w:val="0"/>
                  <w:vAlign w:val="center"/>
                </w:tcPr>
                <w:p>
                  <w:pPr>
                    <w:jc w:val="center"/>
                    <w:rPr>
                      <w:color w:val="auto"/>
                      <w:sz w:val="21"/>
                      <w:szCs w:val="21"/>
                    </w:rPr>
                  </w:pPr>
                  <w:r>
                    <w:rPr>
                      <w:color w:val="auto"/>
                      <w:sz w:val="21"/>
                      <w:szCs w:val="21"/>
                    </w:rPr>
                    <w:t>0.0002</w:t>
                  </w:r>
                </w:p>
              </w:tc>
              <w:tc>
                <w:tcPr>
                  <w:tcW w:w="1612" w:type="dxa"/>
                  <w:noWrap w:val="0"/>
                  <w:vAlign w:val="center"/>
                </w:tcPr>
                <w:p>
                  <w:pPr>
                    <w:jc w:val="center"/>
                    <w:rPr>
                      <w:color w:val="auto"/>
                      <w:sz w:val="21"/>
                      <w:szCs w:val="21"/>
                    </w:rPr>
                  </w:pPr>
                  <w:r>
                    <w:rPr>
                      <w:color w:val="auto"/>
                      <w:sz w:val="21"/>
                      <w:szCs w:val="21"/>
                    </w:rPr>
                    <w:t>0.0016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1600.0</w:t>
                  </w:r>
                </w:p>
              </w:tc>
              <w:tc>
                <w:tcPr>
                  <w:tcW w:w="2017" w:type="dxa"/>
                  <w:noWrap w:val="0"/>
                  <w:vAlign w:val="center"/>
                </w:tcPr>
                <w:p>
                  <w:pPr>
                    <w:jc w:val="center"/>
                    <w:rPr>
                      <w:color w:val="auto"/>
                      <w:sz w:val="21"/>
                      <w:szCs w:val="21"/>
                    </w:rPr>
                  </w:pPr>
                  <w:r>
                    <w:rPr>
                      <w:color w:val="auto"/>
                      <w:sz w:val="21"/>
                      <w:szCs w:val="21"/>
                    </w:rPr>
                    <w:t>0.0060</w:t>
                  </w:r>
                </w:p>
              </w:tc>
              <w:tc>
                <w:tcPr>
                  <w:tcW w:w="1609" w:type="dxa"/>
                  <w:noWrap w:val="0"/>
                  <w:vAlign w:val="center"/>
                </w:tcPr>
                <w:p>
                  <w:pPr>
                    <w:jc w:val="center"/>
                    <w:rPr>
                      <w:color w:val="auto"/>
                      <w:sz w:val="21"/>
                      <w:szCs w:val="21"/>
                    </w:rPr>
                  </w:pPr>
                  <w:r>
                    <w:rPr>
                      <w:color w:val="auto"/>
                      <w:sz w:val="21"/>
                      <w:szCs w:val="21"/>
                    </w:rPr>
                    <w:t>0.0030</w:t>
                  </w:r>
                </w:p>
              </w:tc>
              <w:tc>
                <w:tcPr>
                  <w:tcW w:w="2017" w:type="dxa"/>
                  <w:noWrap w:val="0"/>
                  <w:vAlign w:val="center"/>
                </w:tcPr>
                <w:p>
                  <w:pPr>
                    <w:jc w:val="center"/>
                    <w:rPr>
                      <w:color w:val="auto"/>
                      <w:sz w:val="21"/>
                      <w:szCs w:val="21"/>
                    </w:rPr>
                  </w:pPr>
                  <w:r>
                    <w:rPr>
                      <w:color w:val="auto"/>
                      <w:sz w:val="21"/>
                      <w:szCs w:val="21"/>
                    </w:rPr>
                    <w:t>0.0001</w:t>
                  </w:r>
                </w:p>
              </w:tc>
              <w:tc>
                <w:tcPr>
                  <w:tcW w:w="1612" w:type="dxa"/>
                  <w:noWrap w:val="0"/>
                  <w:vAlign w:val="center"/>
                </w:tcPr>
                <w:p>
                  <w:pPr>
                    <w:jc w:val="center"/>
                    <w:rPr>
                      <w:color w:val="auto"/>
                      <w:sz w:val="21"/>
                      <w:szCs w:val="21"/>
                    </w:rPr>
                  </w:pPr>
                  <w:r>
                    <w:rPr>
                      <w:color w:val="auto"/>
                      <w:sz w:val="21"/>
                      <w:szCs w:val="21"/>
                    </w:rPr>
                    <w:t>0.0013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1800.0</w:t>
                  </w:r>
                </w:p>
              </w:tc>
              <w:tc>
                <w:tcPr>
                  <w:tcW w:w="2017" w:type="dxa"/>
                  <w:noWrap w:val="0"/>
                  <w:vAlign w:val="center"/>
                </w:tcPr>
                <w:p>
                  <w:pPr>
                    <w:jc w:val="center"/>
                    <w:rPr>
                      <w:color w:val="auto"/>
                      <w:sz w:val="21"/>
                      <w:szCs w:val="21"/>
                    </w:rPr>
                  </w:pPr>
                  <w:r>
                    <w:rPr>
                      <w:color w:val="auto"/>
                      <w:sz w:val="21"/>
                      <w:szCs w:val="21"/>
                    </w:rPr>
                    <w:t>0.0081</w:t>
                  </w:r>
                </w:p>
              </w:tc>
              <w:tc>
                <w:tcPr>
                  <w:tcW w:w="1609" w:type="dxa"/>
                  <w:noWrap w:val="0"/>
                  <w:vAlign w:val="center"/>
                </w:tcPr>
                <w:p>
                  <w:pPr>
                    <w:jc w:val="center"/>
                    <w:rPr>
                      <w:color w:val="auto"/>
                      <w:sz w:val="21"/>
                      <w:szCs w:val="21"/>
                    </w:rPr>
                  </w:pPr>
                  <w:r>
                    <w:rPr>
                      <w:color w:val="auto"/>
                      <w:sz w:val="21"/>
                      <w:szCs w:val="21"/>
                    </w:rPr>
                    <w:t>0.0040</w:t>
                  </w:r>
                </w:p>
              </w:tc>
              <w:tc>
                <w:tcPr>
                  <w:tcW w:w="2017" w:type="dxa"/>
                  <w:noWrap w:val="0"/>
                  <w:vAlign w:val="center"/>
                </w:tcPr>
                <w:p>
                  <w:pPr>
                    <w:jc w:val="center"/>
                    <w:rPr>
                      <w:color w:val="auto"/>
                      <w:sz w:val="21"/>
                      <w:szCs w:val="21"/>
                    </w:rPr>
                  </w:pPr>
                  <w:r>
                    <w:rPr>
                      <w:color w:val="auto"/>
                      <w:sz w:val="21"/>
                      <w:szCs w:val="21"/>
                    </w:rPr>
                    <w:t>0.0002</w:t>
                  </w:r>
                </w:p>
              </w:tc>
              <w:tc>
                <w:tcPr>
                  <w:tcW w:w="1612" w:type="dxa"/>
                  <w:noWrap w:val="0"/>
                  <w:vAlign w:val="center"/>
                </w:tcPr>
                <w:p>
                  <w:pPr>
                    <w:jc w:val="center"/>
                    <w:rPr>
                      <w:color w:val="auto"/>
                      <w:sz w:val="21"/>
                      <w:szCs w:val="21"/>
                    </w:rPr>
                  </w:pPr>
                  <w:r>
                    <w:rPr>
                      <w:color w:val="auto"/>
                      <w:sz w:val="21"/>
                      <w:szCs w:val="21"/>
                    </w:rPr>
                    <w:t>0.0018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2000.0</w:t>
                  </w:r>
                </w:p>
              </w:tc>
              <w:tc>
                <w:tcPr>
                  <w:tcW w:w="2017" w:type="dxa"/>
                  <w:noWrap w:val="0"/>
                  <w:vAlign w:val="center"/>
                </w:tcPr>
                <w:p>
                  <w:pPr>
                    <w:jc w:val="center"/>
                    <w:rPr>
                      <w:color w:val="auto"/>
                      <w:sz w:val="21"/>
                      <w:szCs w:val="21"/>
                    </w:rPr>
                  </w:pPr>
                  <w:r>
                    <w:rPr>
                      <w:color w:val="auto"/>
                      <w:sz w:val="21"/>
                      <w:szCs w:val="21"/>
                    </w:rPr>
                    <w:t>0.0074</w:t>
                  </w:r>
                </w:p>
              </w:tc>
              <w:tc>
                <w:tcPr>
                  <w:tcW w:w="1609" w:type="dxa"/>
                  <w:noWrap w:val="0"/>
                  <w:vAlign w:val="center"/>
                </w:tcPr>
                <w:p>
                  <w:pPr>
                    <w:jc w:val="center"/>
                    <w:rPr>
                      <w:color w:val="auto"/>
                      <w:sz w:val="21"/>
                      <w:szCs w:val="21"/>
                    </w:rPr>
                  </w:pPr>
                  <w:r>
                    <w:rPr>
                      <w:color w:val="auto"/>
                      <w:sz w:val="21"/>
                      <w:szCs w:val="21"/>
                    </w:rPr>
                    <w:t>0.0037</w:t>
                  </w:r>
                </w:p>
              </w:tc>
              <w:tc>
                <w:tcPr>
                  <w:tcW w:w="2017" w:type="dxa"/>
                  <w:noWrap w:val="0"/>
                  <w:vAlign w:val="center"/>
                </w:tcPr>
                <w:p>
                  <w:pPr>
                    <w:jc w:val="center"/>
                    <w:rPr>
                      <w:color w:val="auto"/>
                      <w:sz w:val="21"/>
                      <w:szCs w:val="21"/>
                    </w:rPr>
                  </w:pPr>
                  <w:r>
                    <w:rPr>
                      <w:color w:val="auto"/>
                      <w:sz w:val="21"/>
                      <w:szCs w:val="21"/>
                    </w:rPr>
                    <w:t>0.0002</w:t>
                  </w:r>
                </w:p>
              </w:tc>
              <w:tc>
                <w:tcPr>
                  <w:tcW w:w="1612" w:type="dxa"/>
                  <w:noWrap w:val="0"/>
                  <w:vAlign w:val="center"/>
                </w:tcPr>
                <w:p>
                  <w:pPr>
                    <w:jc w:val="center"/>
                    <w:rPr>
                      <w:color w:val="auto"/>
                      <w:sz w:val="21"/>
                      <w:szCs w:val="21"/>
                    </w:rPr>
                  </w:pPr>
                  <w:r>
                    <w:rPr>
                      <w:color w:val="auto"/>
                      <w:sz w:val="21"/>
                      <w:szCs w:val="21"/>
                    </w:rPr>
                    <w:t>0.0016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2500.0</w:t>
                  </w:r>
                </w:p>
              </w:tc>
              <w:tc>
                <w:tcPr>
                  <w:tcW w:w="2017" w:type="dxa"/>
                  <w:noWrap w:val="0"/>
                  <w:vAlign w:val="center"/>
                </w:tcPr>
                <w:p>
                  <w:pPr>
                    <w:jc w:val="center"/>
                    <w:rPr>
                      <w:color w:val="auto"/>
                      <w:sz w:val="21"/>
                      <w:szCs w:val="21"/>
                    </w:rPr>
                  </w:pPr>
                  <w:r>
                    <w:rPr>
                      <w:color w:val="auto"/>
                      <w:sz w:val="21"/>
                      <w:szCs w:val="21"/>
                    </w:rPr>
                    <w:t>0.0071</w:t>
                  </w:r>
                </w:p>
              </w:tc>
              <w:tc>
                <w:tcPr>
                  <w:tcW w:w="1609" w:type="dxa"/>
                  <w:noWrap w:val="0"/>
                  <w:vAlign w:val="center"/>
                </w:tcPr>
                <w:p>
                  <w:pPr>
                    <w:jc w:val="center"/>
                    <w:rPr>
                      <w:color w:val="auto"/>
                      <w:sz w:val="21"/>
                      <w:szCs w:val="21"/>
                    </w:rPr>
                  </w:pPr>
                  <w:r>
                    <w:rPr>
                      <w:color w:val="auto"/>
                      <w:sz w:val="21"/>
                      <w:szCs w:val="21"/>
                    </w:rPr>
                    <w:t>0.0035</w:t>
                  </w:r>
                </w:p>
              </w:tc>
              <w:tc>
                <w:tcPr>
                  <w:tcW w:w="2017" w:type="dxa"/>
                  <w:noWrap w:val="0"/>
                  <w:vAlign w:val="center"/>
                </w:tcPr>
                <w:p>
                  <w:pPr>
                    <w:jc w:val="center"/>
                    <w:rPr>
                      <w:color w:val="auto"/>
                      <w:sz w:val="21"/>
                      <w:szCs w:val="21"/>
                    </w:rPr>
                  </w:pPr>
                  <w:r>
                    <w:rPr>
                      <w:color w:val="auto"/>
                      <w:sz w:val="21"/>
                      <w:szCs w:val="21"/>
                    </w:rPr>
                    <w:t>0.0002</w:t>
                  </w:r>
                </w:p>
              </w:tc>
              <w:tc>
                <w:tcPr>
                  <w:tcW w:w="1612" w:type="dxa"/>
                  <w:noWrap w:val="0"/>
                  <w:vAlign w:val="center"/>
                </w:tcPr>
                <w:p>
                  <w:pPr>
                    <w:jc w:val="center"/>
                    <w:rPr>
                      <w:color w:val="auto"/>
                      <w:sz w:val="21"/>
                      <w:szCs w:val="21"/>
                    </w:rPr>
                  </w:pPr>
                  <w:r>
                    <w:rPr>
                      <w:color w:val="auto"/>
                      <w:sz w:val="21"/>
                      <w:szCs w:val="21"/>
                    </w:rPr>
                    <w:t>0.0016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3000.0</w:t>
                  </w:r>
                </w:p>
              </w:tc>
              <w:tc>
                <w:tcPr>
                  <w:tcW w:w="2017" w:type="dxa"/>
                  <w:noWrap w:val="0"/>
                  <w:vAlign w:val="center"/>
                </w:tcPr>
                <w:p>
                  <w:pPr>
                    <w:jc w:val="center"/>
                    <w:rPr>
                      <w:color w:val="auto"/>
                      <w:sz w:val="21"/>
                      <w:szCs w:val="21"/>
                    </w:rPr>
                  </w:pPr>
                  <w:r>
                    <w:rPr>
                      <w:color w:val="auto"/>
                      <w:sz w:val="21"/>
                      <w:szCs w:val="21"/>
                    </w:rPr>
                    <w:t>0.0050</w:t>
                  </w:r>
                </w:p>
              </w:tc>
              <w:tc>
                <w:tcPr>
                  <w:tcW w:w="1609" w:type="dxa"/>
                  <w:noWrap w:val="0"/>
                  <w:vAlign w:val="center"/>
                </w:tcPr>
                <w:p>
                  <w:pPr>
                    <w:jc w:val="center"/>
                    <w:rPr>
                      <w:color w:val="auto"/>
                      <w:sz w:val="21"/>
                      <w:szCs w:val="21"/>
                    </w:rPr>
                  </w:pPr>
                  <w:r>
                    <w:rPr>
                      <w:color w:val="auto"/>
                      <w:sz w:val="21"/>
                      <w:szCs w:val="21"/>
                    </w:rPr>
                    <w:t>0.0025</w:t>
                  </w:r>
                </w:p>
              </w:tc>
              <w:tc>
                <w:tcPr>
                  <w:tcW w:w="2017" w:type="dxa"/>
                  <w:noWrap w:val="0"/>
                  <w:vAlign w:val="center"/>
                </w:tcPr>
                <w:p>
                  <w:pPr>
                    <w:jc w:val="center"/>
                    <w:rPr>
                      <w:color w:val="auto"/>
                      <w:sz w:val="21"/>
                      <w:szCs w:val="21"/>
                    </w:rPr>
                  </w:pPr>
                  <w:r>
                    <w:rPr>
                      <w:color w:val="auto"/>
                      <w:sz w:val="21"/>
                      <w:szCs w:val="21"/>
                    </w:rPr>
                    <w:t>0.0001</w:t>
                  </w:r>
                </w:p>
              </w:tc>
              <w:tc>
                <w:tcPr>
                  <w:tcW w:w="1612" w:type="dxa"/>
                  <w:noWrap w:val="0"/>
                  <w:vAlign w:val="center"/>
                </w:tcPr>
                <w:p>
                  <w:pPr>
                    <w:jc w:val="center"/>
                    <w:rPr>
                      <w:color w:val="auto"/>
                      <w:sz w:val="21"/>
                      <w:szCs w:val="21"/>
                    </w:rPr>
                  </w:pPr>
                  <w:r>
                    <w:rPr>
                      <w:color w:val="auto"/>
                      <w:sz w:val="21"/>
                      <w:szCs w:val="21"/>
                    </w:rPr>
                    <w:t>0.0011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3500.0</w:t>
                  </w:r>
                </w:p>
              </w:tc>
              <w:tc>
                <w:tcPr>
                  <w:tcW w:w="2017" w:type="dxa"/>
                  <w:noWrap w:val="0"/>
                  <w:vAlign w:val="center"/>
                </w:tcPr>
                <w:p>
                  <w:pPr>
                    <w:jc w:val="center"/>
                    <w:rPr>
                      <w:color w:val="auto"/>
                      <w:sz w:val="21"/>
                      <w:szCs w:val="21"/>
                    </w:rPr>
                  </w:pPr>
                  <w:r>
                    <w:rPr>
                      <w:color w:val="auto"/>
                      <w:sz w:val="21"/>
                      <w:szCs w:val="21"/>
                    </w:rPr>
                    <w:t>0.0046</w:t>
                  </w:r>
                </w:p>
              </w:tc>
              <w:tc>
                <w:tcPr>
                  <w:tcW w:w="1609" w:type="dxa"/>
                  <w:noWrap w:val="0"/>
                  <w:vAlign w:val="center"/>
                </w:tcPr>
                <w:p>
                  <w:pPr>
                    <w:jc w:val="center"/>
                    <w:rPr>
                      <w:color w:val="auto"/>
                      <w:sz w:val="21"/>
                      <w:szCs w:val="21"/>
                    </w:rPr>
                  </w:pPr>
                  <w:r>
                    <w:rPr>
                      <w:color w:val="auto"/>
                      <w:sz w:val="21"/>
                      <w:szCs w:val="21"/>
                    </w:rPr>
                    <w:t>0.0023</w:t>
                  </w:r>
                </w:p>
              </w:tc>
              <w:tc>
                <w:tcPr>
                  <w:tcW w:w="2017" w:type="dxa"/>
                  <w:noWrap w:val="0"/>
                  <w:vAlign w:val="center"/>
                </w:tcPr>
                <w:p>
                  <w:pPr>
                    <w:jc w:val="center"/>
                    <w:rPr>
                      <w:color w:val="auto"/>
                      <w:sz w:val="21"/>
                      <w:szCs w:val="21"/>
                    </w:rPr>
                  </w:pPr>
                  <w:r>
                    <w:rPr>
                      <w:color w:val="auto"/>
                      <w:sz w:val="21"/>
                      <w:szCs w:val="21"/>
                    </w:rPr>
                    <w:t>0.0001</w:t>
                  </w:r>
                </w:p>
              </w:tc>
              <w:tc>
                <w:tcPr>
                  <w:tcW w:w="1612" w:type="dxa"/>
                  <w:noWrap w:val="0"/>
                  <w:vAlign w:val="center"/>
                </w:tcPr>
                <w:p>
                  <w:pPr>
                    <w:jc w:val="center"/>
                    <w:rPr>
                      <w:color w:val="auto"/>
                      <w:sz w:val="21"/>
                      <w:szCs w:val="21"/>
                    </w:rPr>
                  </w:pPr>
                  <w:r>
                    <w:rPr>
                      <w:color w:val="auto"/>
                      <w:sz w:val="21"/>
                      <w:szCs w:val="21"/>
                    </w:rPr>
                    <w:t>0.0010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4000.0</w:t>
                  </w:r>
                </w:p>
              </w:tc>
              <w:tc>
                <w:tcPr>
                  <w:tcW w:w="2017" w:type="dxa"/>
                  <w:noWrap w:val="0"/>
                  <w:vAlign w:val="center"/>
                </w:tcPr>
                <w:p>
                  <w:pPr>
                    <w:jc w:val="center"/>
                    <w:rPr>
                      <w:color w:val="auto"/>
                      <w:sz w:val="21"/>
                      <w:szCs w:val="21"/>
                    </w:rPr>
                  </w:pPr>
                  <w:r>
                    <w:rPr>
                      <w:color w:val="auto"/>
                      <w:sz w:val="21"/>
                      <w:szCs w:val="21"/>
                    </w:rPr>
                    <w:t>0.0155</w:t>
                  </w:r>
                </w:p>
              </w:tc>
              <w:tc>
                <w:tcPr>
                  <w:tcW w:w="1609" w:type="dxa"/>
                  <w:noWrap w:val="0"/>
                  <w:vAlign w:val="center"/>
                </w:tcPr>
                <w:p>
                  <w:pPr>
                    <w:jc w:val="center"/>
                    <w:rPr>
                      <w:color w:val="auto"/>
                      <w:sz w:val="21"/>
                      <w:szCs w:val="21"/>
                    </w:rPr>
                  </w:pPr>
                  <w:r>
                    <w:rPr>
                      <w:color w:val="auto"/>
                      <w:sz w:val="21"/>
                      <w:szCs w:val="21"/>
                    </w:rPr>
                    <w:t>0.0077</w:t>
                  </w:r>
                </w:p>
              </w:tc>
              <w:tc>
                <w:tcPr>
                  <w:tcW w:w="2017" w:type="dxa"/>
                  <w:noWrap w:val="0"/>
                  <w:vAlign w:val="center"/>
                </w:tcPr>
                <w:p>
                  <w:pPr>
                    <w:jc w:val="center"/>
                    <w:rPr>
                      <w:color w:val="auto"/>
                      <w:sz w:val="21"/>
                      <w:szCs w:val="21"/>
                    </w:rPr>
                  </w:pPr>
                  <w:r>
                    <w:rPr>
                      <w:color w:val="auto"/>
                      <w:sz w:val="21"/>
                      <w:szCs w:val="21"/>
                    </w:rPr>
                    <w:t>0.0003</w:t>
                  </w:r>
                </w:p>
              </w:tc>
              <w:tc>
                <w:tcPr>
                  <w:tcW w:w="1612" w:type="dxa"/>
                  <w:noWrap w:val="0"/>
                  <w:vAlign w:val="center"/>
                </w:tcPr>
                <w:p>
                  <w:pPr>
                    <w:jc w:val="center"/>
                    <w:rPr>
                      <w:color w:val="auto"/>
                      <w:sz w:val="21"/>
                      <w:szCs w:val="21"/>
                    </w:rPr>
                  </w:pPr>
                  <w:r>
                    <w:rPr>
                      <w:color w:val="auto"/>
                      <w:sz w:val="21"/>
                      <w:szCs w:val="21"/>
                    </w:rPr>
                    <w:t>0.0034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4500.0</w:t>
                  </w:r>
                </w:p>
              </w:tc>
              <w:tc>
                <w:tcPr>
                  <w:tcW w:w="2017" w:type="dxa"/>
                  <w:noWrap w:val="0"/>
                  <w:vAlign w:val="center"/>
                </w:tcPr>
                <w:p>
                  <w:pPr>
                    <w:jc w:val="center"/>
                    <w:rPr>
                      <w:color w:val="auto"/>
                      <w:sz w:val="21"/>
                      <w:szCs w:val="21"/>
                    </w:rPr>
                  </w:pPr>
                  <w:r>
                    <w:rPr>
                      <w:color w:val="auto"/>
                      <w:sz w:val="21"/>
                      <w:szCs w:val="21"/>
                    </w:rPr>
                    <w:t>0.0119</w:t>
                  </w:r>
                </w:p>
              </w:tc>
              <w:tc>
                <w:tcPr>
                  <w:tcW w:w="1609" w:type="dxa"/>
                  <w:noWrap w:val="0"/>
                  <w:vAlign w:val="center"/>
                </w:tcPr>
                <w:p>
                  <w:pPr>
                    <w:jc w:val="center"/>
                    <w:rPr>
                      <w:color w:val="auto"/>
                      <w:sz w:val="21"/>
                      <w:szCs w:val="21"/>
                    </w:rPr>
                  </w:pPr>
                  <w:r>
                    <w:rPr>
                      <w:color w:val="auto"/>
                      <w:sz w:val="21"/>
                      <w:szCs w:val="21"/>
                    </w:rPr>
                    <w:t>0.0059</w:t>
                  </w:r>
                </w:p>
              </w:tc>
              <w:tc>
                <w:tcPr>
                  <w:tcW w:w="2017" w:type="dxa"/>
                  <w:noWrap w:val="0"/>
                  <w:vAlign w:val="center"/>
                </w:tcPr>
                <w:p>
                  <w:pPr>
                    <w:jc w:val="center"/>
                    <w:rPr>
                      <w:color w:val="auto"/>
                      <w:sz w:val="21"/>
                      <w:szCs w:val="21"/>
                    </w:rPr>
                  </w:pPr>
                  <w:r>
                    <w:rPr>
                      <w:color w:val="auto"/>
                      <w:sz w:val="21"/>
                      <w:szCs w:val="21"/>
                    </w:rPr>
                    <w:t>0.0003</w:t>
                  </w:r>
                </w:p>
              </w:tc>
              <w:tc>
                <w:tcPr>
                  <w:tcW w:w="1612" w:type="dxa"/>
                  <w:noWrap w:val="0"/>
                  <w:vAlign w:val="center"/>
                </w:tcPr>
                <w:p>
                  <w:pPr>
                    <w:jc w:val="center"/>
                    <w:rPr>
                      <w:color w:val="auto"/>
                      <w:sz w:val="21"/>
                      <w:szCs w:val="21"/>
                    </w:rPr>
                  </w:pPr>
                  <w:r>
                    <w:rPr>
                      <w:color w:val="auto"/>
                      <w:sz w:val="21"/>
                      <w:szCs w:val="21"/>
                    </w:rPr>
                    <w:t>0.0026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5000.0</w:t>
                  </w:r>
                </w:p>
              </w:tc>
              <w:tc>
                <w:tcPr>
                  <w:tcW w:w="2017" w:type="dxa"/>
                  <w:noWrap w:val="0"/>
                  <w:vAlign w:val="center"/>
                </w:tcPr>
                <w:p>
                  <w:pPr>
                    <w:jc w:val="center"/>
                    <w:rPr>
                      <w:color w:val="auto"/>
                      <w:sz w:val="21"/>
                      <w:szCs w:val="21"/>
                    </w:rPr>
                  </w:pPr>
                  <w:r>
                    <w:rPr>
                      <w:color w:val="auto"/>
                      <w:sz w:val="21"/>
                      <w:szCs w:val="21"/>
                    </w:rPr>
                    <w:t>0.0113</w:t>
                  </w:r>
                </w:p>
              </w:tc>
              <w:tc>
                <w:tcPr>
                  <w:tcW w:w="1609" w:type="dxa"/>
                  <w:noWrap w:val="0"/>
                  <w:vAlign w:val="center"/>
                </w:tcPr>
                <w:p>
                  <w:pPr>
                    <w:jc w:val="center"/>
                    <w:rPr>
                      <w:color w:val="auto"/>
                      <w:sz w:val="21"/>
                      <w:szCs w:val="21"/>
                    </w:rPr>
                  </w:pPr>
                  <w:r>
                    <w:rPr>
                      <w:color w:val="auto"/>
                      <w:sz w:val="21"/>
                      <w:szCs w:val="21"/>
                    </w:rPr>
                    <w:t>0.0056</w:t>
                  </w:r>
                </w:p>
              </w:tc>
              <w:tc>
                <w:tcPr>
                  <w:tcW w:w="2017" w:type="dxa"/>
                  <w:noWrap w:val="0"/>
                  <w:vAlign w:val="center"/>
                </w:tcPr>
                <w:p>
                  <w:pPr>
                    <w:jc w:val="center"/>
                    <w:rPr>
                      <w:color w:val="auto"/>
                      <w:sz w:val="21"/>
                      <w:szCs w:val="21"/>
                    </w:rPr>
                  </w:pPr>
                  <w:r>
                    <w:rPr>
                      <w:color w:val="auto"/>
                      <w:sz w:val="21"/>
                      <w:szCs w:val="21"/>
                    </w:rPr>
                    <w:t>0.0002</w:t>
                  </w:r>
                </w:p>
              </w:tc>
              <w:tc>
                <w:tcPr>
                  <w:tcW w:w="1612" w:type="dxa"/>
                  <w:noWrap w:val="0"/>
                  <w:vAlign w:val="center"/>
                </w:tcPr>
                <w:p>
                  <w:pPr>
                    <w:jc w:val="center"/>
                    <w:rPr>
                      <w:color w:val="auto"/>
                      <w:sz w:val="21"/>
                      <w:szCs w:val="21"/>
                    </w:rPr>
                  </w:pPr>
                  <w:r>
                    <w:rPr>
                      <w:color w:val="auto"/>
                      <w:sz w:val="21"/>
                      <w:szCs w:val="21"/>
                    </w:rPr>
                    <w:t>0.0025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10000.0</w:t>
                  </w:r>
                </w:p>
              </w:tc>
              <w:tc>
                <w:tcPr>
                  <w:tcW w:w="2017" w:type="dxa"/>
                  <w:noWrap w:val="0"/>
                  <w:vAlign w:val="center"/>
                </w:tcPr>
                <w:p>
                  <w:pPr>
                    <w:jc w:val="center"/>
                    <w:rPr>
                      <w:color w:val="auto"/>
                      <w:sz w:val="21"/>
                      <w:szCs w:val="21"/>
                    </w:rPr>
                  </w:pPr>
                  <w:r>
                    <w:rPr>
                      <w:color w:val="auto"/>
                      <w:sz w:val="21"/>
                      <w:szCs w:val="21"/>
                    </w:rPr>
                    <w:t>0.0019</w:t>
                  </w:r>
                </w:p>
              </w:tc>
              <w:tc>
                <w:tcPr>
                  <w:tcW w:w="1609" w:type="dxa"/>
                  <w:noWrap w:val="0"/>
                  <w:vAlign w:val="center"/>
                </w:tcPr>
                <w:p>
                  <w:pPr>
                    <w:jc w:val="center"/>
                    <w:rPr>
                      <w:color w:val="auto"/>
                      <w:sz w:val="21"/>
                      <w:szCs w:val="21"/>
                    </w:rPr>
                  </w:pPr>
                  <w:r>
                    <w:rPr>
                      <w:color w:val="auto"/>
                      <w:sz w:val="21"/>
                      <w:szCs w:val="21"/>
                    </w:rPr>
                    <w:t>0.0010</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11000.0</w:t>
                  </w:r>
                </w:p>
              </w:tc>
              <w:tc>
                <w:tcPr>
                  <w:tcW w:w="2017" w:type="dxa"/>
                  <w:noWrap w:val="0"/>
                  <w:vAlign w:val="center"/>
                </w:tcPr>
                <w:p>
                  <w:pPr>
                    <w:jc w:val="center"/>
                    <w:rPr>
                      <w:color w:val="auto"/>
                      <w:sz w:val="21"/>
                      <w:szCs w:val="21"/>
                    </w:rPr>
                  </w:pPr>
                  <w:r>
                    <w:rPr>
                      <w:color w:val="auto"/>
                      <w:sz w:val="21"/>
                      <w:szCs w:val="21"/>
                    </w:rPr>
                    <w:t>0.0031</w:t>
                  </w:r>
                </w:p>
              </w:tc>
              <w:tc>
                <w:tcPr>
                  <w:tcW w:w="1609" w:type="dxa"/>
                  <w:noWrap w:val="0"/>
                  <w:vAlign w:val="center"/>
                </w:tcPr>
                <w:p>
                  <w:pPr>
                    <w:jc w:val="center"/>
                    <w:rPr>
                      <w:color w:val="auto"/>
                      <w:sz w:val="21"/>
                      <w:szCs w:val="21"/>
                    </w:rPr>
                  </w:pPr>
                  <w:r>
                    <w:rPr>
                      <w:color w:val="auto"/>
                      <w:sz w:val="21"/>
                      <w:szCs w:val="21"/>
                    </w:rPr>
                    <w:t>0.0016</w:t>
                  </w:r>
                </w:p>
              </w:tc>
              <w:tc>
                <w:tcPr>
                  <w:tcW w:w="2017" w:type="dxa"/>
                  <w:noWrap w:val="0"/>
                  <w:vAlign w:val="center"/>
                </w:tcPr>
                <w:p>
                  <w:pPr>
                    <w:jc w:val="center"/>
                    <w:rPr>
                      <w:color w:val="auto"/>
                      <w:sz w:val="21"/>
                      <w:szCs w:val="21"/>
                    </w:rPr>
                  </w:pPr>
                  <w:r>
                    <w:rPr>
                      <w:color w:val="auto"/>
                      <w:sz w:val="21"/>
                      <w:szCs w:val="21"/>
                    </w:rPr>
                    <w:t>0.0001</w:t>
                  </w:r>
                </w:p>
              </w:tc>
              <w:tc>
                <w:tcPr>
                  <w:tcW w:w="1612" w:type="dxa"/>
                  <w:noWrap w:val="0"/>
                  <w:vAlign w:val="center"/>
                </w:tcPr>
                <w:p>
                  <w:pPr>
                    <w:jc w:val="center"/>
                    <w:rPr>
                      <w:color w:val="auto"/>
                      <w:sz w:val="21"/>
                      <w:szCs w:val="21"/>
                    </w:rPr>
                  </w:pPr>
                  <w:r>
                    <w:rPr>
                      <w:color w:val="auto"/>
                      <w:sz w:val="21"/>
                      <w:szCs w:val="21"/>
                    </w:rPr>
                    <w:t>0.0007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12000.0</w:t>
                  </w:r>
                </w:p>
              </w:tc>
              <w:tc>
                <w:tcPr>
                  <w:tcW w:w="2017" w:type="dxa"/>
                  <w:noWrap w:val="0"/>
                  <w:vAlign w:val="center"/>
                </w:tcPr>
                <w:p>
                  <w:pPr>
                    <w:jc w:val="center"/>
                    <w:rPr>
                      <w:color w:val="auto"/>
                      <w:sz w:val="21"/>
                      <w:szCs w:val="21"/>
                    </w:rPr>
                  </w:pPr>
                  <w:r>
                    <w:rPr>
                      <w:color w:val="auto"/>
                      <w:sz w:val="21"/>
                      <w:szCs w:val="21"/>
                    </w:rPr>
                    <w:t>0.0019</w:t>
                  </w:r>
                </w:p>
              </w:tc>
              <w:tc>
                <w:tcPr>
                  <w:tcW w:w="1609" w:type="dxa"/>
                  <w:noWrap w:val="0"/>
                  <w:vAlign w:val="center"/>
                </w:tcPr>
                <w:p>
                  <w:pPr>
                    <w:jc w:val="center"/>
                    <w:rPr>
                      <w:color w:val="auto"/>
                      <w:sz w:val="21"/>
                      <w:szCs w:val="21"/>
                    </w:rPr>
                  </w:pPr>
                  <w:r>
                    <w:rPr>
                      <w:color w:val="auto"/>
                      <w:sz w:val="21"/>
                      <w:szCs w:val="21"/>
                    </w:rPr>
                    <w:t>0.0010</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13000.0</w:t>
                  </w:r>
                </w:p>
              </w:tc>
              <w:tc>
                <w:tcPr>
                  <w:tcW w:w="2017" w:type="dxa"/>
                  <w:noWrap w:val="0"/>
                  <w:vAlign w:val="center"/>
                </w:tcPr>
                <w:p>
                  <w:pPr>
                    <w:jc w:val="center"/>
                    <w:rPr>
                      <w:color w:val="auto"/>
                      <w:sz w:val="21"/>
                      <w:szCs w:val="21"/>
                    </w:rPr>
                  </w:pPr>
                  <w:r>
                    <w:rPr>
                      <w:color w:val="auto"/>
                      <w:sz w:val="21"/>
                      <w:szCs w:val="21"/>
                    </w:rPr>
                    <w:t>0.0023</w:t>
                  </w:r>
                </w:p>
              </w:tc>
              <w:tc>
                <w:tcPr>
                  <w:tcW w:w="1609" w:type="dxa"/>
                  <w:noWrap w:val="0"/>
                  <w:vAlign w:val="center"/>
                </w:tcPr>
                <w:p>
                  <w:pPr>
                    <w:jc w:val="center"/>
                    <w:rPr>
                      <w:color w:val="auto"/>
                      <w:sz w:val="21"/>
                      <w:szCs w:val="21"/>
                    </w:rPr>
                  </w:pPr>
                  <w:r>
                    <w:rPr>
                      <w:color w:val="auto"/>
                      <w:sz w:val="21"/>
                      <w:szCs w:val="21"/>
                    </w:rPr>
                    <w:t>0.0012</w:t>
                  </w:r>
                </w:p>
              </w:tc>
              <w:tc>
                <w:tcPr>
                  <w:tcW w:w="2017" w:type="dxa"/>
                  <w:noWrap w:val="0"/>
                  <w:vAlign w:val="center"/>
                </w:tcPr>
                <w:p>
                  <w:pPr>
                    <w:jc w:val="center"/>
                    <w:rPr>
                      <w:color w:val="auto"/>
                      <w:sz w:val="21"/>
                      <w:szCs w:val="21"/>
                    </w:rPr>
                  </w:pPr>
                  <w:r>
                    <w:rPr>
                      <w:color w:val="auto"/>
                      <w:sz w:val="21"/>
                      <w:szCs w:val="21"/>
                    </w:rPr>
                    <w:t>0.0001</w:t>
                  </w:r>
                </w:p>
              </w:tc>
              <w:tc>
                <w:tcPr>
                  <w:tcW w:w="1612" w:type="dxa"/>
                  <w:noWrap w:val="0"/>
                  <w:vAlign w:val="center"/>
                </w:tcPr>
                <w:p>
                  <w:pPr>
                    <w:jc w:val="center"/>
                    <w:rPr>
                      <w:color w:val="auto"/>
                      <w:sz w:val="21"/>
                      <w:szCs w:val="21"/>
                    </w:rPr>
                  </w:pPr>
                  <w:r>
                    <w:rPr>
                      <w:color w:val="auto"/>
                      <w:sz w:val="21"/>
                      <w:szCs w:val="21"/>
                    </w:rPr>
                    <w:t>0.0005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14000.0</w:t>
                  </w:r>
                </w:p>
              </w:tc>
              <w:tc>
                <w:tcPr>
                  <w:tcW w:w="2017" w:type="dxa"/>
                  <w:noWrap w:val="0"/>
                  <w:vAlign w:val="center"/>
                </w:tcPr>
                <w:p>
                  <w:pPr>
                    <w:jc w:val="center"/>
                    <w:rPr>
                      <w:color w:val="auto"/>
                      <w:sz w:val="21"/>
                      <w:szCs w:val="21"/>
                    </w:rPr>
                  </w:pPr>
                  <w:r>
                    <w:rPr>
                      <w:color w:val="auto"/>
                      <w:sz w:val="21"/>
                      <w:szCs w:val="21"/>
                    </w:rPr>
                    <w:t>0.0014</w:t>
                  </w:r>
                </w:p>
              </w:tc>
              <w:tc>
                <w:tcPr>
                  <w:tcW w:w="1609" w:type="dxa"/>
                  <w:noWrap w:val="0"/>
                  <w:vAlign w:val="center"/>
                </w:tcPr>
                <w:p>
                  <w:pPr>
                    <w:jc w:val="center"/>
                    <w:rPr>
                      <w:color w:val="auto"/>
                      <w:sz w:val="21"/>
                      <w:szCs w:val="21"/>
                    </w:rPr>
                  </w:pPr>
                  <w:r>
                    <w:rPr>
                      <w:color w:val="auto"/>
                      <w:sz w:val="21"/>
                      <w:szCs w:val="21"/>
                    </w:rPr>
                    <w:t>0.0007</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15000.0</w:t>
                  </w:r>
                </w:p>
              </w:tc>
              <w:tc>
                <w:tcPr>
                  <w:tcW w:w="2017" w:type="dxa"/>
                  <w:noWrap w:val="0"/>
                  <w:vAlign w:val="center"/>
                </w:tcPr>
                <w:p>
                  <w:pPr>
                    <w:jc w:val="center"/>
                    <w:rPr>
                      <w:color w:val="auto"/>
                      <w:sz w:val="21"/>
                      <w:szCs w:val="21"/>
                    </w:rPr>
                  </w:pPr>
                  <w:r>
                    <w:rPr>
                      <w:color w:val="auto"/>
                      <w:sz w:val="21"/>
                      <w:szCs w:val="21"/>
                    </w:rPr>
                    <w:t>0.0005</w:t>
                  </w:r>
                </w:p>
              </w:tc>
              <w:tc>
                <w:tcPr>
                  <w:tcW w:w="1609" w:type="dxa"/>
                  <w:noWrap w:val="0"/>
                  <w:vAlign w:val="center"/>
                </w:tcPr>
                <w:p>
                  <w:pPr>
                    <w:jc w:val="center"/>
                    <w:rPr>
                      <w:color w:val="auto"/>
                      <w:sz w:val="21"/>
                      <w:szCs w:val="21"/>
                    </w:rPr>
                  </w:pPr>
                  <w:r>
                    <w:rPr>
                      <w:color w:val="auto"/>
                      <w:sz w:val="21"/>
                      <w:szCs w:val="21"/>
                    </w:rPr>
                    <w:t>0.0002</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20000.0</w:t>
                  </w:r>
                </w:p>
              </w:tc>
              <w:tc>
                <w:tcPr>
                  <w:tcW w:w="2017" w:type="dxa"/>
                  <w:noWrap w:val="0"/>
                  <w:vAlign w:val="center"/>
                </w:tcPr>
                <w:p>
                  <w:pPr>
                    <w:jc w:val="center"/>
                    <w:rPr>
                      <w:color w:val="auto"/>
                      <w:sz w:val="21"/>
                      <w:szCs w:val="21"/>
                    </w:rPr>
                  </w:pPr>
                  <w:r>
                    <w:rPr>
                      <w:color w:val="auto"/>
                      <w:sz w:val="21"/>
                      <w:szCs w:val="21"/>
                    </w:rPr>
                    <w:t>0.0009</w:t>
                  </w:r>
                </w:p>
              </w:tc>
              <w:tc>
                <w:tcPr>
                  <w:tcW w:w="1609" w:type="dxa"/>
                  <w:noWrap w:val="0"/>
                  <w:vAlign w:val="center"/>
                </w:tcPr>
                <w:p>
                  <w:pPr>
                    <w:jc w:val="center"/>
                    <w:rPr>
                      <w:color w:val="auto"/>
                      <w:sz w:val="21"/>
                      <w:szCs w:val="21"/>
                    </w:rPr>
                  </w:pPr>
                  <w:r>
                    <w:rPr>
                      <w:color w:val="auto"/>
                      <w:sz w:val="21"/>
                      <w:szCs w:val="21"/>
                    </w:rPr>
                    <w:t>0.0005</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25000.0</w:t>
                  </w:r>
                </w:p>
              </w:tc>
              <w:tc>
                <w:tcPr>
                  <w:tcW w:w="2017" w:type="dxa"/>
                  <w:noWrap w:val="0"/>
                  <w:vAlign w:val="center"/>
                </w:tcPr>
                <w:p>
                  <w:pPr>
                    <w:jc w:val="center"/>
                    <w:rPr>
                      <w:color w:val="auto"/>
                      <w:sz w:val="21"/>
                      <w:szCs w:val="21"/>
                    </w:rPr>
                  </w:pPr>
                  <w:r>
                    <w:rPr>
                      <w:color w:val="auto"/>
                      <w:sz w:val="21"/>
                      <w:szCs w:val="21"/>
                    </w:rPr>
                    <w:t>0.0003</w:t>
                  </w:r>
                </w:p>
              </w:tc>
              <w:tc>
                <w:tcPr>
                  <w:tcW w:w="1609" w:type="dxa"/>
                  <w:noWrap w:val="0"/>
                  <w:vAlign w:val="center"/>
                </w:tcPr>
                <w:p>
                  <w:pPr>
                    <w:jc w:val="center"/>
                    <w:rPr>
                      <w:color w:val="auto"/>
                      <w:sz w:val="21"/>
                      <w:szCs w:val="21"/>
                    </w:rPr>
                  </w:pPr>
                  <w:r>
                    <w:rPr>
                      <w:color w:val="auto"/>
                      <w:sz w:val="21"/>
                      <w:szCs w:val="21"/>
                    </w:rPr>
                    <w:t>0.0001</w:t>
                  </w:r>
                </w:p>
              </w:tc>
              <w:tc>
                <w:tcPr>
                  <w:tcW w:w="2017" w:type="dxa"/>
                  <w:noWrap w:val="0"/>
                  <w:vAlign w:val="center"/>
                </w:tcPr>
                <w:p>
                  <w:pPr>
                    <w:jc w:val="center"/>
                    <w:rPr>
                      <w:color w:val="auto"/>
                      <w:sz w:val="21"/>
                      <w:szCs w:val="21"/>
                    </w:rPr>
                  </w:pPr>
                  <w:r>
                    <w:rPr>
                      <w:color w:val="auto"/>
                      <w:sz w:val="21"/>
                      <w:szCs w:val="21"/>
                    </w:rPr>
                    <w:t>0.0000</w:t>
                  </w:r>
                </w:p>
              </w:tc>
              <w:tc>
                <w:tcPr>
                  <w:tcW w:w="1612" w:type="dxa"/>
                  <w:noWrap w:val="0"/>
                  <w:vAlign w:val="center"/>
                </w:tcPr>
                <w:p>
                  <w:pPr>
                    <w:jc w:val="center"/>
                    <w:rPr>
                      <w:color w:val="auto"/>
                      <w:sz w:val="21"/>
                      <w:szCs w:val="21"/>
                    </w:rPr>
                  </w:pPr>
                  <w:r>
                    <w:rPr>
                      <w:color w:val="auto"/>
                      <w:sz w:val="21"/>
                      <w:szCs w:val="21"/>
                    </w:rPr>
                    <w:t>0.0001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下风向最大浓度</w:t>
                  </w:r>
                </w:p>
              </w:tc>
              <w:tc>
                <w:tcPr>
                  <w:tcW w:w="2017" w:type="dxa"/>
                  <w:noWrap w:val="0"/>
                  <w:vAlign w:val="center"/>
                </w:tcPr>
                <w:p>
                  <w:pPr>
                    <w:jc w:val="center"/>
                    <w:rPr>
                      <w:color w:val="auto"/>
                      <w:sz w:val="21"/>
                      <w:szCs w:val="21"/>
                    </w:rPr>
                  </w:pPr>
                  <w:r>
                    <w:rPr>
                      <w:color w:val="auto"/>
                      <w:sz w:val="21"/>
                      <w:szCs w:val="21"/>
                    </w:rPr>
                    <w:t>3.2114</w:t>
                  </w:r>
                </w:p>
              </w:tc>
              <w:tc>
                <w:tcPr>
                  <w:tcW w:w="1609" w:type="dxa"/>
                  <w:noWrap w:val="0"/>
                  <w:vAlign w:val="center"/>
                </w:tcPr>
                <w:p>
                  <w:pPr>
                    <w:jc w:val="center"/>
                    <w:rPr>
                      <w:color w:val="auto"/>
                      <w:sz w:val="21"/>
                      <w:szCs w:val="21"/>
                    </w:rPr>
                  </w:pPr>
                  <w:r>
                    <w:rPr>
                      <w:color w:val="auto"/>
                      <w:sz w:val="21"/>
                      <w:szCs w:val="21"/>
                    </w:rPr>
                    <w:t>1.6057</w:t>
                  </w:r>
                </w:p>
              </w:tc>
              <w:tc>
                <w:tcPr>
                  <w:tcW w:w="2017" w:type="dxa"/>
                  <w:noWrap w:val="0"/>
                  <w:vAlign w:val="center"/>
                </w:tcPr>
                <w:p>
                  <w:pPr>
                    <w:jc w:val="center"/>
                    <w:rPr>
                      <w:color w:val="auto"/>
                      <w:sz w:val="21"/>
                      <w:szCs w:val="21"/>
                    </w:rPr>
                  </w:pPr>
                  <w:r>
                    <w:rPr>
                      <w:color w:val="auto"/>
                      <w:sz w:val="21"/>
                      <w:szCs w:val="21"/>
                    </w:rPr>
                    <w:t>0.0707</w:t>
                  </w:r>
                </w:p>
              </w:tc>
              <w:tc>
                <w:tcPr>
                  <w:tcW w:w="1612" w:type="dxa"/>
                  <w:noWrap w:val="0"/>
                  <w:vAlign w:val="center"/>
                </w:tcPr>
                <w:p>
                  <w:pPr>
                    <w:jc w:val="center"/>
                    <w:rPr>
                      <w:color w:val="auto"/>
                      <w:sz w:val="21"/>
                      <w:szCs w:val="21"/>
                    </w:rPr>
                  </w:pPr>
                  <w:r>
                    <w:rPr>
                      <w:color w:val="auto"/>
                      <w:sz w:val="21"/>
                      <w:szCs w:val="21"/>
                    </w:rPr>
                    <w:t>0.7065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下风向最大浓度出现距离</w:t>
                  </w:r>
                </w:p>
              </w:tc>
              <w:tc>
                <w:tcPr>
                  <w:tcW w:w="2017" w:type="dxa"/>
                  <w:noWrap w:val="0"/>
                  <w:vAlign w:val="center"/>
                </w:tcPr>
                <w:p>
                  <w:pPr>
                    <w:jc w:val="center"/>
                    <w:rPr>
                      <w:color w:val="auto"/>
                      <w:sz w:val="21"/>
                      <w:szCs w:val="21"/>
                    </w:rPr>
                  </w:pPr>
                  <w:r>
                    <w:rPr>
                      <w:color w:val="auto"/>
                      <w:sz w:val="21"/>
                      <w:szCs w:val="21"/>
                    </w:rPr>
                    <w:t>63.0</w:t>
                  </w:r>
                </w:p>
              </w:tc>
              <w:tc>
                <w:tcPr>
                  <w:tcW w:w="1609" w:type="dxa"/>
                  <w:noWrap w:val="0"/>
                  <w:vAlign w:val="center"/>
                </w:tcPr>
                <w:p>
                  <w:pPr>
                    <w:jc w:val="center"/>
                    <w:rPr>
                      <w:color w:val="auto"/>
                      <w:sz w:val="21"/>
                      <w:szCs w:val="21"/>
                    </w:rPr>
                  </w:pPr>
                  <w:r>
                    <w:rPr>
                      <w:color w:val="auto"/>
                      <w:sz w:val="21"/>
                      <w:szCs w:val="21"/>
                    </w:rPr>
                    <w:t>63.0</w:t>
                  </w:r>
                </w:p>
              </w:tc>
              <w:tc>
                <w:tcPr>
                  <w:tcW w:w="2017" w:type="dxa"/>
                  <w:noWrap w:val="0"/>
                  <w:vAlign w:val="center"/>
                </w:tcPr>
                <w:p>
                  <w:pPr>
                    <w:jc w:val="center"/>
                    <w:rPr>
                      <w:color w:val="auto"/>
                      <w:sz w:val="21"/>
                      <w:szCs w:val="21"/>
                    </w:rPr>
                  </w:pPr>
                  <w:r>
                    <w:rPr>
                      <w:color w:val="auto"/>
                      <w:sz w:val="21"/>
                      <w:szCs w:val="21"/>
                    </w:rPr>
                    <w:t>63.0</w:t>
                  </w:r>
                </w:p>
              </w:tc>
              <w:tc>
                <w:tcPr>
                  <w:tcW w:w="1612" w:type="dxa"/>
                  <w:noWrap w:val="0"/>
                  <w:vAlign w:val="center"/>
                </w:tcPr>
                <w:p>
                  <w:pPr>
                    <w:jc w:val="center"/>
                    <w:rPr>
                      <w:color w:val="auto"/>
                      <w:sz w:val="21"/>
                      <w:szCs w:val="21"/>
                    </w:rPr>
                  </w:pPr>
                  <w:r>
                    <w:rPr>
                      <w:color w:val="auto"/>
                      <w:sz w:val="21"/>
                      <w:szCs w:val="21"/>
                    </w:rPr>
                    <w:t>63.0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1813" w:type="dxa"/>
                  <w:noWrap w:val="0"/>
                  <w:vAlign w:val="center"/>
                </w:tcPr>
                <w:p>
                  <w:pPr>
                    <w:jc w:val="center"/>
                    <w:rPr>
                      <w:color w:val="auto"/>
                      <w:sz w:val="21"/>
                      <w:szCs w:val="21"/>
                    </w:rPr>
                  </w:pPr>
                  <w:r>
                    <w:rPr>
                      <w:color w:val="auto"/>
                      <w:sz w:val="21"/>
                      <w:szCs w:val="21"/>
                    </w:rPr>
                    <w:t>D10%最远距离</w:t>
                  </w:r>
                </w:p>
              </w:tc>
              <w:tc>
                <w:tcPr>
                  <w:tcW w:w="2017" w:type="dxa"/>
                  <w:noWrap w:val="0"/>
                  <w:vAlign w:val="center"/>
                </w:tcPr>
                <w:p>
                  <w:pPr>
                    <w:jc w:val="center"/>
                    <w:rPr>
                      <w:color w:val="auto"/>
                      <w:sz w:val="21"/>
                      <w:szCs w:val="21"/>
                    </w:rPr>
                  </w:pPr>
                  <w:r>
                    <w:rPr>
                      <w:color w:val="auto"/>
                      <w:sz w:val="21"/>
                      <w:szCs w:val="21"/>
                    </w:rPr>
                    <w:t>/</w:t>
                  </w:r>
                </w:p>
              </w:tc>
              <w:tc>
                <w:tcPr>
                  <w:tcW w:w="1609" w:type="dxa"/>
                  <w:noWrap w:val="0"/>
                  <w:vAlign w:val="center"/>
                </w:tcPr>
                <w:p>
                  <w:pPr>
                    <w:jc w:val="center"/>
                    <w:rPr>
                      <w:color w:val="auto"/>
                      <w:sz w:val="21"/>
                      <w:szCs w:val="21"/>
                    </w:rPr>
                  </w:pPr>
                  <w:r>
                    <w:rPr>
                      <w:color w:val="auto"/>
                      <w:sz w:val="21"/>
                      <w:szCs w:val="21"/>
                    </w:rPr>
                    <w:t>/</w:t>
                  </w:r>
                </w:p>
              </w:tc>
              <w:tc>
                <w:tcPr>
                  <w:tcW w:w="2017" w:type="dxa"/>
                  <w:noWrap w:val="0"/>
                  <w:vAlign w:val="center"/>
                </w:tcPr>
                <w:p>
                  <w:pPr>
                    <w:jc w:val="center"/>
                    <w:rPr>
                      <w:color w:val="auto"/>
                      <w:sz w:val="21"/>
                      <w:szCs w:val="21"/>
                    </w:rPr>
                  </w:pPr>
                  <w:r>
                    <w:rPr>
                      <w:color w:val="auto"/>
                      <w:sz w:val="21"/>
                      <w:szCs w:val="21"/>
                    </w:rPr>
                    <w:t>/</w:t>
                  </w:r>
                </w:p>
              </w:tc>
              <w:tc>
                <w:tcPr>
                  <w:tcW w:w="1612" w:type="dxa"/>
                  <w:noWrap w:val="0"/>
                  <w:vAlign w:val="center"/>
                </w:tcPr>
                <w:p>
                  <w:pPr>
                    <w:jc w:val="center"/>
                    <w:rPr>
                      <w:color w:val="auto"/>
                      <w:sz w:val="21"/>
                      <w:szCs w:val="21"/>
                    </w:rPr>
                  </w:pPr>
                  <w:r>
                    <w:rPr>
                      <w:color w:val="auto"/>
                      <w:sz w:val="21"/>
                      <w:szCs w:val="21"/>
                    </w:rPr>
                    <w:t>/</w:t>
                  </w:r>
                </w:p>
              </w:tc>
            </w:tr>
          </w:tbl>
          <w:p>
            <w:pPr>
              <w:widowControl/>
              <w:adjustRightInd w:val="0"/>
              <w:snapToGrid w:val="0"/>
              <w:spacing w:line="360" w:lineRule="auto"/>
              <w:ind w:firstLine="422" w:firstLineChars="176"/>
              <w:jc w:val="left"/>
              <w:rPr>
                <w:color w:val="auto"/>
              </w:rPr>
            </w:pPr>
            <w:r>
              <w:rPr>
                <w:color w:val="auto"/>
              </w:rPr>
              <w:t>（6）评级工作等级确定</w:t>
            </w:r>
          </w:p>
          <w:p>
            <w:pPr>
              <w:adjustRightInd w:val="0"/>
              <w:snapToGrid w:val="0"/>
              <w:spacing w:line="360" w:lineRule="auto"/>
              <w:ind w:firstLine="480" w:firstLineChars="200"/>
              <w:jc w:val="center"/>
              <w:rPr>
                <w:rFonts w:eastAsia="黑体"/>
                <w:bCs/>
                <w:color w:val="auto"/>
              </w:rPr>
            </w:pPr>
            <w:r>
              <w:rPr>
                <w:rFonts w:eastAsia="黑体"/>
                <w:bCs/>
                <w:color w:val="auto"/>
              </w:rPr>
              <w:t>表7-11  Pmax和D10%预测和计算结果一览表</w:t>
            </w:r>
          </w:p>
          <w:tbl>
            <w:tblPr>
              <w:tblStyle w:val="2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11"/>
              <w:gridCol w:w="1163"/>
              <w:gridCol w:w="1900"/>
              <w:gridCol w:w="2258"/>
              <w:gridCol w:w="1483"/>
              <w:gridCol w:w="131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911" w:type="dxa"/>
                  <w:noWrap w:val="0"/>
                  <w:vAlign w:val="center"/>
                </w:tcPr>
                <w:p>
                  <w:pPr>
                    <w:jc w:val="center"/>
                    <w:rPr>
                      <w:color w:val="auto"/>
                      <w:sz w:val="21"/>
                      <w:szCs w:val="21"/>
                    </w:rPr>
                  </w:pPr>
                  <w:r>
                    <w:rPr>
                      <w:color w:val="auto"/>
                      <w:sz w:val="21"/>
                      <w:szCs w:val="21"/>
                    </w:rPr>
                    <w:t>污染源名称</w:t>
                  </w:r>
                </w:p>
              </w:tc>
              <w:tc>
                <w:tcPr>
                  <w:tcW w:w="1163" w:type="dxa"/>
                  <w:noWrap w:val="0"/>
                  <w:vAlign w:val="center"/>
                </w:tcPr>
                <w:p>
                  <w:pPr>
                    <w:jc w:val="center"/>
                    <w:rPr>
                      <w:color w:val="auto"/>
                      <w:sz w:val="21"/>
                      <w:szCs w:val="21"/>
                    </w:rPr>
                  </w:pPr>
                  <w:r>
                    <w:rPr>
                      <w:color w:val="auto"/>
                      <w:sz w:val="21"/>
                      <w:szCs w:val="21"/>
                    </w:rPr>
                    <w:t>评价因子</w:t>
                  </w:r>
                </w:p>
              </w:tc>
              <w:tc>
                <w:tcPr>
                  <w:tcW w:w="1900" w:type="dxa"/>
                  <w:noWrap w:val="0"/>
                  <w:vAlign w:val="center"/>
                </w:tcPr>
                <w:p>
                  <w:pPr>
                    <w:jc w:val="center"/>
                    <w:rPr>
                      <w:color w:val="auto"/>
                      <w:sz w:val="21"/>
                      <w:szCs w:val="21"/>
                    </w:rPr>
                  </w:pPr>
                  <w:r>
                    <w:rPr>
                      <w:color w:val="auto"/>
                      <w:sz w:val="21"/>
                      <w:szCs w:val="21"/>
                    </w:rPr>
                    <w:t>评价标准(μg/m³)</w:t>
                  </w:r>
                </w:p>
              </w:tc>
              <w:tc>
                <w:tcPr>
                  <w:tcW w:w="2258" w:type="dxa"/>
                  <w:noWrap w:val="0"/>
                  <w:vAlign w:val="center"/>
                </w:tcPr>
                <w:p>
                  <w:pPr>
                    <w:jc w:val="center"/>
                    <w:rPr>
                      <w:color w:val="auto"/>
                      <w:sz w:val="21"/>
                      <w:szCs w:val="21"/>
                    </w:rPr>
                  </w:pPr>
                  <w:r>
                    <w:rPr>
                      <w:color w:val="auto"/>
                      <w:sz w:val="21"/>
                      <w:szCs w:val="21"/>
                    </w:rPr>
                    <w:t>Cmax(μg/m³)</w:t>
                  </w:r>
                </w:p>
              </w:tc>
              <w:tc>
                <w:tcPr>
                  <w:tcW w:w="1483" w:type="dxa"/>
                  <w:noWrap w:val="0"/>
                  <w:vAlign w:val="center"/>
                </w:tcPr>
                <w:p>
                  <w:pPr>
                    <w:jc w:val="center"/>
                    <w:rPr>
                      <w:color w:val="auto"/>
                      <w:sz w:val="21"/>
                      <w:szCs w:val="21"/>
                    </w:rPr>
                  </w:pPr>
                  <w:r>
                    <w:rPr>
                      <w:color w:val="auto"/>
                      <w:sz w:val="21"/>
                      <w:szCs w:val="21"/>
                    </w:rPr>
                    <w:t>Pmax(%)</w:t>
                  </w:r>
                </w:p>
              </w:tc>
              <w:tc>
                <w:tcPr>
                  <w:tcW w:w="1317" w:type="dxa"/>
                  <w:noWrap w:val="0"/>
                  <w:vAlign w:val="center"/>
                </w:tcPr>
                <w:p>
                  <w:pPr>
                    <w:jc w:val="center"/>
                    <w:rPr>
                      <w:color w:val="auto"/>
                      <w:sz w:val="21"/>
                      <w:szCs w:val="21"/>
                    </w:rPr>
                  </w:pPr>
                  <w:r>
                    <w:rPr>
                      <w:color w:val="auto"/>
                      <w:sz w:val="21"/>
                      <w:szCs w:val="21"/>
                    </w:rPr>
                    <w:t>D10%(m)</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911" w:type="dxa"/>
                  <w:vMerge w:val="restart"/>
                  <w:noWrap w:val="0"/>
                  <w:vAlign w:val="center"/>
                </w:tcPr>
                <w:p>
                  <w:pPr>
                    <w:jc w:val="center"/>
                    <w:rPr>
                      <w:color w:val="auto"/>
                      <w:sz w:val="21"/>
                      <w:szCs w:val="21"/>
                    </w:rPr>
                  </w:pPr>
                  <w:r>
                    <w:rPr>
                      <w:rFonts w:hint="eastAsia"/>
                      <w:color w:val="auto"/>
                      <w:sz w:val="21"/>
                      <w:szCs w:val="21"/>
                    </w:rPr>
                    <w:t>面</w:t>
                  </w:r>
                  <w:r>
                    <w:rPr>
                      <w:color w:val="auto"/>
                      <w:sz w:val="21"/>
                      <w:szCs w:val="21"/>
                    </w:rPr>
                    <w:t>源</w:t>
                  </w:r>
                </w:p>
              </w:tc>
              <w:tc>
                <w:tcPr>
                  <w:tcW w:w="1163" w:type="dxa"/>
                  <w:noWrap w:val="0"/>
                  <w:vAlign w:val="center"/>
                </w:tcPr>
                <w:p>
                  <w:pPr>
                    <w:jc w:val="center"/>
                    <w:rPr>
                      <w:color w:val="auto"/>
                      <w:sz w:val="21"/>
                      <w:szCs w:val="21"/>
                    </w:rPr>
                  </w:pPr>
                  <w:r>
                    <w:rPr>
                      <w:color w:val="auto"/>
                      <w:sz w:val="21"/>
                      <w:szCs w:val="21"/>
                    </w:rPr>
                    <w:t>NH</w:t>
                  </w:r>
                  <w:r>
                    <w:rPr>
                      <w:color w:val="auto"/>
                      <w:sz w:val="21"/>
                      <w:szCs w:val="21"/>
                      <w:vertAlign w:val="subscript"/>
                    </w:rPr>
                    <w:t>3</w:t>
                  </w:r>
                </w:p>
              </w:tc>
              <w:tc>
                <w:tcPr>
                  <w:tcW w:w="1900" w:type="dxa"/>
                  <w:noWrap w:val="0"/>
                  <w:vAlign w:val="center"/>
                </w:tcPr>
                <w:p>
                  <w:pPr>
                    <w:jc w:val="center"/>
                    <w:rPr>
                      <w:color w:val="auto"/>
                      <w:sz w:val="21"/>
                      <w:szCs w:val="21"/>
                    </w:rPr>
                  </w:pPr>
                  <w:r>
                    <w:rPr>
                      <w:color w:val="auto"/>
                      <w:sz w:val="21"/>
                      <w:szCs w:val="21"/>
                    </w:rPr>
                    <w:t>200.0</w:t>
                  </w:r>
                </w:p>
              </w:tc>
              <w:tc>
                <w:tcPr>
                  <w:tcW w:w="2258" w:type="dxa"/>
                  <w:noWrap w:val="0"/>
                  <w:vAlign w:val="center"/>
                </w:tcPr>
                <w:p>
                  <w:pPr>
                    <w:jc w:val="center"/>
                    <w:rPr>
                      <w:b/>
                      <w:bCs/>
                      <w:color w:val="auto"/>
                      <w:sz w:val="21"/>
                      <w:szCs w:val="21"/>
                    </w:rPr>
                  </w:pPr>
                  <w:r>
                    <w:rPr>
                      <w:b/>
                      <w:bCs/>
                      <w:color w:val="auto"/>
                      <w:sz w:val="21"/>
                      <w:szCs w:val="21"/>
                    </w:rPr>
                    <w:t>1.6514</w:t>
                  </w:r>
                </w:p>
              </w:tc>
              <w:tc>
                <w:tcPr>
                  <w:tcW w:w="1483" w:type="dxa"/>
                  <w:noWrap w:val="0"/>
                  <w:vAlign w:val="center"/>
                </w:tcPr>
                <w:p>
                  <w:pPr>
                    <w:jc w:val="center"/>
                    <w:rPr>
                      <w:b/>
                      <w:bCs/>
                      <w:color w:val="auto"/>
                      <w:sz w:val="21"/>
                      <w:szCs w:val="21"/>
                    </w:rPr>
                  </w:pPr>
                  <w:r>
                    <w:rPr>
                      <w:b/>
                      <w:bCs/>
                      <w:color w:val="auto"/>
                      <w:sz w:val="21"/>
                      <w:szCs w:val="21"/>
                    </w:rPr>
                    <w:t>0.8257</w:t>
                  </w:r>
                </w:p>
              </w:tc>
              <w:tc>
                <w:tcPr>
                  <w:tcW w:w="1317" w:type="dxa"/>
                  <w:noWrap w:val="0"/>
                  <w:vAlign w:val="center"/>
                </w:tcPr>
                <w:p>
                  <w:pPr>
                    <w:jc w:val="center"/>
                    <w:rPr>
                      <w:color w:val="auto"/>
                      <w:sz w:val="21"/>
                      <w:szCs w:val="21"/>
                    </w:rPr>
                  </w:pPr>
                  <w:r>
                    <w:rPr>
                      <w:color w:val="auto"/>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911" w:type="dxa"/>
                  <w:vMerge w:val="continue"/>
                  <w:noWrap w:val="0"/>
                  <w:vAlign w:val="center"/>
                </w:tcPr>
                <w:p>
                  <w:pPr>
                    <w:rPr>
                      <w:color w:val="auto"/>
                      <w:sz w:val="21"/>
                      <w:szCs w:val="21"/>
                    </w:rPr>
                  </w:pPr>
                </w:p>
              </w:tc>
              <w:tc>
                <w:tcPr>
                  <w:tcW w:w="1163" w:type="dxa"/>
                  <w:noWrap w:val="0"/>
                  <w:vAlign w:val="center"/>
                </w:tcPr>
                <w:p>
                  <w:pPr>
                    <w:jc w:val="center"/>
                    <w:rPr>
                      <w:color w:val="auto"/>
                      <w:sz w:val="21"/>
                      <w:szCs w:val="21"/>
                    </w:rPr>
                  </w:pPr>
                  <w:r>
                    <w:rPr>
                      <w:color w:val="auto"/>
                      <w:sz w:val="21"/>
                      <w:szCs w:val="21"/>
                    </w:rPr>
                    <w:t>H</w:t>
                  </w:r>
                  <w:r>
                    <w:rPr>
                      <w:color w:val="auto"/>
                      <w:sz w:val="21"/>
                      <w:szCs w:val="21"/>
                      <w:vertAlign w:val="subscript"/>
                    </w:rPr>
                    <w:t>2</w:t>
                  </w:r>
                  <w:r>
                    <w:rPr>
                      <w:color w:val="auto"/>
                      <w:sz w:val="21"/>
                      <w:szCs w:val="21"/>
                    </w:rPr>
                    <w:t>S</w:t>
                  </w:r>
                </w:p>
              </w:tc>
              <w:tc>
                <w:tcPr>
                  <w:tcW w:w="1900" w:type="dxa"/>
                  <w:noWrap w:val="0"/>
                  <w:vAlign w:val="center"/>
                </w:tcPr>
                <w:p>
                  <w:pPr>
                    <w:jc w:val="center"/>
                    <w:rPr>
                      <w:color w:val="auto"/>
                      <w:sz w:val="21"/>
                      <w:szCs w:val="21"/>
                    </w:rPr>
                  </w:pPr>
                  <w:r>
                    <w:rPr>
                      <w:color w:val="auto"/>
                      <w:sz w:val="21"/>
                      <w:szCs w:val="21"/>
                    </w:rPr>
                    <w:t>10.0</w:t>
                  </w:r>
                </w:p>
              </w:tc>
              <w:tc>
                <w:tcPr>
                  <w:tcW w:w="2258" w:type="dxa"/>
                  <w:noWrap w:val="0"/>
                  <w:vAlign w:val="center"/>
                </w:tcPr>
                <w:p>
                  <w:pPr>
                    <w:jc w:val="center"/>
                    <w:rPr>
                      <w:b/>
                      <w:bCs/>
                      <w:color w:val="auto"/>
                      <w:sz w:val="21"/>
                      <w:szCs w:val="21"/>
                    </w:rPr>
                  </w:pPr>
                  <w:r>
                    <w:rPr>
                      <w:b/>
                      <w:bCs/>
                      <w:color w:val="auto"/>
                      <w:sz w:val="21"/>
                      <w:szCs w:val="21"/>
                    </w:rPr>
                    <w:t>0.0307</w:t>
                  </w:r>
                </w:p>
              </w:tc>
              <w:tc>
                <w:tcPr>
                  <w:tcW w:w="1483" w:type="dxa"/>
                  <w:noWrap w:val="0"/>
                  <w:vAlign w:val="center"/>
                </w:tcPr>
                <w:p>
                  <w:pPr>
                    <w:jc w:val="center"/>
                    <w:rPr>
                      <w:b/>
                      <w:bCs/>
                      <w:color w:val="auto"/>
                      <w:sz w:val="21"/>
                      <w:szCs w:val="21"/>
                    </w:rPr>
                  </w:pPr>
                  <w:r>
                    <w:rPr>
                      <w:b/>
                      <w:bCs/>
                      <w:color w:val="auto"/>
                      <w:sz w:val="21"/>
                      <w:szCs w:val="21"/>
                    </w:rPr>
                    <w:t>0.3070</w:t>
                  </w:r>
                </w:p>
              </w:tc>
              <w:tc>
                <w:tcPr>
                  <w:tcW w:w="1317" w:type="dxa"/>
                  <w:noWrap w:val="0"/>
                  <w:vAlign w:val="center"/>
                </w:tcPr>
                <w:p>
                  <w:pPr>
                    <w:jc w:val="center"/>
                    <w:rPr>
                      <w:color w:val="auto"/>
                      <w:sz w:val="21"/>
                      <w:szCs w:val="21"/>
                    </w:rPr>
                  </w:pPr>
                  <w:r>
                    <w:rPr>
                      <w:color w:val="auto"/>
                      <w:sz w:val="21"/>
                      <w:szCs w:val="21"/>
                    </w:rPr>
                    <w:t>/</w:t>
                  </w:r>
                </w:p>
              </w:tc>
            </w:tr>
          </w:tbl>
          <w:p>
            <w:pPr>
              <w:spacing w:line="480" w:lineRule="exact"/>
              <w:ind w:firstLine="480" w:firstLineChars="200"/>
              <w:rPr>
                <w:color w:val="auto"/>
              </w:rPr>
            </w:pPr>
            <w:r>
              <w:rPr>
                <w:color w:val="auto"/>
              </w:rPr>
              <w:t>本项目Pmax最大值出现为</w:t>
            </w:r>
            <w:r>
              <w:rPr>
                <w:rFonts w:hint="eastAsia"/>
                <w:color w:val="auto"/>
              </w:rPr>
              <w:t>面</w:t>
            </w:r>
            <w:r>
              <w:rPr>
                <w:color w:val="auto"/>
              </w:rPr>
              <w:t>源排放的NH</w:t>
            </w:r>
            <w:r>
              <w:rPr>
                <w:color w:val="auto"/>
                <w:vertAlign w:val="subscript"/>
              </w:rPr>
              <w:t>3</w:t>
            </w:r>
            <w:r>
              <w:rPr>
                <w:color w:val="auto"/>
              </w:rPr>
              <w:t>Pmax值为</w:t>
            </w:r>
            <w:r>
              <w:rPr>
                <w:b/>
                <w:bCs/>
                <w:color w:val="auto"/>
              </w:rPr>
              <w:t>0.8257</w:t>
            </w:r>
            <w:r>
              <w:rPr>
                <w:color w:val="auto"/>
              </w:rPr>
              <w:t>%，Cmax为</w:t>
            </w:r>
            <w:r>
              <w:rPr>
                <w:b/>
                <w:bCs/>
                <w:color w:val="auto"/>
              </w:rPr>
              <w:t>1.6514</w:t>
            </w:r>
            <w:r>
              <w:rPr>
                <w:color w:val="auto"/>
              </w:rPr>
              <w:t>μg/m³，根据《环境影响评价技术导则 大气环境》（HJ2.2-2018）分级判据，确定本项目大气环境影响评价工作等级为三级。三级评价不进行进一步分析。</w:t>
            </w:r>
          </w:p>
          <w:p>
            <w:pPr>
              <w:adjustRightInd w:val="0"/>
              <w:snapToGrid w:val="0"/>
              <w:spacing w:line="360" w:lineRule="auto"/>
              <w:ind w:firstLine="480" w:firstLineChars="200"/>
              <w:rPr>
                <w:color w:val="auto"/>
              </w:rPr>
            </w:pPr>
            <w:r>
              <w:rPr>
                <w:color w:val="auto"/>
              </w:rPr>
              <w:t>（7）大气环境防护距离</w:t>
            </w:r>
          </w:p>
          <w:p>
            <w:pPr>
              <w:pStyle w:val="36"/>
              <w:rPr>
                <w:color w:val="auto"/>
              </w:rPr>
            </w:pPr>
            <w:r>
              <w:rPr>
                <w:color w:val="auto"/>
              </w:rPr>
              <w:t>根据《环境影响评价技术导则—大气环境》（HJ2.2-2018）中的要求：对于项目厂界浓度满足大气污染物厂界浓度限值，但厂界外大气污染物短期贡献浓度超过环境质量浓度限值的，可以自厂界向外设置一定范围的大气环境防护距离，以确保大气环境防护区域外的污染物贡献浓度满足环境质量标。</w:t>
            </w:r>
          </w:p>
          <w:p>
            <w:pPr>
              <w:pStyle w:val="36"/>
              <w:rPr>
                <w:color w:val="auto"/>
              </w:rPr>
            </w:pPr>
            <w:r>
              <w:rPr>
                <w:color w:val="auto"/>
              </w:rPr>
              <w:t>通过预测，本项目外排废气无</w:t>
            </w:r>
            <w:r>
              <w:rPr>
                <w:color w:val="auto"/>
                <w:szCs w:val="22"/>
              </w:rPr>
              <w:t>超标点，因此，不需要设置大气环境防护距离。</w:t>
            </w:r>
          </w:p>
          <w:p>
            <w:pPr>
              <w:pStyle w:val="3"/>
              <w:adjustRightInd w:val="0"/>
              <w:snapToGrid w:val="0"/>
              <w:spacing w:line="360" w:lineRule="auto"/>
              <w:ind w:firstLine="482" w:firstLineChars="200"/>
              <w:rPr>
                <w:rFonts w:hint="default" w:ascii="Times New Roman" w:hAnsi="Times New Roman"/>
                <w:b/>
                <w:bCs/>
                <w:color w:val="auto"/>
                <w:kern w:val="2"/>
                <w:szCs w:val="20"/>
              </w:rPr>
            </w:pPr>
            <w:r>
              <w:rPr>
                <w:rFonts w:hint="default" w:ascii="Times New Roman" w:hAnsi="Times New Roman"/>
                <w:b/>
                <w:bCs/>
                <w:color w:val="auto"/>
                <w:kern w:val="2"/>
                <w:szCs w:val="20"/>
              </w:rPr>
              <w:t>2.2地表水环境影响分析及其防治措施</w:t>
            </w:r>
          </w:p>
          <w:p>
            <w:pPr>
              <w:pStyle w:val="36"/>
              <w:rPr>
                <w:color w:val="auto"/>
              </w:rPr>
            </w:pPr>
            <w:r>
              <w:rPr>
                <w:color w:val="auto"/>
              </w:rPr>
              <w:t>根据本项目地表水检测报告，本项目尾水受纳水体官料河水质现状满足Ⅲ类水域标准。本项目为污水处理工程，“化粪池1+一体化污水处理设备”处理规模为60m</w:t>
            </w:r>
            <w:r>
              <w:rPr>
                <w:color w:val="auto"/>
                <w:vertAlign w:val="superscript"/>
              </w:rPr>
              <w:t>3</w:t>
            </w:r>
            <w:r>
              <w:rPr>
                <w:color w:val="auto"/>
              </w:rPr>
              <w:t>/d，收水范围为宜坪乡桐花村东部片区居民生活污水</w:t>
            </w:r>
            <w:r>
              <w:rPr>
                <w:rFonts w:hint="eastAsia"/>
                <w:color w:val="auto"/>
              </w:rPr>
              <w:t>，</w:t>
            </w:r>
            <w:r>
              <w:rPr>
                <w:color w:val="auto"/>
              </w:rPr>
              <w:t>“化粪池2+人工湿地”处理规模为6m</w:t>
            </w:r>
            <w:r>
              <w:rPr>
                <w:color w:val="auto"/>
                <w:vertAlign w:val="superscript"/>
              </w:rPr>
              <w:t>3</w:t>
            </w:r>
            <w:r>
              <w:rPr>
                <w:color w:val="auto"/>
              </w:rPr>
              <w:t>/d，收水范围为宜坪乡桐花村南部片区居民生活污水、“化粪池3+人工湿地”处理规模为10m</w:t>
            </w:r>
            <w:r>
              <w:rPr>
                <w:color w:val="auto"/>
                <w:vertAlign w:val="superscript"/>
              </w:rPr>
              <w:t>3</w:t>
            </w:r>
            <w:r>
              <w:rPr>
                <w:color w:val="auto"/>
              </w:rPr>
              <w:t>/d，收水范围为宜坪乡桐花村西部片区居民生活污水，项目建成将使宜坪乡桐花村居民生活污水处理达标后排放</w:t>
            </w:r>
            <w:r>
              <w:rPr>
                <w:rFonts w:hint="eastAsia"/>
                <w:color w:val="auto"/>
              </w:rPr>
              <w:t>或综合利用</w:t>
            </w:r>
            <w:r>
              <w:rPr>
                <w:color w:val="auto"/>
              </w:rPr>
              <w:t>，能保护和改善项目所在地水环境质量，提高人民生活质量和健康水平，促进经济的可持续发展。本项目的建设有利于改善当地环境现状和保障人民身体健康，同时有利于提升项目所在地整体形象，促进各行各业的有序发展。同时，本项目的建设还将为当地创造了就业机会，有利于提高人民生活水平和构建和谐社会。整体表现为正面影响。</w:t>
            </w:r>
          </w:p>
          <w:p>
            <w:pPr>
              <w:adjustRightInd w:val="0"/>
              <w:snapToGrid w:val="0"/>
              <w:spacing w:line="360" w:lineRule="auto"/>
              <w:ind w:firstLine="482" w:firstLineChars="200"/>
              <w:rPr>
                <w:color w:val="auto"/>
              </w:rPr>
            </w:pPr>
            <w:r>
              <w:rPr>
                <w:b/>
                <w:bCs/>
                <w:color w:val="auto"/>
              </w:rPr>
              <w:t>1.地表水环境影响分析</w:t>
            </w:r>
          </w:p>
          <w:p>
            <w:pPr>
              <w:adjustRightInd w:val="0"/>
              <w:snapToGrid w:val="0"/>
              <w:spacing w:line="360" w:lineRule="auto"/>
              <w:ind w:firstLine="480" w:firstLineChars="200"/>
              <w:rPr>
                <w:color w:val="auto"/>
              </w:rPr>
            </w:pPr>
            <w:r>
              <w:rPr>
                <w:color w:val="auto"/>
              </w:rPr>
              <w:t>本</w:t>
            </w:r>
            <w:r>
              <w:rPr>
                <w:rFonts w:hint="eastAsia"/>
                <w:color w:val="auto"/>
              </w:rPr>
              <w:t>项目一体化设施的</w:t>
            </w:r>
            <w:r>
              <w:rPr>
                <w:color w:val="auto"/>
              </w:rPr>
              <w:t>处理规模为60m</w:t>
            </w:r>
            <w:r>
              <w:rPr>
                <w:color w:val="auto"/>
                <w:vertAlign w:val="superscript"/>
              </w:rPr>
              <w:t>3</w:t>
            </w:r>
            <w:r>
              <w:rPr>
                <w:color w:val="auto"/>
              </w:rPr>
              <w:t>/d，经处理达到四川省《农村生活污水处理设施水污染物排放标准》（DB51/2626-2019）一级标准后排入官料河。</w:t>
            </w:r>
          </w:p>
          <w:p>
            <w:pPr>
              <w:adjustRightInd w:val="0"/>
              <w:snapToGrid w:val="0"/>
              <w:spacing w:line="360" w:lineRule="auto"/>
              <w:ind w:firstLine="480" w:firstLineChars="200"/>
              <w:rPr>
                <w:color w:val="auto"/>
              </w:rPr>
            </w:pPr>
            <w:r>
              <w:rPr>
                <w:color w:val="auto"/>
              </w:rPr>
              <w:t>（1）尾水排放预测分析</w:t>
            </w:r>
          </w:p>
          <w:p>
            <w:pPr>
              <w:widowControl/>
              <w:adjustRightInd w:val="0"/>
              <w:snapToGrid w:val="0"/>
              <w:spacing w:line="360" w:lineRule="auto"/>
              <w:ind w:firstLine="480" w:firstLineChars="200"/>
              <w:jc w:val="left"/>
              <w:rPr>
                <w:color w:val="auto"/>
              </w:rPr>
            </w:pPr>
            <w:r>
              <w:rPr>
                <w:color w:val="auto"/>
                <w:kern w:val="0"/>
                <w:lang w:bidi="ar"/>
              </w:rPr>
              <w:t>本项目受纳水体为官料河，位于污水站南侧。根据《环境影响评价技术导则地表</w:t>
            </w:r>
          </w:p>
          <w:p>
            <w:pPr>
              <w:widowControl/>
              <w:adjustRightInd w:val="0"/>
              <w:snapToGrid w:val="0"/>
              <w:spacing w:line="360" w:lineRule="auto"/>
              <w:jc w:val="left"/>
              <w:rPr>
                <w:color w:val="auto"/>
                <w:kern w:val="0"/>
                <w:lang w:bidi="ar"/>
              </w:rPr>
            </w:pPr>
            <w:r>
              <w:rPr>
                <w:color w:val="auto"/>
                <w:kern w:val="0"/>
                <w:lang w:bidi="ar"/>
              </w:rPr>
              <w:t>水环境》(HJ2.3—2018)，水污染影响型建设项目评价等级判定见下表。</w:t>
            </w:r>
          </w:p>
          <w:p>
            <w:pPr>
              <w:adjustRightInd w:val="0"/>
              <w:snapToGrid w:val="0"/>
              <w:spacing w:line="360" w:lineRule="auto"/>
              <w:jc w:val="center"/>
              <w:rPr>
                <w:rFonts w:eastAsia="黑体"/>
                <w:bCs/>
                <w:color w:val="auto"/>
              </w:rPr>
            </w:pPr>
            <w:r>
              <w:rPr>
                <w:rFonts w:eastAsia="黑体"/>
                <w:bCs/>
                <w:color w:val="auto"/>
              </w:rPr>
              <w:t>表7-15  水污染影响型建设项目评价等级判定</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3"/>
              <w:gridCol w:w="2006"/>
              <w:gridCol w:w="4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vMerge w:val="restart"/>
                  <w:noWrap w:val="0"/>
                  <w:vAlign w:val="center"/>
                </w:tcPr>
                <w:p>
                  <w:pPr>
                    <w:widowControl/>
                    <w:adjustRightInd w:val="0"/>
                    <w:snapToGrid w:val="0"/>
                    <w:jc w:val="center"/>
                    <w:rPr>
                      <w:color w:val="auto"/>
                      <w:kern w:val="0"/>
                      <w:lang w:bidi="ar"/>
                    </w:rPr>
                  </w:pPr>
                  <w:r>
                    <w:rPr>
                      <w:color w:val="auto"/>
                      <w:kern w:val="0"/>
                      <w:sz w:val="21"/>
                      <w:szCs w:val="21"/>
                      <w:lang w:bidi="ar"/>
                    </w:rPr>
                    <w:t>评价等级</w:t>
                  </w:r>
                </w:p>
              </w:tc>
              <w:tc>
                <w:tcPr>
                  <w:tcW w:w="6008" w:type="dxa"/>
                  <w:gridSpan w:val="2"/>
                  <w:noWrap w:val="0"/>
                  <w:vAlign w:val="center"/>
                </w:tcPr>
                <w:p>
                  <w:pPr>
                    <w:widowControl/>
                    <w:adjustRightInd w:val="0"/>
                    <w:snapToGrid w:val="0"/>
                    <w:jc w:val="center"/>
                    <w:rPr>
                      <w:color w:val="auto"/>
                      <w:kern w:val="0"/>
                      <w:lang w:bidi="ar"/>
                    </w:rPr>
                  </w:pPr>
                  <w:r>
                    <w:rPr>
                      <w:color w:val="auto"/>
                      <w:kern w:val="0"/>
                      <w:sz w:val="21"/>
                      <w:szCs w:val="21"/>
                      <w:lang w:bidi="ar"/>
                    </w:rP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vMerge w:val="continue"/>
                  <w:noWrap w:val="0"/>
                  <w:vAlign w:val="center"/>
                </w:tcPr>
                <w:p>
                  <w:pPr>
                    <w:pStyle w:val="2"/>
                    <w:adjustRightInd w:val="0"/>
                    <w:snapToGrid w:val="0"/>
                    <w:spacing w:after="0"/>
                    <w:ind w:left="480" w:firstLine="480"/>
                    <w:jc w:val="center"/>
                    <w:rPr>
                      <w:rFonts w:hint="default" w:ascii="Times New Roman" w:hAnsi="Times New Roman"/>
                      <w:color w:val="auto"/>
                      <w:sz w:val="24"/>
                      <w:lang w:bidi="ar"/>
                    </w:rPr>
                  </w:pPr>
                </w:p>
              </w:tc>
              <w:tc>
                <w:tcPr>
                  <w:tcW w:w="2006" w:type="dxa"/>
                  <w:noWrap w:val="0"/>
                  <w:vAlign w:val="center"/>
                </w:tcPr>
                <w:p>
                  <w:pPr>
                    <w:widowControl/>
                    <w:adjustRightInd w:val="0"/>
                    <w:snapToGrid w:val="0"/>
                    <w:jc w:val="center"/>
                    <w:rPr>
                      <w:color w:val="auto"/>
                      <w:kern w:val="0"/>
                      <w:lang w:bidi="ar"/>
                    </w:rPr>
                  </w:pPr>
                  <w:r>
                    <w:rPr>
                      <w:color w:val="auto"/>
                      <w:kern w:val="0"/>
                      <w:sz w:val="21"/>
                      <w:szCs w:val="21"/>
                      <w:lang w:bidi="ar"/>
                    </w:rPr>
                    <w:t>排放方式</w:t>
                  </w:r>
                </w:p>
              </w:tc>
              <w:tc>
                <w:tcPr>
                  <w:tcW w:w="4002" w:type="dxa"/>
                  <w:noWrap w:val="0"/>
                  <w:vAlign w:val="center"/>
                </w:tcPr>
                <w:p>
                  <w:pPr>
                    <w:widowControl/>
                    <w:adjustRightInd w:val="0"/>
                    <w:snapToGrid w:val="0"/>
                    <w:jc w:val="center"/>
                    <w:rPr>
                      <w:color w:val="auto"/>
                      <w:kern w:val="0"/>
                      <w:lang w:bidi="ar"/>
                    </w:rPr>
                  </w:pPr>
                  <w:r>
                    <w:rPr>
                      <w:color w:val="auto"/>
                      <w:kern w:val="0"/>
                      <w:sz w:val="21"/>
                      <w:szCs w:val="21"/>
                      <w:lang w:bidi="ar"/>
                    </w:rPr>
                    <w:t>废水排放量Q（m</w:t>
                  </w:r>
                  <w:r>
                    <w:rPr>
                      <w:color w:val="auto"/>
                      <w:kern w:val="0"/>
                      <w:sz w:val="21"/>
                      <w:szCs w:val="21"/>
                      <w:vertAlign w:val="superscript"/>
                      <w:lang w:bidi="ar"/>
                    </w:rPr>
                    <w:t>3</w:t>
                  </w:r>
                  <w:r>
                    <w:rPr>
                      <w:color w:val="auto"/>
                      <w:kern w:val="0"/>
                      <w:sz w:val="21"/>
                      <w:szCs w:val="21"/>
                      <w:lang w:bidi="ar"/>
                    </w:rPr>
                    <w:t>/d）；水污染当量W/无量纲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noWrap w:val="0"/>
                  <w:vAlign w:val="center"/>
                </w:tcPr>
                <w:p>
                  <w:pPr>
                    <w:widowControl/>
                    <w:adjustRightInd w:val="0"/>
                    <w:snapToGrid w:val="0"/>
                    <w:jc w:val="center"/>
                    <w:rPr>
                      <w:color w:val="auto"/>
                      <w:kern w:val="0"/>
                      <w:lang w:bidi="ar"/>
                    </w:rPr>
                  </w:pPr>
                  <w:r>
                    <w:rPr>
                      <w:color w:val="auto"/>
                      <w:kern w:val="0"/>
                      <w:sz w:val="21"/>
                      <w:szCs w:val="21"/>
                      <w:lang w:bidi="ar"/>
                    </w:rPr>
                    <w:t>一级</w:t>
                  </w:r>
                </w:p>
              </w:tc>
              <w:tc>
                <w:tcPr>
                  <w:tcW w:w="2006" w:type="dxa"/>
                  <w:noWrap w:val="0"/>
                  <w:vAlign w:val="center"/>
                </w:tcPr>
                <w:p>
                  <w:pPr>
                    <w:widowControl/>
                    <w:adjustRightInd w:val="0"/>
                    <w:snapToGrid w:val="0"/>
                    <w:jc w:val="center"/>
                    <w:rPr>
                      <w:color w:val="auto"/>
                      <w:kern w:val="0"/>
                      <w:lang w:bidi="ar"/>
                    </w:rPr>
                  </w:pPr>
                  <w:r>
                    <w:rPr>
                      <w:color w:val="auto"/>
                      <w:kern w:val="0"/>
                      <w:sz w:val="21"/>
                      <w:szCs w:val="21"/>
                      <w:lang w:bidi="ar"/>
                    </w:rPr>
                    <w:t>直接排放</w:t>
                  </w:r>
                </w:p>
              </w:tc>
              <w:tc>
                <w:tcPr>
                  <w:tcW w:w="4002" w:type="dxa"/>
                  <w:noWrap w:val="0"/>
                  <w:vAlign w:val="center"/>
                </w:tcPr>
                <w:p>
                  <w:pPr>
                    <w:pStyle w:val="2"/>
                    <w:adjustRightInd w:val="0"/>
                    <w:snapToGrid w:val="0"/>
                    <w:spacing w:after="0"/>
                    <w:ind w:left="480"/>
                    <w:rPr>
                      <w:rFonts w:hint="default" w:ascii="Times New Roman" w:hAnsi="Times New Roman"/>
                      <w:color w:val="auto"/>
                      <w:sz w:val="24"/>
                      <w:lang w:bidi="ar"/>
                    </w:rPr>
                  </w:pPr>
                  <w:r>
                    <w:rPr>
                      <w:rFonts w:hint="default" w:ascii="Times New Roman" w:hAnsi="Times New Roman"/>
                      <w:color w:val="auto"/>
                      <w:szCs w:val="21"/>
                      <w:lang w:bidi="ar"/>
                    </w:rPr>
                    <w:t>Q≥20000或W≥600000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noWrap w:val="0"/>
                  <w:vAlign w:val="center"/>
                </w:tcPr>
                <w:p>
                  <w:pPr>
                    <w:widowControl/>
                    <w:adjustRightInd w:val="0"/>
                    <w:snapToGrid w:val="0"/>
                    <w:jc w:val="center"/>
                    <w:rPr>
                      <w:color w:val="auto"/>
                      <w:kern w:val="0"/>
                      <w:lang w:bidi="ar"/>
                    </w:rPr>
                  </w:pPr>
                  <w:r>
                    <w:rPr>
                      <w:color w:val="auto"/>
                      <w:kern w:val="0"/>
                      <w:sz w:val="21"/>
                      <w:szCs w:val="21"/>
                      <w:lang w:bidi="ar"/>
                    </w:rPr>
                    <w:t>二级</w:t>
                  </w:r>
                </w:p>
              </w:tc>
              <w:tc>
                <w:tcPr>
                  <w:tcW w:w="2006" w:type="dxa"/>
                  <w:noWrap w:val="0"/>
                  <w:vAlign w:val="center"/>
                </w:tcPr>
                <w:p>
                  <w:pPr>
                    <w:widowControl/>
                    <w:adjustRightInd w:val="0"/>
                    <w:snapToGrid w:val="0"/>
                    <w:jc w:val="center"/>
                    <w:rPr>
                      <w:color w:val="auto"/>
                      <w:kern w:val="0"/>
                      <w:lang w:bidi="ar"/>
                    </w:rPr>
                  </w:pPr>
                  <w:r>
                    <w:rPr>
                      <w:color w:val="auto"/>
                      <w:kern w:val="0"/>
                      <w:sz w:val="21"/>
                      <w:szCs w:val="21"/>
                      <w:lang w:bidi="ar"/>
                    </w:rPr>
                    <w:t>直接排放</w:t>
                  </w:r>
                </w:p>
              </w:tc>
              <w:tc>
                <w:tcPr>
                  <w:tcW w:w="4002" w:type="dxa"/>
                  <w:noWrap w:val="0"/>
                  <w:vAlign w:val="center"/>
                </w:tcPr>
                <w:p>
                  <w:pPr>
                    <w:widowControl/>
                    <w:adjustRightInd w:val="0"/>
                    <w:snapToGrid w:val="0"/>
                    <w:jc w:val="center"/>
                    <w:rPr>
                      <w:color w:val="auto"/>
                      <w:kern w:val="0"/>
                      <w:lang w:bidi="ar"/>
                    </w:rPr>
                  </w:pPr>
                  <w:r>
                    <w:rPr>
                      <w:color w:val="auto"/>
                      <w:kern w:val="0"/>
                      <w:sz w:val="21"/>
                      <w:szCs w:val="21"/>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noWrap w:val="0"/>
                  <w:vAlign w:val="center"/>
                </w:tcPr>
                <w:p>
                  <w:pPr>
                    <w:widowControl/>
                    <w:adjustRightInd w:val="0"/>
                    <w:snapToGrid w:val="0"/>
                    <w:jc w:val="center"/>
                    <w:rPr>
                      <w:color w:val="auto"/>
                      <w:kern w:val="0"/>
                      <w:lang w:bidi="ar"/>
                    </w:rPr>
                  </w:pPr>
                  <w:r>
                    <w:rPr>
                      <w:color w:val="auto"/>
                      <w:kern w:val="0"/>
                      <w:sz w:val="21"/>
                      <w:szCs w:val="21"/>
                      <w:lang w:bidi="ar"/>
                    </w:rPr>
                    <w:t>三级A</w:t>
                  </w:r>
                </w:p>
              </w:tc>
              <w:tc>
                <w:tcPr>
                  <w:tcW w:w="2006" w:type="dxa"/>
                  <w:noWrap w:val="0"/>
                  <w:vAlign w:val="center"/>
                </w:tcPr>
                <w:p>
                  <w:pPr>
                    <w:widowControl/>
                    <w:adjustRightInd w:val="0"/>
                    <w:snapToGrid w:val="0"/>
                    <w:jc w:val="center"/>
                    <w:rPr>
                      <w:color w:val="auto"/>
                      <w:kern w:val="0"/>
                      <w:lang w:bidi="ar"/>
                    </w:rPr>
                  </w:pPr>
                  <w:r>
                    <w:rPr>
                      <w:color w:val="auto"/>
                      <w:kern w:val="0"/>
                      <w:sz w:val="21"/>
                      <w:szCs w:val="21"/>
                      <w:lang w:bidi="ar"/>
                    </w:rPr>
                    <w:t>直接排放</w:t>
                  </w:r>
                </w:p>
              </w:tc>
              <w:tc>
                <w:tcPr>
                  <w:tcW w:w="4002" w:type="dxa"/>
                  <w:noWrap w:val="0"/>
                  <w:vAlign w:val="center"/>
                </w:tcPr>
                <w:p>
                  <w:pPr>
                    <w:widowControl/>
                    <w:adjustRightInd w:val="0"/>
                    <w:snapToGrid w:val="0"/>
                    <w:jc w:val="center"/>
                    <w:rPr>
                      <w:color w:val="auto"/>
                      <w:kern w:val="0"/>
                      <w:lang w:bidi="ar"/>
                    </w:rPr>
                  </w:pPr>
                  <w:r>
                    <w:rPr>
                      <w:color w:val="auto"/>
                      <w:kern w:val="0"/>
                      <w:sz w:val="21"/>
                      <w:szCs w:val="21"/>
                      <w:lang w:bidi="ar"/>
                    </w:rPr>
                    <w:t>Q&lt;200且W&lt;6000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3" w:type="dxa"/>
                  <w:noWrap w:val="0"/>
                  <w:vAlign w:val="center"/>
                </w:tcPr>
                <w:p>
                  <w:pPr>
                    <w:widowControl/>
                    <w:adjustRightInd w:val="0"/>
                    <w:snapToGrid w:val="0"/>
                    <w:jc w:val="center"/>
                    <w:rPr>
                      <w:color w:val="auto"/>
                      <w:kern w:val="0"/>
                      <w:lang w:bidi="ar"/>
                    </w:rPr>
                  </w:pPr>
                  <w:r>
                    <w:rPr>
                      <w:color w:val="auto"/>
                      <w:kern w:val="0"/>
                      <w:sz w:val="21"/>
                      <w:szCs w:val="21"/>
                      <w:lang w:bidi="ar"/>
                    </w:rPr>
                    <w:t>三级B</w:t>
                  </w:r>
                </w:p>
              </w:tc>
              <w:tc>
                <w:tcPr>
                  <w:tcW w:w="2006" w:type="dxa"/>
                  <w:noWrap w:val="0"/>
                  <w:vAlign w:val="center"/>
                </w:tcPr>
                <w:p>
                  <w:pPr>
                    <w:widowControl/>
                    <w:adjustRightInd w:val="0"/>
                    <w:snapToGrid w:val="0"/>
                    <w:jc w:val="center"/>
                    <w:rPr>
                      <w:color w:val="auto"/>
                      <w:kern w:val="0"/>
                      <w:lang w:bidi="ar"/>
                    </w:rPr>
                  </w:pPr>
                  <w:r>
                    <w:rPr>
                      <w:color w:val="auto"/>
                      <w:kern w:val="0"/>
                      <w:sz w:val="21"/>
                      <w:szCs w:val="21"/>
                      <w:lang w:bidi="ar"/>
                    </w:rPr>
                    <w:t>间接排放</w:t>
                  </w:r>
                </w:p>
              </w:tc>
              <w:tc>
                <w:tcPr>
                  <w:tcW w:w="4002" w:type="dxa"/>
                  <w:noWrap w:val="0"/>
                  <w:vAlign w:val="center"/>
                </w:tcPr>
                <w:p>
                  <w:pPr>
                    <w:widowControl/>
                    <w:adjustRightInd w:val="0"/>
                    <w:snapToGrid w:val="0"/>
                    <w:jc w:val="center"/>
                    <w:rPr>
                      <w:color w:val="auto"/>
                      <w:kern w:val="0"/>
                      <w:lang w:bidi="ar"/>
                    </w:rPr>
                  </w:pPr>
                  <w:r>
                    <w:rPr>
                      <w:color w:val="auto"/>
                      <w:kern w:val="0"/>
                      <w:sz w:val="21"/>
                      <w:szCs w:val="21"/>
                      <w:lang w:bidi="ar"/>
                    </w:rPr>
                    <w:t>——</w:t>
                  </w:r>
                </w:p>
              </w:tc>
            </w:tr>
          </w:tbl>
          <w:p>
            <w:pPr>
              <w:adjustRightInd w:val="0"/>
              <w:snapToGrid w:val="0"/>
              <w:spacing w:line="360" w:lineRule="auto"/>
              <w:ind w:firstLine="480" w:firstLineChars="200"/>
              <w:rPr>
                <w:color w:val="auto"/>
              </w:rPr>
            </w:pPr>
            <w:r>
              <w:rPr>
                <w:color w:val="auto"/>
              </w:rPr>
              <w:t>根据《环境影响评价技术导则地表水环境》(HJ2.3—2018)评价等级判定，因本项目尾水直接排放，Q&lt;200且W&lt;6000，因此，</w:t>
            </w:r>
            <w:r>
              <w:rPr>
                <w:b/>
                <w:bCs/>
                <w:color w:val="auto"/>
              </w:rPr>
              <w:t>本项目地表水环境评价等级为三级A</w:t>
            </w:r>
            <w:r>
              <w:rPr>
                <w:color w:val="auto"/>
              </w:rPr>
              <w:t>，评价时期为枯水期。故水污染物预测如下。</w:t>
            </w:r>
          </w:p>
          <w:p>
            <w:pPr>
              <w:adjustRightInd w:val="0"/>
              <w:snapToGrid w:val="0"/>
              <w:spacing w:line="360" w:lineRule="auto"/>
              <w:ind w:firstLine="480" w:firstLineChars="200"/>
              <w:rPr>
                <w:color w:val="auto"/>
              </w:rPr>
            </w:pPr>
            <w:r>
              <w:rPr>
                <w:color w:val="auto"/>
              </w:rPr>
              <w:t>（2）评价河段水域功能与水质保护目标调查</w:t>
            </w:r>
          </w:p>
          <w:p>
            <w:pPr>
              <w:widowControl/>
              <w:adjustRightInd w:val="0"/>
              <w:snapToGrid w:val="0"/>
              <w:spacing w:line="360" w:lineRule="auto"/>
              <w:ind w:firstLine="480" w:firstLineChars="200"/>
              <w:jc w:val="left"/>
              <w:rPr>
                <w:color w:val="auto"/>
              </w:rPr>
            </w:pPr>
            <w:r>
              <w:rPr>
                <w:color w:val="auto"/>
                <w:kern w:val="0"/>
                <w:lang w:bidi="ar"/>
              </w:rPr>
              <w:t>结合我国河流具体情况，按计算河段的多年平均流量Q将计算河段划分为以下三种类型：</w:t>
            </w:r>
          </w:p>
          <w:p>
            <w:pPr>
              <w:widowControl/>
              <w:adjustRightInd w:val="0"/>
              <w:snapToGrid w:val="0"/>
              <w:spacing w:line="360" w:lineRule="auto"/>
              <w:ind w:firstLine="480" w:firstLineChars="200"/>
              <w:jc w:val="left"/>
              <w:rPr>
                <w:color w:val="auto"/>
              </w:rPr>
            </w:pPr>
            <w:r>
              <w:rPr>
                <w:color w:val="auto"/>
                <w:kern w:val="0"/>
                <w:lang w:bidi="ar"/>
              </w:rPr>
              <w:t>——Q≥150m³/s的为大型河段；</w:t>
            </w:r>
          </w:p>
          <w:p>
            <w:pPr>
              <w:widowControl/>
              <w:adjustRightInd w:val="0"/>
              <w:snapToGrid w:val="0"/>
              <w:spacing w:line="360" w:lineRule="auto"/>
              <w:ind w:firstLine="480" w:firstLineChars="200"/>
              <w:jc w:val="left"/>
              <w:rPr>
                <w:color w:val="auto"/>
              </w:rPr>
            </w:pPr>
            <w:r>
              <w:rPr>
                <w:color w:val="auto"/>
                <w:kern w:val="0"/>
                <w:lang w:bidi="ar"/>
              </w:rPr>
              <w:t>——15m³/s＜Q＜150m³/s的为中型河段；</w:t>
            </w:r>
          </w:p>
          <w:p>
            <w:pPr>
              <w:widowControl/>
              <w:adjustRightInd w:val="0"/>
              <w:snapToGrid w:val="0"/>
              <w:spacing w:line="360" w:lineRule="auto"/>
              <w:ind w:firstLine="480" w:firstLineChars="200"/>
              <w:jc w:val="left"/>
              <w:rPr>
                <w:color w:val="auto"/>
              </w:rPr>
            </w:pPr>
            <w:r>
              <w:rPr>
                <w:color w:val="auto"/>
                <w:kern w:val="0"/>
                <w:lang w:bidi="ar"/>
              </w:rPr>
              <w:t>——Q≤15m³/s的为小型河段。</w:t>
            </w:r>
          </w:p>
          <w:p>
            <w:pPr>
              <w:adjustRightInd w:val="0"/>
              <w:snapToGrid w:val="0"/>
              <w:spacing w:line="360" w:lineRule="auto"/>
              <w:ind w:firstLine="480" w:firstLineChars="200"/>
              <w:rPr>
                <w:color w:val="auto"/>
              </w:rPr>
            </w:pPr>
            <w:r>
              <w:rPr>
                <w:color w:val="auto"/>
              </w:rPr>
              <w:t>根据峨水函[2008]1号《关于杨河水电站水资源论证报告书的批复》，要求下泄生态流量不低于0.42m³/s，</w:t>
            </w:r>
            <w:r>
              <w:rPr>
                <w:color w:val="auto"/>
                <w:kern w:val="0"/>
                <w:lang w:bidi="ar"/>
              </w:rPr>
              <w:t>划定官料河为小型河段，水体功能为行洪和灌溉，不涉及重要水生生物的产卵场、索饵场、越冬场及洄游通道等。本项目排污口下游5km无集中式饮用水源取水点</w:t>
            </w:r>
            <w:r>
              <w:rPr>
                <w:color w:val="auto"/>
              </w:rPr>
              <w:t>。</w:t>
            </w:r>
          </w:p>
          <w:p>
            <w:pPr>
              <w:adjustRightInd w:val="0"/>
              <w:snapToGrid w:val="0"/>
              <w:spacing w:line="360" w:lineRule="auto"/>
              <w:ind w:firstLine="480" w:firstLineChars="200"/>
              <w:rPr>
                <w:color w:val="auto"/>
                <w:lang w:val="en-GB"/>
              </w:rPr>
            </w:pPr>
            <w:r>
              <w:rPr>
                <w:color w:val="auto"/>
                <w:lang w:val="en-GB"/>
              </w:rPr>
              <w:t>（</w:t>
            </w:r>
            <w:r>
              <w:rPr>
                <w:color w:val="auto"/>
              </w:rPr>
              <w:t>3</w:t>
            </w:r>
            <w:r>
              <w:rPr>
                <w:color w:val="auto"/>
                <w:lang w:val="en-GB"/>
              </w:rPr>
              <w:t>）预测参数的选取</w:t>
            </w:r>
          </w:p>
          <w:p>
            <w:pPr>
              <w:widowControl/>
              <w:adjustRightInd w:val="0"/>
              <w:snapToGrid w:val="0"/>
              <w:spacing w:line="360" w:lineRule="auto"/>
              <w:ind w:firstLine="480" w:firstLineChars="200"/>
              <w:jc w:val="left"/>
              <w:rPr>
                <w:color w:val="auto"/>
              </w:rPr>
            </w:pPr>
            <w:r>
              <w:rPr>
                <w:color w:val="auto"/>
                <w:kern w:val="0"/>
                <w:lang w:bidi="ar"/>
              </w:rPr>
              <w:t>①水质降解参数参考值</w:t>
            </w:r>
          </w:p>
          <w:p>
            <w:pPr>
              <w:widowControl/>
              <w:adjustRightInd w:val="0"/>
              <w:snapToGrid w:val="0"/>
              <w:spacing w:line="360" w:lineRule="auto"/>
              <w:ind w:firstLine="480" w:firstLineChars="200"/>
              <w:jc w:val="left"/>
              <w:rPr>
                <w:color w:val="auto"/>
              </w:rPr>
            </w:pPr>
            <w:r>
              <w:rPr>
                <w:color w:val="auto"/>
                <w:kern w:val="0"/>
                <w:lang w:bidi="ar"/>
              </w:rPr>
              <w:t>根据中国环境规划院在《全国地表水水环境容量核定技术复核要点》（2004年）提出的水质降解系数参考值。</w:t>
            </w:r>
          </w:p>
          <w:p>
            <w:pPr>
              <w:adjustRightInd w:val="0"/>
              <w:snapToGrid w:val="0"/>
              <w:spacing w:line="360" w:lineRule="auto"/>
              <w:jc w:val="center"/>
              <w:rPr>
                <w:rFonts w:eastAsia="黑体"/>
                <w:bCs/>
                <w:color w:val="auto"/>
              </w:rPr>
            </w:pPr>
            <w:r>
              <w:rPr>
                <w:rFonts w:eastAsia="黑体"/>
                <w:bCs/>
                <w:color w:val="auto"/>
              </w:rPr>
              <w:t>表7-16  水质降解系数参考值</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802"/>
              <w:gridCol w:w="1802"/>
              <w:gridCol w:w="1802"/>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noWrap w:val="0"/>
                  <w:vAlign w:val="center"/>
                </w:tcPr>
                <w:p>
                  <w:pPr>
                    <w:widowControl/>
                    <w:jc w:val="center"/>
                    <w:rPr>
                      <w:b/>
                      <w:bCs/>
                      <w:color w:val="auto"/>
                      <w:sz w:val="21"/>
                      <w:szCs w:val="21"/>
                      <w:lang w:val="en-GB"/>
                    </w:rPr>
                  </w:pPr>
                  <w:r>
                    <w:rPr>
                      <w:b/>
                      <w:bCs/>
                      <w:color w:val="auto"/>
                      <w:kern w:val="0"/>
                      <w:sz w:val="21"/>
                      <w:szCs w:val="21"/>
                      <w:lang w:bidi="ar"/>
                    </w:rPr>
                    <w:t>水质及生态环境状况</w:t>
                  </w:r>
                </w:p>
              </w:tc>
              <w:tc>
                <w:tcPr>
                  <w:tcW w:w="7209" w:type="dxa"/>
                  <w:gridSpan w:val="4"/>
                  <w:noWrap w:val="0"/>
                  <w:vAlign w:val="center"/>
                </w:tcPr>
                <w:p>
                  <w:pPr>
                    <w:widowControl/>
                    <w:jc w:val="center"/>
                    <w:rPr>
                      <w:b/>
                      <w:bCs/>
                      <w:color w:val="auto"/>
                      <w:sz w:val="21"/>
                      <w:szCs w:val="21"/>
                      <w:lang w:val="en-GB"/>
                    </w:rPr>
                  </w:pPr>
                  <w:r>
                    <w:rPr>
                      <w:b/>
                      <w:bCs/>
                      <w:color w:val="auto"/>
                      <w:kern w:val="0"/>
                      <w:sz w:val="21"/>
                      <w:szCs w:val="21"/>
                      <w:lang w:bidi="ar"/>
                    </w:rPr>
                    <w:t>水质降解系数/d</w:t>
                  </w:r>
                  <w:r>
                    <w:rPr>
                      <w:b/>
                      <w:bCs/>
                      <w:color w:val="auto"/>
                      <w:kern w:val="0"/>
                      <w:sz w:val="21"/>
                      <w:szCs w:val="21"/>
                      <w:vertAlign w:val="superscript"/>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noWrap w:val="0"/>
                  <w:vAlign w:val="center"/>
                </w:tcPr>
                <w:p>
                  <w:pPr>
                    <w:adjustRightInd w:val="0"/>
                    <w:snapToGrid w:val="0"/>
                    <w:spacing w:line="360" w:lineRule="auto"/>
                    <w:jc w:val="center"/>
                    <w:rPr>
                      <w:color w:val="auto"/>
                      <w:sz w:val="21"/>
                      <w:szCs w:val="21"/>
                      <w:lang w:val="en-GB"/>
                    </w:rPr>
                  </w:pPr>
                </w:p>
              </w:tc>
              <w:tc>
                <w:tcPr>
                  <w:tcW w:w="3604" w:type="dxa"/>
                  <w:gridSpan w:val="2"/>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CODcr</w:t>
                  </w:r>
                </w:p>
              </w:tc>
              <w:tc>
                <w:tcPr>
                  <w:tcW w:w="3605" w:type="dxa"/>
                  <w:gridSpan w:val="2"/>
                  <w:noWrap w:val="0"/>
                  <w:vAlign w:val="center"/>
                </w:tcPr>
                <w:p>
                  <w:pPr>
                    <w:widowControl/>
                    <w:jc w:val="center"/>
                    <w:rPr>
                      <w:color w:val="auto"/>
                      <w:sz w:val="21"/>
                      <w:szCs w:val="21"/>
                      <w:lang w:val="en-GB"/>
                    </w:rPr>
                  </w:pPr>
                  <w:r>
                    <w:rPr>
                      <w:color w:val="auto"/>
                      <w:kern w:val="0"/>
                      <w:sz w:val="21"/>
                      <w:szCs w:val="21"/>
                      <w:lang w:bidi="ar"/>
                    </w:rPr>
                    <w:t>NH</w:t>
                  </w:r>
                  <w:r>
                    <w:rPr>
                      <w:color w:val="auto"/>
                      <w:kern w:val="0"/>
                      <w:sz w:val="21"/>
                      <w:szCs w:val="21"/>
                      <w:vertAlign w:val="subscript"/>
                      <w:lang w:bidi="ar"/>
                    </w:rPr>
                    <w:t>3</w:t>
                  </w:r>
                  <w:r>
                    <w:rPr>
                      <w:color w:val="auto"/>
                      <w:kern w:val="0"/>
                      <w:sz w:val="21"/>
                      <w:szCs w:val="21"/>
                      <w:lang w:bidi="ar"/>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noWrap w:val="0"/>
                  <w:vAlign w:val="center"/>
                </w:tcPr>
                <w:p>
                  <w:pPr>
                    <w:adjustRightInd w:val="0"/>
                    <w:snapToGrid w:val="0"/>
                    <w:spacing w:line="360" w:lineRule="auto"/>
                    <w:jc w:val="center"/>
                    <w:rPr>
                      <w:color w:val="auto"/>
                      <w:sz w:val="21"/>
                      <w:szCs w:val="21"/>
                      <w:lang w:val="en-GB"/>
                    </w:rPr>
                  </w:pPr>
                </w:p>
              </w:tc>
              <w:tc>
                <w:tcPr>
                  <w:tcW w:w="1802" w:type="dxa"/>
                  <w:noWrap w:val="0"/>
                  <w:vAlign w:val="center"/>
                </w:tcPr>
                <w:p>
                  <w:pPr>
                    <w:widowControl/>
                    <w:jc w:val="center"/>
                    <w:rPr>
                      <w:color w:val="auto"/>
                      <w:sz w:val="21"/>
                      <w:szCs w:val="21"/>
                      <w:lang w:val="en-GB"/>
                    </w:rPr>
                  </w:pPr>
                  <w:r>
                    <w:rPr>
                      <w:color w:val="auto"/>
                      <w:kern w:val="0"/>
                      <w:sz w:val="21"/>
                      <w:szCs w:val="21"/>
                      <w:lang w:bidi="ar"/>
                    </w:rPr>
                    <w:t>一般河道</w:t>
                  </w:r>
                </w:p>
              </w:tc>
              <w:tc>
                <w:tcPr>
                  <w:tcW w:w="1802" w:type="dxa"/>
                  <w:noWrap w:val="0"/>
                  <w:vAlign w:val="center"/>
                </w:tcPr>
                <w:p>
                  <w:pPr>
                    <w:widowControl/>
                    <w:jc w:val="center"/>
                    <w:rPr>
                      <w:color w:val="auto"/>
                      <w:sz w:val="21"/>
                      <w:szCs w:val="21"/>
                      <w:lang w:val="en-GB"/>
                    </w:rPr>
                  </w:pPr>
                  <w:r>
                    <w:rPr>
                      <w:color w:val="auto"/>
                      <w:kern w:val="0"/>
                      <w:sz w:val="21"/>
                      <w:szCs w:val="21"/>
                      <w:lang w:bidi="ar"/>
                    </w:rPr>
                    <w:t>湖泊水库</w:t>
                  </w:r>
                </w:p>
              </w:tc>
              <w:tc>
                <w:tcPr>
                  <w:tcW w:w="1802" w:type="dxa"/>
                  <w:noWrap w:val="0"/>
                  <w:vAlign w:val="center"/>
                </w:tcPr>
                <w:p>
                  <w:pPr>
                    <w:widowControl/>
                    <w:jc w:val="center"/>
                    <w:rPr>
                      <w:color w:val="auto"/>
                      <w:sz w:val="21"/>
                      <w:szCs w:val="21"/>
                      <w:lang w:val="en-GB"/>
                    </w:rPr>
                  </w:pPr>
                  <w:r>
                    <w:rPr>
                      <w:color w:val="auto"/>
                      <w:kern w:val="0"/>
                      <w:sz w:val="21"/>
                      <w:szCs w:val="21"/>
                      <w:lang w:bidi="ar"/>
                    </w:rPr>
                    <w:t>一般河道</w:t>
                  </w:r>
                </w:p>
              </w:tc>
              <w:tc>
                <w:tcPr>
                  <w:tcW w:w="1803" w:type="dxa"/>
                  <w:noWrap w:val="0"/>
                  <w:vAlign w:val="center"/>
                </w:tcPr>
                <w:p>
                  <w:pPr>
                    <w:widowControl/>
                    <w:jc w:val="center"/>
                    <w:rPr>
                      <w:color w:val="auto"/>
                      <w:sz w:val="21"/>
                      <w:szCs w:val="21"/>
                      <w:lang w:val="en-GB"/>
                    </w:rPr>
                  </w:pPr>
                  <w:r>
                    <w:rPr>
                      <w:color w:val="auto"/>
                      <w:kern w:val="0"/>
                      <w:sz w:val="21"/>
                      <w:szCs w:val="21"/>
                      <w:lang w:bidi="ar"/>
                    </w:rPr>
                    <w:t>湖泊水库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pPr>
                    <w:widowControl/>
                    <w:jc w:val="center"/>
                    <w:rPr>
                      <w:color w:val="auto"/>
                      <w:sz w:val="21"/>
                      <w:szCs w:val="21"/>
                      <w:lang w:val="en-GB"/>
                    </w:rPr>
                  </w:pPr>
                  <w:r>
                    <w:rPr>
                      <w:color w:val="auto"/>
                      <w:kern w:val="0"/>
                      <w:sz w:val="21"/>
                      <w:szCs w:val="21"/>
                      <w:lang w:bidi="ar"/>
                    </w:rPr>
                    <w:t>优（相应水质Ⅱ类~Ⅲ类）</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0.18-0.25</w:t>
                  </w:r>
                </w:p>
              </w:tc>
              <w:tc>
                <w:tcPr>
                  <w:tcW w:w="1802" w:type="dxa"/>
                  <w:noWrap w:val="0"/>
                  <w:vAlign w:val="center"/>
                </w:tcPr>
                <w:p>
                  <w:pPr>
                    <w:widowControl/>
                    <w:jc w:val="center"/>
                    <w:rPr>
                      <w:color w:val="auto"/>
                      <w:sz w:val="21"/>
                      <w:szCs w:val="21"/>
                      <w:lang w:val="en-GB"/>
                    </w:rPr>
                  </w:pPr>
                  <w:r>
                    <w:rPr>
                      <w:color w:val="auto"/>
                      <w:kern w:val="0"/>
                      <w:sz w:val="21"/>
                      <w:szCs w:val="21"/>
                      <w:lang w:bidi="ar"/>
                    </w:rPr>
                    <w:t>0.06-0.10</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0.15-0.20</w:t>
                  </w:r>
                </w:p>
              </w:tc>
              <w:tc>
                <w:tcPr>
                  <w:tcW w:w="1803"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0.06-0.10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pPr>
                    <w:widowControl/>
                    <w:jc w:val="center"/>
                    <w:rPr>
                      <w:color w:val="auto"/>
                      <w:sz w:val="21"/>
                      <w:szCs w:val="21"/>
                      <w:lang w:val="en-GB"/>
                    </w:rPr>
                  </w:pPr>
                  <w:r>
                    <w:rPr>
                      <w:color w:val="auto"/>
                      <w:kern w:val="0"/>
                      <w:sz w:val="21"/>
                      <w:szCs w:val="21"/>
                      <w:lang w:bidi="ar"/>
                    </w:rPr>
                    <w:t>中（相应水质Ⅲ类~Ⅴ类）</w:t>
                  </w:r>
                </w:p>
              </w:tc>
              <w:tc>
                <w:tcPr>
                  <w:tcW w:w="1802" w:type="dxa"/>
                  <w:noWrap w:val="0"/>
                  <w:vAlign w:val="center"/>
                </w:tcPr>
                <w:p>
                  <w:pPr>
                    <w:widowControl/>
                    <w:jc w:val="center"/>
                    <w:rPr>
                      <w:color w:val="auto"/>
                      <w:sz w:val="21"/>
                      <w:szCs w:val="21"/>
                      <w:lang w:val="en-GB"/>
                    </w:rPr>
                  </w:pPr>
                  <w:r>
                    <w:rPr>
                      <w:color w:val="auto"/>
                      <w:kern w:val="0"/>
                      <w:sz w:val="21"/>
                      <w:szCs w:val="21"/>
                      <w:lang w:bidi="ar"/>
                    </w:rPr>
                    <w:t>0.10-0.18</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0.03-0.06</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0.10-0.15</w:t>
                  </w:r>
                </w:p>
              </w:tc>
              <w:tc>
                <w:tcPr>
                  <w:tcW w:w="1803"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0.03-0.06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pPr>
                    <w:widowControl/>
                    <w:jc w:val="center"/>
                    <w:rPr>
                      <w:color w:val="auto"/>
                      <w:sz w:val="21"/>
                      <w:szCs w:val="21"/>
                      <w:lang w:val="en-GB"/>
                    </w:rPr>
                  </w:pPr>
                  <w:r>
                    <w:rPr>
                      <w:color w:val="auto"/>
                      <w:kern w:val="0"/>
                      <w:sz w:val="21"/>
                      <w:szCs w:val="21"/>
                      <w:lang w:bidi="ar"/>
                    </w:rPr>
                    <w:t>劣(相应水质Ⅴ类~劣Ⅴ类）</w:t>
                  </w:r>
                </w:p>
              </w:tc>
              <w:tc>
                <w:tcPr>
                  <w:tcW w:w="1802" w:type="dxa"/>
                  <w:noWrap w:val="0"/>
                  <w:vAlign w:val="center"/>
                </w:tcPr>
                <w:p>
                  <w:pPr>
                    <w:widowControl/>
                    <w:jc w:val="center"/>
                    <w:rPr>
                      <w:color w:val="auto"/>
                      <w:sz w:val="21"/>
                      <w:szCs w:val="21"/>
                      <w:lang w:val="en-GB"/>
                    </w:rPr>
                  </w:pPr>
                  <w:r>
                    <w:rPr>
                      <w:color w:val="auto"/>
                      <w:kern w:val="0"/>
                      <w:sz w:val="21"/>
                      <w:szCs w:val="21"/>
                      <w:lang w:bidi="ar"/>
                    </w:rPr>
                    <w:t>0.05-0.10</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0.01-0.03</w:t>
                  </w:r>
                </w:p>
              </w:tc>
              <w:tc>
                <w:tcPr>
                  <w:tcW w:w="1802"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0.05-0.10</w:t>
                  </w:r>
                </w:p>
              </w:tc>
              <w:tc>
                <w:tcPr>
                  <w:tcW w:w="1803" w:type="dxa"/>
                  <w:noWrap w:val="0"/>
                  <w:vAlign w:val="center"/>
                </w:tcPr>
                <w:p>
                  <w:pPr>
                    <w:adjustRightInd w:val="0"/>
                    <w:snapToGrid w:val="0"/>
                    <w:spacing w:line="360" w:lineRule="auto"/>
                    <w:jc w:val="center"/>
                    <w:rPr>
                      <w:color w:val="auto"/>
                      <w:sz w:val="21"/>
                      <w:szCs w:val="21"/>
                      <w:lang w:val="en-GB"/>
                    </w:rPr>
                  </w:pPr>
                  <w:r>
                    <w:rPr>
                      <w:color w:val="auto"/>
                      <w:kern w:val="0"/>
                      <w:sz w:val="21"/>
                      <w:szCs w:val="21"/>
                      <w:lang w:bidi="ar"/>
                    </w:rPr>
                    <w:t>0.01-0.03</w:t>
                  </w:r>
                </w:p>
              </w:tc>
            </w:tr>
          </w:tbl>
          <w:p>
            <w:pPr>
              <w:widowControl/>
              <w:adjustRightInd w:val="0"/>
              <w:snapToGrid w:val="0"/>
              <w:spacing w:line="360" w:lineRule="auto"/>
              <w:ind w:firstLine="480" w:firstLineChars="200"/>
              <w:jc w:val="left"/>
              <w:rPr>
                <w:color w:val="auto"/>
              </w:rPr>
            </w:pPr>
            <w:r>
              <w:rPr>
                <w:color w:val="auto"/>
                <w:kern w:val="0"/>
                <w:lang w:bidi="ar"/>
              </w:rPr>
              <w:t>由于官料河现状水质为III类，因此，本环评将项目所在河段CODcr水质综合衰减系数K</w:t>
            </w:r>
            <w:r>
              <w:rPr>
                <w:color w:val="auto"/>
                <w:kern w:val="0"/>
                <w:sz w:val="16"/>
                <w:szCs w:val="16"/>
                <w:lang w:bidi="ar"/>
              </w:rPr>
              <w:t>1</w:t>
            </w:r>
            <w:r>
              <w:rPr>
                <w:color w:val="auto"/>
                <w:kern w:val="0"/>
                <w:lang w:bidi="ar"/>
              </w:rPr>
              <w:t>值定为0.20d</w:t>
            </w:r>
            <w:r>
              <w:rPr>
                <w:color w:val="auto"/>
                <w:kern w:val="0"/>
                <w:sz w:val="16"/>
                <w:szCs w:val="16"/>
                <w:vertAlign w:val="superscript"/>
                <w:lang w:bidi="ar"/>
              </w:rPr>
              <w:t>-1</w:t>
            </w:r>
            <w:r>
              <w:rPr>
                <w:color w:val="auto"/>
                <w:kern w:val="0"/>
                <w:lang w:bidi="ar"/>
              </w:rPr>
              <w:t>，氨氮水质综合衰减系数K</w:t>
            </w:r>
            <w:r>
              <w:rPr>
                <w:color w:val="auto"/>
                <w:kern w:val="0"/>
                <w:sz w:val="16"/>
                <w:szCs w:val="16"/>
                <w:lang w:bidi="ar"/>
              </w:rPr>
              <w:t>1</w:t>
            </w:r>
            <w:r>
              <w:rPr>
                <w:color w:val="auto"/>
                <w:kern w:val="0"/>
                <w:lang w:bidi="ar"/>
              </w:rPr>
              <w:t>值定为0.15d</w:t>
            </w:r>
            <w:r>
              <w:rPr>
                <w:color w:val="auto"/>
                <w:kern w:val="0"/>
                <w:vertAlign w:val="superscript"/>
                <w:lang w:bidi="ar"/>
              </w:rPr>
              <w:t>-1</w:t>
            </w:r>
            <w:r>
              <w:rPr>
                <w:color w:val="auto"/>
                <w:kern w:val="0"/>
                <w:lang w:bidi="ar"/>
              </w:rPr>
              <w:t>。</w:t>
            </w:r>
          </w:p>
          <w:p>
            <w:pPr>
              <w:widowControl/>
              <w:adjustRightInd w:val="0"/>
              <w:snapToGrid w:val="0"/>
              <w:spacing w:line="360" w:lineRule="auto"/>
              <w:ind w:firstLine="480" w:firstLineChars="200"/>
              <w:jc w:val="left"/>
              <w:rPr>
                <w:color w:val="auto"/>
              </w:rPr>
            </w:pPr>
            <w:r>
              <w:rPr>
                <w:color w:val="auto"/>
                <w:kern w:val="0"/>
                <w:lang w:bidi="ar"/>
              </w:rPr>
              <w:t>②河流水文及水力学参数</w:t>
            </w:r>
          </w:p>
          <w:p>
            <w:pPr>
              <w:adjustRightInd w:val="0"/>
              <w:snapToGrid w:val="0"/>
              <w:spacing w:line="360" w:lineRule="auto"/>
              <w:jc w:val="center"/>
              <w:rPr>
                <w:rFonts w:eastAsia="黑体"/>
                <w:bCs/>
                <w:color w:val="auto"/>
              </w:rPr>
            </w:pPr>
            <w:r>
              <w:rPr>
                <w:rFonts w:eastAsia="黑体"/>
                <w:bCs/>
                <w:color w:val="auto"/>
              </w:rPr>
              <w:t>表7-17  水文及水力学参数</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1881"/>
              <w:gridCol w:w="1878"/>
              <w:gridCol w:w="1878"/>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493" w:type="dxa"/>
                  <w:noWrap w:val="0"/>
                  <w:vAlign w:val="center"/>
                </w:tcPr>
                <w:p>
                  <w:pPr>
                    <w:widowControl/>
                    <w:jc w:val="center"/>
                    <w:rPr>
                      <w:b/>
                      <w:bCs/>
                      <w:color w:val="auto"/>
                      <w:sz w:val="21"/>
                      <w:szCs w:val="21"/>
                    </w:rPr>
                  </w:pPr>
                  <w:r>
                    <w:rPr>
                      <w:b/>
                      <w:bCs/>
                      <w:color w:val="auto"/>
                      <w:kern w:val="0"/>
                      <w:sz w:val="21"/>
                      <w:szCs w:val="21"/>
                      <w:lang w:bidi="ar"/>
                    </w:rPr>
                    <w:t>类别</w:t>
                  </w:r>
                </w:p>
              </w:tc>
              <w:tc>
                <w:tcPr>
                  <w:tcW w:w="1881" w:type="dxa"/>
                  <w:noWrap w:val="0"/>
                  <w:vAlign w:val="center"/>
                </w:tcPr>
                <w:p>
                  <w:pPr>
                    <w:widowControl/>
                    <w:jc w:val="center"/>
                    <w:rPr>
                      <w:b/>
                      <w:bCs/>
                      <w:color w:val="auto"/>
                      <w:sz w:val="21"/>
                      <w:szCs w:val="21"/>
                    </w:rPr>
                  </w:pPr>
                  <w:r>
                    <w:rPr>
                      <w:b/>
                      <w:bCs/>
                      <w:color w:val="auto"/>
                      <w:kern w:val="0"/>
                      <w:sz w:val="21"/>
                      <w:szCs w:val="21"/>
                      <w:lang w:bidi="ar"/>
                    </w:rPr>
                    <w:t>枯水期流量m</w:t>
                  </w:r>
                  <w:r>
                    <w:rPr>
                      <w:b/>
                      <w:bCs/>
                      <w:color w:val="auto"/>
                      <w:kern w:val="0"/>
                      <w:sz w:val="21"/>
                      <w:szCs w:val="21"/>
                      <w:vertAlign w:val="superscript"/>
                      <w:lang w:bidi="ar"/>
                    </w:rPr>
                    <w:t>3</w:t>
                  </w:r>
                  <w:r>
                    <w:rPr>
                      <w:b/>
                      <w:bCs/>
                      <w:color w:val="auto"/>
                      <w:kern w:val="0"/>
                      <w:sz w:val="21"/>
                      <w:szCs w:val="21"/>
                      <w:lang w:bidi="ar"/>
                    </w:rPr>
                    <w:t>/s</w:t>
                  </w:r>
                </w:p>
              </w:tc>
              <w:tc>
                <w:tcPr>
                  <w:tcW w:w="1878" w:type="dxa"/>
                  <w:noWrap w:val="0"/>
                  <w:vAlign w:val="center"/>
                </w:tcPr>
                <w:p>
                  <w:pPr>
                    <w:widowControl/>
                    <w:jc w:val="center"/>
                    <w:rPr>
                      <w:b/>
                      <w:bCs/>
                      <w:color w:val="auto"/>
                      <w:sz w:val="21"/>
                      <w:szCs w:val="21"/>
                    </w:rPr>
                  </w:pPr>
                  <w:r>
                    <w:rPr>
                      <w:b/>
                      <w:bCs/>
                      <w:color w:val="auto"/>
                      <w:kern w:val="0"/>
                      <w:sz w:val="21"/>
                      <w:szCs w:val="21"/>
                      <w:lang w:bidi="ar"/>
                    </w:rPr>
                    <w:t>平均流速m/s</w:t>
                  </w:r>
                </w:p>
              </w:tc>
              <w:tc>
                <w:tcPr>
                  <w:tcW w:w="1878" w:type="dxa"/>
                  <w:noWrap w:val="0"/>
                  <w:vAlign w:val="center"/>
                </w:tcPr>
                <w:p>
                  <w:pPr>
                    <w:widowControl/>
                    <w:jc w:val="center"/>
                    <w:rPr>
                      <w:b/>
                      <w:bCs/>
                      <w:color w:val="auto"/>
                      <w:sz w:val="21"/>
                      <w:szCs w:val="21"/>
                    </w:rPr>
                  </w:pPr>
                  <w:r>
                    <w:rPr>
                      <w:b/>
                      <w:bCs/>
                      <w:color w:val="auto"/>
                      <w:kern w:val="0"/>
                      <w:sz w:val="21"/>
                      <w:szCs w:val="21"/>
                      <w:lang w:bidi="ar"/>
                    </w:rPr>
                    <w:t>河宽m</w:t>
                  </w:r>
                </w:p>
              </w:tc>
              <w:tc>
                <w:tcPr>
                  <w:tcW w:w="1878" w:type="dxa"/>
                  <w:noWrap w:val="0"/>
                  <w:vAlign w:val="center"/>
                </w:tcPr>
                <w:p>
                  <w:pPr>
                    <w:widowControl/>
                    <w:jc w:val="center"/>
                    <w:rPr>
                      <w:b/>
                      <w:bCs/>
                      <w:color w:val="auto"/>
                      <w:sz w:val="21"/>
                      <w:szCs w:val="21"/>
                    </w:rPr>
                  </w:pPr>
                  <w:r>
                    <w:rPr>
                      <w:b/>
                      <w:bCs/>
                      <w:color w:val="auto"/>
                      <w:kern w:val="0"/>
                      <w:sz w:val="21"/>
                      <w:szCs w:val="21"/>
                      <w:lang w:bidi="ar"/>
                    </w:rPr>
                    <w:t>河深m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3" w:type="dxa"/>
                  <w:noWrap w:val="0"/>
                  <w:vAlign w:val="center"/>
                </w:tcPr>
                <w:p>
                  <w:pPr>
                    <w:pStyle w:val="79"/>
                    <w:rPr>
                      <w:color w:val="auto"/>
                      <w:szCs w:val="21"/>
                    </w:rPr>
                  </w:pPr>
                  <w:r>
                    <w:rPr>
                      <w:color w:val="auto"/>
                      <w:kern w:val="0"/>
                      <w:szCs w:val="21"/>
                      <w:lang w:bidi="ar"/>
                    </w:rPr>
                    <w:t>指标</w:t>
                  </w:r>
                </w:p>
              </w:tc>
              <w:tc>
                <w:tcPr>
                  <w:tcW w:w="1881" w:type="dxa"/>
                  <w:noWrap w:val="0"/>
                  <w:vAlign w:val="center"/>
                </w:tcPr>
                <w:p>
                  <w:pPr>
                    <w:pStyle w:val="79"/>
                    <w:rPr>
                      <w:color w:val="auto"/>
                      <w:szCs w:val="21"/>
                    </w:rPr>
                  </w:pPr>
                  <w:r>
                    <w:rPr>
                      <w:color w:val="auto"/>
                      <w:szCs w:val="21"/>
                    </w:rPr>
                    <w:t>0.42</w:t>
                  </w:r>
                </w:p>
              </w:tc>
              <w:tc>
                <w:tcPr>
                  <w:tcW w:w="1878" w:type="dxa"/>
                  <w:noWrap w:val="0"/>
                  <w:vAlign w:val="center"/>
                </w:tcPr>
                <w:p>
                  <w:pPr>
                    <w:pStyle w:val="79"/>
                    <w:rPr>
                      <w:color w:val="auto"/>
                      <w:szCs w:val="21"/>
                    </w:rPr>
                  </w:pPr>
                  <w:r>
                    <w:rPr>
                      <w:color w:val="auto"/>
                      <w:szCs w:val="21"/>
                    </w:rPr>
                    <w:t>0.044</w:t>
                  </w:r>
                </w:p>
              </w:tc>
              <w:tc>
                <w:tcPr>
                  <w:tcW w:w="1878" w:type="dxa"/>
                  <w:noWrap w:val="0"/>
                  <w:vAlign w:val="center"/>
                </w:tcPr>
                <w:p>
                  <w:pPr>
                    <w:pStyle w:val="79"/>
                    <w:rPr>
                      <w:color w:val="auto"/>
                      <w:szCs w:val="21"/>
                    </w:rPr>
                  </w:pPr>
                  <w:r>
                    <w:rPr>
                      <w:color w:val="auto"/>
                      <w:szCs w:val="21"/>
                    </w:rPr>
                    <w:t>12</w:t>
                  </w:r>
                </w:p>
              </w:tc>
              <w:tc>
                <w:tcPr>
                  <w:tcW w:w="1878" w:type="dxa"/>
                  <w:noWrap w:val="0"/>
                  <w:vAlign w:val="center"/>
                </w:tcPr>
                <w:p>
                  <w:pPr>
                    <w:pStyle w:val="79"/>
                    <w:rPr>
                      <w:color w:val="auto"/>
                      <w:szCs w:val="21"/>
                    </w:rPr>
                  </w:pPr>
                  <w:r>
                    <w:rPr>
                      <w:color w:val="auto"/>
                      <w:szCs w:val="21"/>
                    </w:rPr>
                    <w:t>0.8</w:t>
                  </w:r>
                </w:p>
              </w:tc>
            </w:tr>
          </w:tbl>
          <w:p>
            <w:pPr>
              <w:widowControl/>
              <w:adjustRightInd w:val="0"/>
              <w:snapToGrid w:val="0"/>
              <w:spacing w:line="360" w:lineRule="auto"/>
              <w:ind w:firstLine="480" w:firstLineChars="200"/>
              <w:jc w:val="left"/>
              <w:rPr>
                <w:color w:val="auto"/>
              </w:rPr>
            </w:pPr>
            <w:r>
              <w:rPr>
                <w:color w:val="auto"/>
                <w:kern w:val="0"/>
                <w:lang w:bidi="ar"/>
              </w:rPr>
              <w:t>③预测背景值选择</w:t>
            </w:r>
          </w:p>
          <w:p>
            <w:pPr>
              <w:widowControl/>
              <w:adjustRightInd w:val="0"/>
              <w:snapToGrid w:val="0"/>
              <w:spacing w:line="360" w:lineRule="auto"/>
              <w:ind w:firstLine="480" w:firstLineChars="200"/>
              <w:jc w:val="left"/>
              <w:rPr>
                <w:color w:val="auto"/>
              </w:rPr>
            </w:pPr>
            <w:r>
              <w:rPr>
                <w:color w:val="auto"/>
                <w:kern w:val="0"/>
                <w:lang w:bidi="ar"/>
              </w:rPr>
              <w:t>在选取水质背景值时，应考虑本项目运行后污水经收集进入污水处理站而不是直接</w:t>
            </w:r>
          </w:p>
          <w:p>
            <w:pPr>
              <w:widowControl/>
              <w:adjustRightInd w:val="0"/>
              <w:snapToGrid w:val="0"/>
              <w:spacing w:line="360" w:lineRule="auto"/>
              <w:jc w:val="left"/>
              <w:rPr>
                <w:color w:val="auto"/>
              </w:rPr>
            </w:pPr>
            <w:r>
              <w:rPr>
                <w:color w:val="auto"/>
                <w:kern w:val="0"/>
                <w:lang w:bidi="ar"/>
              </w:rPr>
              <w:t>排入河流的情况。本项目以排污口上游500m处河段现状检测平均值为背景值。</w:t>
            </w:r>
          </w:p>
          <w:p>
            <w:pPr>
              <w:adjustRightInd w:val="0"/>
              <w:snapToGrid w:val="0"/>
              <w:spacing w:line="360" w:lineRule="auto"/>
              <w:jc w:val="center"/>
              <w:rPr>
                <w:rFonts w:eastAsia="黑体"/>
                <w:bCs/>
                <w:color w:val="auto"/>
                <w:sz w:val="21"/>
                <w:szCs w:val="21"/>
              </w:rPr>
            </w:pPr>
            <w:r>
              <w:rPr>
                <w:rFonts w:eastAsia="黑体"/>
                <w:bCs/>
                <w:color w:val="auto"/>
              </w:rPr>
              <w:t>表7-18  污水排放源强及河流污染物浓度</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2"/>
              <w:gridCol w:w="2252"/>
              <w:gridCol w:w="2253"/>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noWrap w:val="0"/>
                  <w:vAlign w:val="center"/>
                </w:tcPr>
                <w:p>
                  <w:pPr>
                    <w:widowControl/>
                    <w:jc w:val="center"/>
                    <w:rPr>
                      <w:b/>
                      <w:bCs/>
                      <w:color w:val="auto"/>
                      <w:sz w:val="21"/>
                      <w:szCs w:val="21"/>
                      <w:lang w:val="en-GB"/>
                    </w:rPr>
                  </w:pPr>
                  <w:r>
                    <w:rPr>
                      <w:b/>
                      <w:bCs/>
                      <w:color w:val="auto"/>
                      <w:kern w:val="0"/>
                      <w:sz w:val="21"/>
                      <w:szCs w:val="21"/>
                      <w:lang w:bidi="ar"/>
                    </w:rPr>
                    <w:t>排放状况</w:t>
                  </w:r>
                </w:p>
              </w:tc>
              <w:tc>
                <w:tcPr>
                  <w:tcW w:w="2252" w:type="dxa"/>
                  <w:noWrap w:val="0"/>
                  <w:vAlign w:val="center"/>
                </w:tcPr>
                <w:p>
                  <w:pPr>
                    <w:widowControl/>
                    <w:jc w:val="center"/>
                    <w:rPr>
                      <w:b/>
                      <w:bCs/>
                      <w:color w:val="auto"/>
                      <w:sz w:val="21"/>
                      <w:szCs w:val="21"/>
                      <w:lang w:val="en-GB"/>
                    </w:rPr>
                  </w:pPr>
                  <w:r>
                    <w:rPr>
                      <w:b/>
                      <w:bCs/>
                      <w:color w:val="auto"/>
                      <w:kern w:val="0"/>
                      <w:sz w:val="21"/>
                      <w:szCs w:val="21"/>
                      <w:lang w:bidi="ar"/>
                    </w:rPr>
                    <w:t>流量m</w:t>
                  </w:r>
                  <w:r>
                    <w:rPr>
                      <w:b/>
                      <w:bCs/>
                      <w:color w:val="auto"/>
                      <w:kern w:val="0"/>
                      <w:sz w:val="21"/>
                      <w:szCs w:val="21"/>
                      <w:vertAlign w:val="superscript"/>
                      <w:lang w:bidi="ar"/>
                    </w:rPr>
                    <w:t>3</w:t>
                  </w:r>
                  <w:r>
                    <w:rPr>
                      <w:b/>
                      <w:bCs/>
                      <w:color w:val="auto"/>
                      <w:kern w:val="0"/>
                      <w:sz w:val="21"/>
                      <w:szCs w:val="21"/>
                      <w:lang w:bidi="ar"/>
                    </w:rPr>
                    <w:t>/s</w:t>
                  </w:r>
                </w:p>
              </w:tc>
              <w:tc>
                <w:tcPr>
                  <w:tcW w:w="2253" w:type="dxa"/>
                  <w:noWrap w:val="0"/>
                  <w:vAlign w:val="center"/>
                </w:tcPr>
                <w:p>
                  <w:pPr>
                    <w:adjustRightInd w:val="0"/>
                    <w:snapToGrid w:val="0"/>
                    <w:jc w:val="center"/>
                    <w:rPr>
                      <w:b/>
                      <w:bCs/>
                      <w:color w:val="auto"/>
                      <w:sz w:val="21"/>
                      <w:szCs w:val="21"/>
                      <w:lang w:val="en-GB"/>
                    </w:rPr>
                  </w:pPr>
                  <w:r>
                    <w:rPr>
                      <w:b/>
                      <w:bCs/>
                      <w:color w:val="auto"/>
                      <w:kern w:val="0"/>
                      <w:sz w:val="21"/>
                      <w:szCs w:val="21"/>
                      <w:lang w:bidi="ar"/>
                    </w:rPr>
                    <w:t>CODmg/L</w:t>
                  </w:r>
                </w:p>
              </w:tc>
              <w:tc>
                <w:tcPr>
                  <w:tcW w:w="2254" w:type="dxa"/>
                  <w:noWrap w:val="0"/>
                  <w:vAlign w:val="center"/>
                </w:tcPr>
                <w:p>
                  <w:pPr>
                    <w:widowControl/>
                    <w:jc w:val="center"/>
                    <w:rPr>
                      <w:b/>
                      <w:bCs/>
                      <w:color w:val="auto"/>
                      <w:sz w:val="21"/>
                      <w:szCs w:val="21"/>
                      <w:lang w:val="en-GB"/>
                    </w:rPr>
                  </w:pPr>
                  <w:r>
                    <w:rPr>
                      <w:b/>
                      <w:bCs/>
                      <w:color w:val="auto"/>
                      <w:kern w:val="0"/>
                      <w:sz w:val="21"/>
                      <w:szCs w:val="21"/>
                      <w:lang w:bidi="ar"/>
                    </w:rPr>
                    <w:t>NH</w:t>
                  </w:r>
                  <w:r>
                    <w:rPr>
                      <w:b/>
                      <w:bCs/>
                      <w:color w:val="auto"/>
                      <w:kern w:val="0"/>
                      <w:sz w:val="21"/>
                      <w:szCs w:val="21"/>
                      <w:vertAlign w:val="subscript"/>
                      <w:lang w:bidi="ar"/>
                    </w:rPr>
                    <w:t>3</w:t>
                  </w:r>
                  <w:r>
                    <w:rPr>
                      <w:b/>
                      <w:bCs/>
                      <w:color w:val="auto"/>
                      <w:kern w:val="0"/>
                      <w:sz w:val="21"/>
                      <w:szCs w:val="21"/>
                      <w:lang w:bidi="ar"/>
                    </w:rPr>
                    <w:t>-Nmg/L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noWrap w:val="0"/>
                  <w:vAlign w:val="center"/>
                </w:tcPr>
                <w:p>
                  <w:pPr>
                    <w:widowControl/>
                    <w:jc w:val="center"/>
                    <w:rPr>
                      <w:color w:val="auto"/>
                      <w:sz w:val="21"/>
                      <w:szCs w:val="21"/>
                      <w:lang w:val="en-GB"/>
                    </w:rPr>
                  </w:pPr>
                  <w:r>
                    <w:rPr>
                      <w:color w:val="auto"/>
                      <w:kern w:val="0"/>
                      <w:sz w:val="21"/>
                      <w:szCs w:val="21"/>
                      <w:lang w:bidi="ar"/>
                    </w:rPr>
                    <w:t>废水正常排放</w:t>
                  </w:r>
                </w:p>
              </w:tc>
              <w:tc>
                <w:tcPr>
                  <w:tcW w:w="2252" w:type="dxa"/>
                  <w:noWrap w:val="0"/>
                  <w:vAlign w:val="center"/>
                </w:tcPr>
                <w:p>
                  <w:pPr>
                    <w:adjustRightInd w:val="0"/>
                    <w:snapToGrid w:val="0"/>
                    <w:jc w:val="center"/>
                    <w:rPr>
                      <w:color w:val="auto"/>
                      <w:sz w:val="21"/>
                      <w:szCs w:val="21"/>
                    </w:rPr>
                  </w:pPr>
                  <w:r>
                    <w:rPr>
                      <w:color w:val="auto"/>
                      <w:sz w:val="21"/>
                      <w:szCs w:val="21"/>
                    </w:rPr>
                    <w:t>0.00069</w:t>
                  </w:r>
                </w:p>
              </w:tc>
              <w:tc>
                <w:tcPr>
                  <w:tcW w:w="2253" w:type="dxa"/>
                  <w:noWrap w:val="0"/>
                  <w:vAlign w:val="center"/>
                </w:tcPr>
                <w:p>
                  <w:pPr>
                    <w:adjustRightInd w:val="0"/>
                    <w:snapToGrid w:val="0"/>
                    <w:jc w:val="center"/>
                    <w:rPr>
                      <w:color w:val="auto"/>
                      <w:sz w:val="21"/>
                      <w:szCs w:val="21"/>
                    </w:rPr>
                  </w:pPr>
                  <w:r>
                    <w:rPr>
                      <w:color w:val="auto"/>
                      <w:sz w:val="21"/>
                      <w:szCs w:val="21"/>
                    </w:rPr>
                    <w:t>50</w:t>
                  </w:r>
                </w:p>
              </w:tc>
              <w:tc>
                <w:tcPr>
                  <w:tcW w:w="2254" w:type="dxa"/>
                  <w:noWrap w:val="0"/>
                  <w:vAlign w:val="center"/>
                </w:tcPr>
                <w:p>
                  <w:pPr>
                    <w:adjustRightInd w:val="0"/>
                    <w:snapToGrid w:val="0"/>
                    <w:jc w:val="center"/>
                    <w:rPr>
                      <w:color w:val="auto"/>
                      <w:sz w:val="21"/>
                      <w:szCs w:val="21"/>
                    </w:rPr>
                  </w:pPr>
                  <w:r>
                    <w:rPr>
                      <w:color w:val="auto"/>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noWrap w:val="0"/>
                  <w:vAlign w:val="center"/>
                </w:tcPr>
                <w:p>
                  <w:pPr>
                    <w:widowControl/>
                    <w:jc w:val="center"/>
                    <w:rPr>
                      <w:color w:val="auto"/>
                      <w:sz w:val="21"/>
                      <w:szCs w:val="21"/>
                      <w:lang w:val="en-GB"/>
                    </w:rPr>
                  </w:pPr>
                  <w:r>
                    <w:rPr>
                      <w:color w:val="auto"/>
                      <w:kern w:val="0"/>
                      <w:sz w:val="21"/>
                      <w:szCs w:val="21"/>
                      <w:lang w:bidi="ar"/>
                    </w:rPr>
                    <w:t>废水事故排放</w:t>
                  </w:r>
                </w:p>
              </w:tc>
              <w:tc>
                <w:tcPr>
                  <w:tcW w:w="2252" w:type="dxa"/>
                  <w:noWrap w:val="0"/>
                  <w:vAlign w:val="center"/>
                </w:tcPr>
                <w:p>
                  <w:pPr>
                    <w:adjustRightInd w:val="0"/>
                    <w:snapToGrid w:val="0"/>
                    <w:jc w:val="center"/>
                    <w:rPr>
                      <w:color w:val="auto"/>
                      <w:sz w:val="21"/>
                      <w:szCs w:val="21"/>
                    </w:rPr>
                  </w:pPr>
                  <w:r>
                    <w:rPr>
                      <w:color w:val="auto"/>
                      <w:sz w:val="21"/>
                      <w:szCs w:val="21"/>
                    </w:rPr>
                    <w:t>0.00069</w:t>
                  </w:r>
                </w:p>
              </w:tc>
              <w:tc>
                <w:tcPr>
                  <w:tcW w:w="2253" w:type="dxa"/>
                  <w:noWrap w:val="0"/>
                  <w:vAlign w:val="center"/>
                </w:tcPr>
                <w:p>
                  <w:pPr>
                    <w:adjustRightInd w:val="0"/>
                    <w:snapToGrid w:val="0"/>
                    <w:jc w:val="center"/>
                    <w:rPr>
                      <w:color w:val="auto"/>
                      <w:sz w:val="21"/>
                      <w:szCs w:val="21"/>
                    </w:rPr>
                  </w:pPr>
                  <w:r>
                    <w:rPr>
                      <w:color w:val="auto"/>
                      <w:sz w:val="21"/>
                      <w:szCs w:val="21"/>
                    </w:rPr>
                    <w:t>300</w:t>
                  </w:r>
                </w:p>
              </w:tc>
              <w:tc>
                <w:tcPr>
                  <w:tcW w:w="2254" w:type="dxa"/>
                  <w:noWrap w:val="0"/>
                  <w:vAlign w:val="center"/>
                </w:tcPr>
                <w:p>
                  <w:pPr>
                    <w:adjustRightInd w:val="0"/>
                    <w:snapToGrid w:val="0"/>
                    <w:jc w:val="center"/>
                    <w:rPr>
                      <w:color w:val="auto"/>
                      <w:sz w:val="21"/>
                      <w:szCs w:val="21"/>
                    </w:rPr>
                  </w:pPr>
                  <w:r>
                    <w:rPr>
                      <w:color w:val="auto"/>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2" w:type="dxa"/>
                  <w:noWrap w:val="0"/>
                  <w:vAlign w:val="center"/>
                </w:tcPr>
                <w:p>
                  <w:pPr>
                    <w:widowControl/>
                    <w:jc w:val="center"/>
                    <w:rPr>
                      <w:color w:val="auto"/>
                      <w:sz w:val="21"/>
                      <w:szCs w:val="21"/>
                      <w:lang w:val="en-GB"/>
                    </w:rPr>
                  </w:pPr>
                  <w:r>
                    <w:rPr>
                      <w:color w:val="auto"/>
                      <w:kern w:val="0"/>
                      <w:sz w:val="21"/>
                      <w:szCs w:val="21"/>
                      <w:lang w:bidi="ar"/>
                    </w:rPr>
                    <w:t>官料河</w:t>
                  </w:r>
                </w:p>
              </w:tc>
              <w:tc>
                <w:tcPr>
                  <w:tcW w:w="2252" w:type="dxa"/>
                  <w:noWrap w:val="0"/>
                  <w:vAlign w:val="center"/>
                </w:tcPr>
                <w:p>
                  <w:pPr>
                    <w:adjustRightInd w:val="0"/>
                    <w:snapToGrid w:val="0"/>
                    <w:jc w:val="center"/>
                    <w:rPr>
                      <w:color w:val="auto"/>
                      <w:sz w:val="21"/>
                      <w:szCs w:val="21"/>
                    </w:rPr>
                  </w:pPr>
                  <w:r>
                    <w:rPr>
                      <w:color w:val="auto"/>
                      <w:sz w:val="21"/>
                      <w:szCs w:val="21"/>
                    </w:rPr>
                    <w:t>0.42</w:t>
                  </w:r>
                </w:p>
              </w:tc>
              <w:tc>
                <w:tcPr>
                  <w:tcW w:w="2253" w:type="dxa"/>
                  <w:noWrap w:val="0"/>
                  <w:vAlign w:val="center"/>
                </w:tcPr>
                <w:p>
                  <w:pPr>
                    <w:adjustRightInd w:val="0"/>
                    <w:snapToGrid w:val="0"/>
                    <w:jc w:val="center"/>
                    <w:rPr>
                      <w:color w:val="auto"/>
                      <w:sz w:val="21"/>
                      <w:szCs w:val="21"/>
                    </w:rPr>
                  </w:pPr>
                  <w:r>
                    <w:rPr>
                      <w:color w:val="auto"/>
                      <w:sz w:val="21"/>
                      <w:szCs w:val="21"/>
                    </w:rPr>
                    <w:t>14</w:t>
                  </w:r>
                </w:p>
              </w:tc>
              <w:tc>
                <w:tcPr>
                  <w:tcW w:w="2254" w:type="dxa"/>
                  <w:noWrap w:val="0"/>
                  <w:vAlign w:val="center"/>
                </w:tcPr>
                <w:p>
                  <w:pPr>
                    <w:adjustRightInd w:val="0"/>
                    <w:snapToGrid w:val="0"/>
                    <w:jc w:val="center"/>
                    <w:rPr>
                      <w:color w:val="auto"/>
                      <w:sz w:val="21"/>
                      <w:szCs w:val="21"/>
                    </w:rPr>
                  </w:pPr>
                  <w:r>
                    <w:rPr>
                      <w:color w:val="auto"/>
                      <w:sz w:val="21"/>
                      <w:szCs w:val="21"/>
                    </w:rPr>
                    <w:t>0.138</w:t>
                  </w:r>
                </w:p>
              </w:tc>
            </w:tr>
          </w:tbl>
          <w:p>
            <w:pPr>
              <w:adjustRightInd w:val="0"/>
              <w:snapToGrid w:val="0"/>
              <w:spacing w:line="360" w:lineRule="auto"/>
              <w:ind w:firstLine="480" w:firstLineChars="200"/>
              <w:rPr>
                <w:color w:val="auto"/>
                <w:lang w:val="en-GB"/>
              </w:rPr>
            </w:pPr>
            <w:r>
              <w:rPr>
                <w:color w:val="auto"/>
                <w:lang w:val="en-GB"/>
              </w:rPr>
              <w:t>（</w:t>
            </w:r>
            <w:r>
              <w:rPr>
                <w:color w:val="auto"/>
              </w:rPr>
              <w:t>4</w:t>
            </w:r>
            <w:r>
              <w:rPr>
                <w:color w:val="auto"/>
                <w:lang w:val="en-GB"/>
              </w:rPr>
              <w:t>）预测结果</w:t>
            </w:r>
          </w:p>
          <w:p>
            <w:pPr>
              <w:tabs>
                <w:tab w:val="left" w:pos="321"/>
              </w:tabs>
              <w:snapToGrid w:val="0"/>
              <w:spacing w:line="360" w:lineRule="auto"/>
              <w:ind w:firstLine="480" w:firstLineChars="200"/>
              <w:jc w:val="left"/>
              <w:rPr>
                <w:color w:val="auto"/>
                <w:kern w:val="0"/>
              </w:rPr>
            </w:pPr>
            <w:r>
              <w:rPr>
                <w:color w:val="auto"/>
                <w:kern w:val="0"/>
              </w:rPr>
              <w:t>①控制断面</w:t>
            </w:r>
          </w:p>
          <w:p>
            <w:pPr>
              <w:snapToGrid w:val="0"/>
              <w:spacing w:line="360" w:lineRule="auto"/>
              <w:ind w:firstLine="480" w:firstLineChars="200"/>
              <w:jc w:val="left"/>
              <w:rPr>
                <w:color w:val="auto"/>
                <w:kern w:val="0"/>
              </w:rPr>
            </w:pPr>
            <w:r>
              <w:rPr>
                <w:color w:val="auto"/>
                <w:kern w:val="0"/>
              </w:rPr>
              <w:t>本项目尾水入河排污口位于官料河右岸。经调查，项目排污口下游5km范围无集中式地表水饮用水源取水口，不涉及饮用水源保护区等敏感区域。预测范围内河段可以分为充分混合段、混合过程段。充分混合段是指污染物浓度在断面上分布均匀的河段，混合过程段是指排放口下游达到充分混合以前的河段。混合过程段长度可由下式进行估算：</w:t>
            </w:r>
          </w:p>
          <w:p>
            <w:pPr>
              <w:snapToGrid w:val="0"/>
              <w:spacing w:line="360" w:lineRule="auto"/>
              <w:jc w:val="center"/>
              <w:rPr>
                <w:color w:val="auto"/>
                <w:kern w:val="0"/>
              </w:rPr>
            </w:pPr>
            <w:r>
              <w:rPr>
                <w:color w:val="auto"/>
                <w:position w:val="-32"/>
              </w:rPr>
              <w:object>
                <v:shape id="_x0000_i1045" o:spt="75" type="#_x0000_t75" style="height:37pt;width:213pt;" o:ole="t" filled="f" o:preferrelative="t" stroked="f" coordsize="21600,21600">
                  <v:path/>
                  <v:fill on="f" focussize="0,0"/>
                  <v:stroke on="f"/>
                  <v:imagedata r:id="rId38" o:title=""/>
                  <o:lock v:ext="edit" aspectratio="t"/>
                  <w10:wrap type="none"/>
                  <w10:anchorlock/>
                </v:shape>
                <o:OLEObject Type="Embed" ProgID="Equation.KSEE3" ShapeID="_x0000_i1045" DrawAspect="Content" ObjectID="_1468075736" r:id="rId37">
                  <o:LockedField>false</o:LockedField>
                </o:OLEObject>
              </w:object>
            </w:r>
          </w:p>
          <w:p>
            <w:pPr>
              <w:snapToGrid w:val="0"/>
              <w:spacing w:line="360" w:lineRule="auto"/>
              <w:ind w:firstLine="480" w:firstLineChars="200"/>
              <w:jc w:val="left"/>
              <w:rPr>
                <w:color w:val="auto"/>
                <w:kern w:val="0"/>
              </w:rPr>
            </w:pPr>
            <w:r>
              <w:rPr>
                <w:color w:val="auto"/>
                <w:kern w:val="0"/>
              </w:rPr>
              <w:t>式中：L</w:t>
            </w:r>
            <w:r>
              <w:rPr>
                <w:color w:val="auto"/>
                <w:kern w:val="0"/>
                <w:vertAlign w:val="subscript"/>
              </w:rPr>
              <w:t>m</w:t>
            </w:r>
            <w:r>
              <w:rPr>
                <w:color w:val="auto"/>
                <w:kern w:val="0"/>
              </w:rPr>
              <w:t>—混合段长度，m；</w:t>
            </w:r>
          </w:p>
          <w:p>
            <w:pPr>
              <w:snapToGrid w:val="0"/>
              <w:spacing w:line="360" w:lineRule="auto"/>
              <w:ind w:firstLine="480" w:firstLineChars="200"/>
              <w:jc w:val="left"/>
              <w:rPr>
                <w:color w:val="auto"/>
                <w:kern w:val="0"/>
              </w:rPr>
            </w:pPr>
            <w:r>
              <w:rPr>
                <w:color w:val="auto"/>
                <w:kern w:val="0"/>
              </w:rPr>
              <w:t>B—水面宽度，m；</w:t>
            </w:r>
          </w:p>
          <w:p>
            <w:pPr>
              <w:snapToGrid w:val="0"/>
              <w:spacing w:line="360" w:lineRule="auto"/>
              <w:ind w:firstLine="480" w:firstLineChars="200"/>
              <w:jc w:val="left"/>
              <w:rPr>
                <w:color w:val="auto"/>
                <w:kern w:val="0"/>
              </w:rPr>
            </w:pPr>
            <w:r>
              <w:rPr>
                <w:color w:val="auto"/>
                <w:kern w:val="0"/>
              </w:rPr>
              <w:t>a—排放口到岸边的距离，m；根据项目污水的排放特点可知，本项目污染源为连续恒定排放的点源，排放方式为岸边排放。因此a=0。</w:t>
            </w:r>
          </w:p>
          <w:p>
            <w:pPr>
              <w:snapToGrid w:val="0"/>
              <w:spacing w:line="360" w:lineRule="auto"/>
              <w:ind w:firstLine="480" w:firstLineChars="200"/>
              <w:jc w:val="left"/>
              <w:rPr>
                <w:color w:val="auto"/>
                <w:kern w:val="0"/>
              </w:rPr>
            </w:pPr>
            <w:r>
              <w:rPr>
                <w:color w:val="auto"/>
                <w:kern w:val="0"/>
              </w:rPr>
              <w:t>u—断面流速，m/s；</w:t>
            </w:r>
          </w:p>
          <w:p>
            <w:pPr>
              <w:snapToGrid w:val="0"/>
              <w:spacing w:line="360" w:lineRule="auto"/>
              <w:ind w:firstLine="480" w:firstLineChars="200"/>
              <w:jc w:val="left"/>
              <w:rPr>
                <w:color w:val="auto"/>
                <w:kern w:val="0"/>
              </w:rPr>
            </w:pPr>
            <w:r>
              <w:rPr>
                <w:color w:val="auto"/>
                <w:kern w:val="0"/>
              </w:rPr>
              <w:t>Ey—污染物横向扩散系数，m</w:t>
            </w:r>
            <w:r>
              <w:rPr>
                <w:color w:val="auto"/>
                <w:kern w:val="0"/>
                <w:vertAlign w:val="superscript"/>
              </w:rPr>
              <w:t>2</w:t>
            </w:r>
            <w:r>
              <w:rPr>
                <w:color w:val="auto"/>
                <w:kern w:val="0"/>
              </w:rPr>
              <w:t>/s。</w:t>
            </w:r>
          </w:p>
          <w:p>
            <w:pPr>
              <w:snapToGrid w:val="0"/>
              <w:spacing w:line="360" w:lineRule="auto"/>
              <w:ind w:firstLine="480" w:firstLineChars="200"/>
              <w:jc w:val="left"/>
              <w:rPr>
                <w:color w:val="auto"/>
                <w:kern w:val="0"/>
              </w:rPr>
            </w:pPr>
            <w:r>
              <w:rPr>
                <w:color w:val="auto"/>
                <w:kern w:val="0"/>
              </w:rPr>
              <w:t>Ey 值采用泰勒法。即</w:t>
            </w:r>
          </w:p>
          <w:p>
            <w:pPr>
              <w:snapToGrid w:val="0"/>
              <w:spacing w:line="360" w:lineRule="auto"/>
              <w:jc w:val="center"/>
              <w:rPr>
                <w:color w:val="auto"/>
                <w:kern w:val="0"/>
              </w:rPr>
            </w:pPr>
            <w:r>
              <w:rPr>
                <w:color w:val="auto"/>
                <w:position w:val="-14"/>
              </w:rPr>
              <w:object>
                <v:shape id="_x0000_i1046" o:spt="75" type="#_x0000_t75" style="height:20pt;width:165pt;" o:ole="t" filled="f" o:preferrelative="t" stroked="f" coordsize="21600,21600">
                  <v:path/>
                  <v:fill on="f" focussize="0,0"/>
                  <v:stroke on="f"/>
                  <v:imagedata r:id="rId40" o:title=""/>
                  <o:lock v:ext="edit" aspectratio="t"/>
                  <w10:wrap type="none"/>
                  <w10:anchorlock/>
                </v:shape>
                <o:OLEObject Type="Embed" ProgID="Equation.KSEE3" ShapeID="_x0000_i1046" DrawAspect="Content" ObjectID="_1468075737" r:id="rId39">
                  <o:LockedField>false</o:LockedField>
                </o:OLEObject>
              </w:object>
            </w:r>
          </w:p>
          <w:p>
            <w:pPr>
              <w:snapToGrid w:val="0"/>
              <w:spacing w:line="360" w:lineRule="auto"/>
              <w:ind w:firstLine="480" w:firstLineChars="200"/>
              <w:jc w:val="left"/>
              <w:rPr>
                <w:color w:val="auto"/>
                <w:kern w:val="0"/>
                <w:vertAlign w:val="superscript"/>
              </w:rPr>
            </w:pPr>
            <w:r>
              <w:rPr>
                <w:color w:val="auto"/>
                <w:kern w:val="0"/>
              </w:rPr>
              <w:t>式中：g—重力加速度，m/s</w:t>
            </w:r>
            <w:r>
              <w:rPr>
                <w:color w:val="auto"/>
                <w:kern w:val="0"/>
                <w:vertAlign w:val="superscript"/>
              </w:rPr>
              <w:t>2</w:t>
            </w:r>
          </w:p>
          <w:p>
            <w:pPr>
              <w:snapToGrid w:val="0"/>
              <w:spacing w:line="360" w:lineRule="auto"/>
              <w:ind w:firstLine="480" w:firstLineChars="200"/>
              <w:jc w:val="left"/>
              <w:rPr>
                <w:color w:val="auto"/>
                <w:kern w:val="0"/>
              </w:rPr>
            </w:pPr>
            <w:r>
              <w:rPr>
                <w:color w:val="auto"/>
                <w:kern w:val="0"/>
              </w:rPr>
              <w:t>I—河流平均比降，m/m</w:t>
            </w:r>
          </w:p>
          <w:p>
            <w:pPr>
              <w:snapToGrid w:val="0"/>
              <w:spacing w:line="360" w:lineRule="auto"/>
              <w:ind w:firstLine="480" w:firstLineChars="200"/>
              <w:jc w:val="left"/>
              <w:rPr>
                <w:color w:val="auto"/>
                <w:kern w:val="0"/>
              </w:rPr>
            </w:pPr>
            <w:r>
              <w:rPr>
                <w:color w:val="auto"/>
                <w:kern w:val="0"/>
              </w:rPr>
              <w:t>H—平均水深，m；</w:t>
            </w:r>
          </w:p>
          <w:p>
            <w:pPr>
              <w:snapToGrid w:val="0"/>
              <w:spacing w:line="360" w:lineRule="auto"/>
              <w:ind w:firstLine="480" w:firstLineChars="200"/>
              <w:jc w:val="left"/>
              <w:rPr>
                <w:color w:val="auto"/>
                <w:kern w:val="0"/>
              </w:rPr>
            </w:pPr>
            <w:r>
              <w:rPr>
                <w:color w:val="auto"/>
                <w:kern w:val="0"/>
              </w:rPr>
              <w:t>B—平均河流宽度，m；</w:t>
            </w:r>
          </w:p>
          <w:p>
            <w:pPr>
              <w:pStyle w:val="72"/>
              <w:spacing w:line="360" w:lineRule="auto"/>
              <w:ind w:firstLine="480" w:firstLineChars="200"/>
              <w:rPr>
                <w:rFonts w:ascii="Times New Roman" w:cs="Times New Roman"/>
                <w:color w:val="auto"/>
              </w:rPr>
            </w:pPr>
            <w:r>
              <w:rPr>
                <w:rFonts w:ascii="Times New Roman" w:cs="Times New Roman"/>
                <w:color w:val="auto"/>
              </w:rPr>
              <w:t>Ey=3.127。</w:t>
            </w:r>
          </w:p>
          <w:p>
            <w:pPr>
              <w:snapToGrid w:val="0"/>
              <w:spacing w:line="360" w:lineRule="auto"/>
              <w:ind w:firstLine="480" w:firstLineChars="200"/>
              <w:jc w:val="left"/>
              <w:rPr>
                <w:color w:val="auto"/>
                <w:kern w:val="0"/>
              </w:rPr>
            </w:pPr>
            <w:r>
              <w:rPr>
                <w:color w:val="auto"/>
                <w:kern w:val="0"/>
              </w:rPr>
              <w:t>经计算，宜坪乡桐花村污水处理站处理后尾水在官料河枯水期的水文条件下，在排污口下游约71.77m处充分混合。</w:t>
            </w:r>
          </w:p>
          <w:p>
            <w:pPr>
              <w:snapToGrid w:val="0"/>
              <w:spacing w:line="360" w:lineRule="auto"/>
              <w:ind w:left="480" w:leftChars="200"/>
              <w:jc w:val="left"/>
              <w:rPr>
                <w:color w:val="auto"/>
                <w:kern w:val="0"/>
              </w:rPr>
            </w:pPr>
            <w:r>
              <w:rPr>
                <w:color w:val="auto"/>
                <w:kern w:val="0"/>
              </w:rPr>
              <w:t>②预测内容及预测因子</w:t>
            </w:r>
          </w:p>
          <w:p>
            <w:pPr>
              <w:snapToGrid w:val="0"/>
              <w:spacing w:line="360" w:lineRule="auto"/>
              <w:ind w:firstLine="480" w:firstLineChars="200"/>
              <w:jc w:val="left"/>
              <w:rPr>
                <w:color w:val="auto"/>
                <w:kern w:val="0"/>
              </w:rPr>
            </w:pPr>
            <w:r>
              <w:rPr>
                <w:color w:val="auto"/>
                <w:kern w:val="0"/>
              </w:rPr>
              <w:t>根据《环境影响评价技术导则总纲》（HJ2.1-2016）和《环境影响评价技术导则  地表水环境》（HJ2.3-2018），结合实际情况，本项目选择CODcr、氨氮作为本次预测因子，预测时段为官料河枯水期，预测内容为项目尾水正常及事故排放对官料河主要水质指标的影响程度。</w:t>
            </w:r>
          </w:p>
          <w:p>
            <w:pPr>
              <w:snapToGrid w:val="0"/>
              <w:spacing w:line="360" w:lineRule="auto"/>
              <w:ind w:left="480" w:leftChars="200"/>
              <w:jc w:val="left"/>
              <w:rPr>
                <w:color w:val="auto"/>
                <w:kern w:val="0"/>
              </w:rPr>
            </w:pPr>
            <w:r>
              <w:rPr>
                <w:color w:val="auto"/>
                <w:kern w:val="0"/>
              </w:rPr>
              <w:t>③预测模式</w:t>
            </w:r>
          </w:p>
          <w:p>
            <w:pPr>
              <w:snapToGrid w:val="0"/>
              <w:spacing w:line="360" w:lineRule="auto"/>
              <w:ind w:firstLine="480" w:firstLineChars="200"/>
              <w:jc w:val="left"/>
              <w:rPr>
                <w:color w:val="auto"/>
                <w:kern w:val="0"/>
              </w:rPr>
            </w:pPr>
            <w:r>
              <w:rPr>
                <w:color w:val="auto"/>
                <w:kern w:val="0"/>
              </w:rPr>
              <w:t>根据《环境影响评价技术导则  地表水环境》（HJ2.3-2018），预测河段及代表性断面的宽深比≥20时，可视为矩形河段；河段弯曲系数＞1.3时，可视为弯曲河段，其余可概化为平直河段。本项目受纳水体三叉河评价河段宽深比大于20，弯曲系数小于1.3，故评价河段可简化为矩形平直河流。</w:t>
            </w:r>
          </w:p>
          <w:p>
            <w:pPr>
              <w:snapToGrid w:val="0"/>
              <w:spacing w:line="360" w:lineRule="auto"/>
              <w:ind w:firstLine="480" w:firstLineChars="200"/>
              <w:jc w:val="left"/>
              <w:rPr>
                <w:color w:val="auto"/>
              </w:rPr>
            </w:pPr>
            <w:r>
              <w:rPr>
                <w:color w:val="auto"/>
                <w:kern w:val="0"/>
              </w:rPr>
              <w:t>根据《环境影响评价技术导则  地表水环境》（HJ2.3-2018）7.6预测模型选择，由于本项目受纳河流属于窄浅平直恒定均匀河流，且尾水连续排放，因此，本项目预测模型采用导则推荐的纵向一维数学模型解析法，其中：</w:t>
            </w:r>
          </w:p>
          <w:p>
            <w:pPr>
              <w:adjustRightInd w:val="0"/>
              <w:snapToGrid w:val="0"/>
              <w:spacing w:line="360" w:lineRule="auto"/>
              <w:jc w:val="center"/>
              <w:rPr>
                <w:color w:val="auto"/>
                <w:lang w:val="en-GB"/>
              </w:rPr>
            </w:pPr>
            <w:r>
              <w:rPr>
                <w:color w:val="auto"/>
                <w:position w:val="-24"/>
                <w:lang w:val="en-GB"/>
              </w:rPr>
              <w:object>
                <v:shape id="_x0000_i1047" o:spt="75" type="#_x0000_t75" style="height:31pt;width:44pt;" o:ole="t" filled="f" o:preferrelative="t" stroked="f" coordsize="21600,21600">
                  <v:path/>
                  <v:fill on="f" focussize="0,0"/>
                  <v:stroke on="f"/>
                  <v:imagedata r:id="rId42" o:title=""/>
                  <o:lock v:ext="edit" aspectratio="t"/>
                  <w10:wrap type="none"/>
                  <w10:anchorlock/>
                </v:shape>
                <o:OLEObject Type="Embed" ProgID="Equation.KSEE3" ShapeID="_x0000_i1047" DrawAspect="Content" ObjectID="_1468075738" r:id="rId41">
                  <o:LockedField>false</o:LockedField>
                </o:OLEObject>
              </w:object>
            </w:r>
          </w:p>
          <w:p>
            <w:pPr>
              <w:pStyle w:val="2"/>
              <w:ind w:left="0" w:leftChars="0" w:firstLine="0" w:firstLineChars="0"/>
              <w:jc w:val="center"/>
              <w:rPr>
                <w:rFonts w:hint="default" w:ascii="Times New Roman" w:hAnsi="Times New Roman"/>
                <w:color w:val="auto"/>
                <w:lang w:val="en-GB"/>
              </w:rPr>
            </w:pPr>
            <w:r>
              <w:rPr>
                <w:rFonts w:hint="default" w:ascii="Times New Roman" w:hAnsi="Times New Roman"/>
                <w:color w:val="auto"/>
                <w:position w:val="-30"/>
                <w:lang w:val="en-GB"/>
              </w:rPr>
              <w:object>
                <v:shape id="_x0000_i1048" o:spt="75" type="#_x0000_t75" style="height:34pt;width:44pt;" o:ole="t" filled="f" o:preferrelative="t" stroked="f" coordsize="21600,21600">
                  <v:path/>
                  <v:fill on="f" focussize="0,0"/>
                  <v:stroke on="f"/>
                  <v:imagedata r:id="rId44" o:title=""/>
                  <o:lock v:ext="edit" aspectratio="t"/>
                  <w10:wrap type="none"/>
                  <w10:anchorlock/>
                </v:shape>
                <o:OLEObject Type="Embed" ProgID="Equation.KSEE3" ShapeID="_x0000_i1048" DrawAspect="Content" ObjectID="_1468075739" r:id="rId43">
                  <o:LockedField>false</o:LockedField>
                </o:OLEObject>
              </w:object>
            </w:r>
          </w:p>
          <w:p>
            <w:pPr>
              <w:pStyle w:val="2"/>
              <w:adjustRightInd w:val="0"/>
              <w:snapToGrid w:val="0"/>
              <w:spacing w:line="360" w:lineRule="auto"/>
              <w:ind w:left="0" w:leftChars="0" w:firstLine="480"/>
              <w:rPr>
                <w:rFonts w:hint="default" w:ascii="Times New Roman" w:hAnsi="Times New Roman"/>
                <w:color w:val="auto"/>
                <w:sz w:val="24"/>
              </w:rPr>
            </w:pPr>
            <w:r>
              <w:rPr>
                <w:rFonts w:hint="default" w:ascii="Times New Roman" w:hAnsi="Times New Roman"/>
                <w:color w:val="auto"/>
                <w:sz w:val="24"/>
              </w:rPr>
              <w:t>经计算，本项目α=0.25，Pe=50，满足0.027≤α≥280的要求，因此，采用对流扩散降解模型，公式如下：</w:t>
            </w:r>
          </w:p>
          <w:p>
            <w:pPr>
              <w:pStyle w:val="2"/>
              <w:ind w:left="480"/>
              <w:jc w:val="center"/>
              <w:rPr>
                <w:rFonts w:hint="default" w:ascii="Times New Roman" w:hAnsi="Times New Roman"/>
                <w:color w:val="auto"/>
              </w:rPr>
            </w:pPr>
            <w:r>
              <w:rPr>
                <w:rFonts w:hint="default" w:ascii="Times New Roman" w:hAnsi="Times New Roman"/>
                <w:color w:val="auto"/>
                <w:position w:val="-30"/>
              </w:rPr>
              <w:object>
                <v:shape id="_x0000_i1049" o:spt="75" type="#_x0000_t75" style="height:34pt;width:204.95pt;" o:ole="t" filled="f" o:preferrelative="t" stroked="f" coordsize="21600,21600">
                  <v:path/>
                  <v:fill on="f" focussize="0,0"/>
                  <v:stroke on="f"/>
                  <v:imagedata r:id="rId46" o:title=""/>
                  <o:lock v:ext="edit" aspectratio="t"/>
                  <w10:wrap type="none"/>
                  <w10:anchorlock/>
                </v:shape>
                <o:OLEObject Type="Embed" ProgID="Equation.KSEE3" ShapeID="_x0000_i1049" DrawAspect="Content" ObjectID="_1468075740" r:id="rId45">
                  <o:LockedField>false</o:LockedField>
                </o:OLEObject>
              </w:object>
            </w:r>
          </w:p>
          <w:p>
            <w:pPr>
              <w:adjustRightInd w:val="0"/>
              <w:snapToGrid w:val="0"/>
              <w:spacing w:line="360" w:lineRule="auto"/>
              <w:ind w:firstLine="480" w:firstLineChars="200"/>
              <w:rPr>
                <w:color w:val="auto"/>
                <w:lang w:val="en-GB"/>
              </w:rPr>
            </w:pPr>
            <w:r>
              <w:rPr>
                <w:color w:val="auto"/>
                <w:lang w:val="en-GB"/>
              </w:rPr>
              <w:t>式中：</w:t>
            </w:r>
            <w:r>
              <w:rPr>
                <w:color w:val="auto"/>
              </w:rPr>
              <w:t>C</w:t>
            </w:r>
            <w:r>
              <w:rPr>
                <w:color w:val="auto"/>
                <w:lang w:val="en-GB"/>
              </w:rPr>
              <w:t>——污染物浓度，mg/L；</w:t>
            </w:r>
          </w:p>
          <w:p>
            <w:pPr>
              <w:adjustRightInd w:val="0"/>
              <w:snapToGrid w:val="0"/>
              <w:spacing w:line="360" w:lineRule="auto"/>
              <w:ind w:firstLine="480" w:firstLineChars="200"/>
              <w:rPr>
                <w:color w:val="auto"/>
                <w:lang w:val="en-GB"/>
              </w:rPr>
            </w:pPr>
            <w:r>
              <w:rPr>
                <w:color w:val="auto"/>
              </w:rPr>
              <w:t xml:space="preserve">      k</w:t>
            </w:r>
            <w:r>
              <w:rPr>
                <w:color w:val="auto"/>
                <w:lang w:val="en-GB"/>
              </w:rPr>
              <w:t>——</w:t>
            </w:r>
            <w:r>
              <w:rPr>
                <w:color w:val="auto"/>
              </w:rPr>
              <w:t>污染物综合衰减系数</w:t>
            </w:r>
            <w:r>
              <w:rPr>
                <w:color w:val="auto"/>
                <w:lang w:val="en-GB"/>
              </w:rPr>
              <w:t>，</w:t>
            </w:r>
            <w:r>
              <w:rPr>
                <w:color w:val="auto"/>
              </w:rPr>
              <w:t>1</w:t>
            </w:r>
            <w:r>
              <w:rPr>
                <w:color w:val="auto"/>
                <w:lang w:val="en-GB"/>
              </w:rPr>
              <w:t>/</w:t>
            </w:r>
            <w:r>
              <w:rPr>
                <w:color w:val="auto"/>
              </w:rPr>
              <w:t>s</w:t>
            </w:r>
            <w:r>
              <w:rPr>
                <w:color w:val="auto"/>
                <w:lang w:val="en-GB"/>
              </w:rPr>
              <w:t>；</w:t>
            </w:r>
          </w:p>
          <w:p>
            <w:pPr>
              <w:adjustRightInd w:val="0"/>
              <w:snapToGrid w:val="0"/>
              <w:spacing w:line="360" w:lineRule="auto"/>
              <w:ind w:firstLine="480" w:firstLineChars="200"/>
              <w:rPr>
                <w:color w:val="auto"/>
                <w:lang w:val="en-GB"/>
              </w:rPr>
            </w:pPr>
            <w:r>
              <w:rPr>
                <w:color w:val="auto"/>
              </w:rPr>
              <w:t xml:space="preserve">      x</w:t>
            </w:r>
            <w:r>
              <w:rPr>
                <w:color w:val="auto"/>
                <w:lang w:val="en-GB"/>
              </w:rPr>
              <w:t>——</w:t>
            </w:r>
            <w:r>
              <w:rPr>
                <w:color w:val="auto"/>
              </w:rPr>
              <w:t>笛卡尔坐标系x向的坐标</w:t>
            </w:r>
            <w:r>
              <w:rPr>
                <w:color w:val="auto"/>
                <w:lang w:val="en-GB"/>
              </w:rPr>
              <w:t>，m；</w:t>
            </w:r>
          </w:p>
          <w:p>
            <w:pPr>
              <w:adjustRightInd w:val="0"/>
              <w:snapToGrid w:val="0"/>
              <w:spacing w:line="360" w:lineRule="auto"/>
              <w:ind w:firstLine="480" w:firstLineChars="200"/>
              <w:rPr>
                <w:color w:val="auto"/>
                <w:lang w:val="en-GB"/>
              </w:rPr>
            </w:pPr>
            <w:r>
              <w:rPr>
                <w:color w:val="auto"/>
              </w:rPr>
              <w:t xml:space="preserve">      E</w:t>
            </w:r>
            <w:r>
              <w:rPr>
                <w:color w:val="auto"/>
                <w:vertAlign w:val="subscript"/>
              </w:rPr>
              <w:t>x</w:t>
            </w:r>
            <w:r>
              <w:rPr>
                <w:color w:val="auto"/>
                <w:lang w:val="en-GB"/>
              </w:rPr>
              <w:t>——</w:t>
            </w:r>
            <w:r>
              <w:rPr>
                <w:color w:val="auto"/>
                <w:kern w:val="0"/>
              </w:rPr>
              <w:t>污染物纵向扩散系数，m</w:t>
            </w:r>
            <w:r>
              <w:rPr>
                <w:color w:val="auto"/>
                <w:kern w:val="0"/>
                <w:vertAlign w:val="superscript"/>
              </w:rPr>
              <w:t>2</w:t>
            </w:r>
            <w:r>
              <w:rPr>
                <w:color w:val="auto"/>
                <w:kern w:val="0"/>
              </w:rPr>
              <w:t>/s</w:t>
            </w:r>
            <w:r>
              <w:rPr>
                <w:color w:val="auto"/>
                <w:lang w:val="en-GB"/>
              </w:rPr>
              <w:t>；</w:t>
            </w:r>
          </w:p>
          <w:p>
            <w:pPr>
              <w:snapToGrid w:val="0"/>
              <w:spacing w:line="360" w:lineRule="auto"/>
              <w:ind w:firstLine="480" w:firstLineChars="200"/>
              <w:rPr>
                <w:color w:val="auto"/>
                <w:kern w:val="0"/>
              </w:rPr>
            </w:pPr>
            <w:r>
              <w:rPr>
                <w:color w:val="auto"/>
                <w:kern w:val="0"/>
              </w:rPr>
              <w:t>（4）预测情景</w:t>
            </w:r>
          </w:p>
          <w:p>
            <w:pPr>
              <w:snapToGrid w:val="0"/>
              <w:spacing w:line="360" w:lineRule="auto"/>
              <w:ind w:firstLine="480" w:firstLineChars="200"/>
              <w:rPr>
                <w:color w:val="auto"/>
                <w:kern w:val="0"/>
              </w:rPr>
            </w:pPr>
            <w:r>
              <w:rPr>
                <w:color w:val="auto"/>
                <w:kern w:val="0"/>
              </w:rPr>
              <w:t>在本次影响预测中主要预测2种情景：</w:t>
            </w:r>
          </w:p>
          <w:p>
            <w:pPr>
              <w:snapToGrid w:val="0"/>
              <w:spacing w:line="360" w:lineRule="auto"/>
              <w:ind w:firstLine="480" w:firstLineChars="200"/>
              <w:rPr>
                <w:color w:val="auto"/>
                <w:kern w:val="0"/>
              </w:rPr>
            </w:pPr>
            <w:r>
              <w:rPr>
                <w:color w:val="auto"/>
                <w:kern w:val="0"/>
              </w:rPr>
              <w:t>①本项目正常运行，尾水排放量以60m</w:t>
            </w:r>
            <w:r>
              <w:rPr>
                <w:color w:val="auto"/>
                <w:kern w:val="0"/>
                <w:vertAlign w:val="superscript"/>
              </w:rPr>
              <w:t>3</w:t>
            </w:r>
            <w:r>
              <w:rPr>
                <w:color w:val="auto"/>
                <w:kern w:val="0"/>
              </w:rPr>
              <w:t>/d计，折</w:t>
            </w:r>
            <w:r>
              <w:rPr>
                <w:color w:val="auto"/>
              </w:rPr>
              <w:t>0.00069</w:t>
            </w:r>
            <w:r>
              <w:rPr>
                <w:color w:val="auto"/>
                <w:kern w:val="0"/>
              </w:rPr>
              <w:t>m</w:t>
            </w:r>
            <w:r>
              <w:rPr>
                <w:color w:val="auto"/>
                <w:kern w:val="0"/>
                <w:vertAlign w:val="superscript"/>
              </w:rPr>
              <w:t>3</w:t>
            </w:r>
            <w:r>
              <w:rPr>
                <w:color w:val="auto"/>
                <w:kern w:val="0"/>
              </w:rPr>
              <w:t>/s，对官料河水质的影响；</w:t>
            </w:r>
          </w:p>
          <w:p>
            <w:pPr>
              <w:snapToGrid w:val="0"/>
              <w:spacing w:line="360" w:lineRule="auto"/>
              <w:ind w:firstLine="480" w:firstLineChars="200"/>
              <w:rPr>
                <w:color w:val="auto"/>
                <w:kern w:val="0"/>
              </w:rPr>
            </w:pPr>
            <w:r>
              <w:rPr>
                <w:color w:val="auto"/>
                <w:kern w:val="0"/>
              </w:rPr>
              <w:t>②本项目非正常运行（尾水排放量以60m</w:t>
            </w:r>
            <w:r>
              <w:rPr>
                <w:color w:val="auto"/>
                <w:kern w:val="0"/>
                <w:vertAlign w:val="superscript"/>
              </w:rPr>
              <w:t>3</w:t>
            </w:r>
            <w:r>
              <w:rPr>
                <w:color w:val="auto"/>
                <w:kern w:val="0"/>
              </w:rPr>
              <w:t>/d计），污水处理设施完全故障，即废水不经处理直接排入官料河，对官料河水质的影响。项目最终排入官料河的水量为60m</w:t>
            </w:r>
            <w:r>
              <w:rPr>
                <w:color w:val="auto"/>
                <w:kern w:val="0"/>
                <w:vertAlign w:val="superscript"/>
              </w:rPr>
              <w:t>3</w:t>
            </w:r>
            <w:r>
              <w:rPr>
                <w:color w:val="auto"/>
                <w:kern w:val="0"/>
              </w:rPr>
              <w:t>/d，折</w:t>
            </w:r>
            <w:r>
              <w:rPr>
                <w:color w:val="auto"/>
              </w:rPr>
              <w:t>0.00069</w:t>
            </w:r>
            <w:r>
              <w:rPr>
                <w:color w:val="auto"/>
                <w:kern w:val="0"/>
              </w:rPr>
              <w:t>m</w:t>
            </w:r>
            <w:r>
              <w:rPr>
                <w:color w:val="auto"/>
                <w:kern w:val="0"/>
                <w:vertAlign w:val="superscript"/>
              </w:rPr>
              <w:t>3</w:t>
            </w:r>
            <w:r>
              <w:rPr>
                <w:color w:val="auto"/>
                <w:kern w:val="0"/>
              </w:rPr>
              <w:t>/s。</w:t>
            </w:r>
          </w:p>
          <w:p>
            <w:pPr>
              <w:snapToGrid w:val="0"/>
              <w:spacing w:line="360" w:lineRule="auto"/>
              <w:ind w:firstLine="480" w:firstLineChars="200"/>
              <w:rPr>
                <w:color w:val="auto"/>
                <w:kern w:val="0"/>
              </w:rPr>
            </w:pPr>
            <w:r>
              <w:rPr>
                <w:color w:val="auto"/>
                <w:kern w:val="0"/>
              </w:rPr>
              <w:t>本项目尾水排放情况见下表。</w:t>
            </w:r>
          </w:p>
          <w:p>
            <w:pPr>
              <w:adjustRightInd w:val="0"/>
              <w:snapToGrid w:val="0"/>
              <w:spacing w:line="360" w:lineRule="auto"/>
              <w:jc w:val="center"/>
              <w:rPr>
                <w:rFonts w:eastAsia="黑体"/>
                <w:bCs/>
                <w:color w:val="auto"/>
              </w:rPr>
            </w:pPr>
            <w:r>
              <w:rPr>
                <w:rFonts w:eastAsia="黑体"/>
                <w:bCs/>
                <w:color w:val="auto"/>
              </w:rPr>
              <w:t>表7-19 污水处理站预测情景设置</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
              <w:gridCol w:w="2175"/>
              <w:gridCol w:w="899"/>
              <w:gridCol w:w="1274"/>
              <w:gridCol w:w="1566"/>
              <w:gridCol w:w="1235"/>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9" w:type="dxa"/>
                  <w:gridSpan w:val="2"/>
                  <w:vMerge w:val="restart"/>
                  <w:noWrap w:val="0"/>
                  <w:vAlign w:val="center"/>
                </w:tcPr>
                <w:p>
                  <w:pPr>
                    <w:snapToGrid w:val="0"/>
                    <w:jc w:val="center"/>
                    <w:rPr>
                      <w:color w:val="auto"/>
                      <w:kern w:val="0"/>
                      <w:sz w:val="21"/>
                      <w:szCs w:val="21"/>
                    </w:rPr>
                  </w:pPr>
                  <w:r>
                    <w:rPr>
                      <w:color w:val="auto"/>
                      <w:kern w:val="0"/>
                      <w:sz w:val="21"/>
                      <w:szCs w:val="21"/>
                    </w:rPr>
                    <w:t>预测情景</w:t>
                  </w:r>
                </w:p>
              </w:tc>
              <w:tc>
                <w:tcPr>
                  <w:tcW w:w="899" w:type="dxa"/>
                  <w:noWrap w:val="0"/>
                  <w:vAlign w:val="center"/>
                </w:tcPr>
                <w:p>
                  <w:pPr>
                    <w:snapToGrid w:val="0"/>
                    <w:jc w:val="center"/>
                    <w:rPr>
                      <w:color w:val="auto"/>
                      <w:kern w:val="0"/>
                      <w:sz w:val="21"/>
                      <w:szCs w:val="21"/>
                    </w:rPr>
                  </w:pPr>
                  <w:r>
                    <w:rPr>
                      <w:color w:val="auto"/>
                      <w:kern w:val="0"/>
                      <w:sz w:val="21"/>
                      <w:szCs w:val="21"/>
                    </w:rPr>
                    <w:t>废水量</w:t>
                  </w:r>
                </w:p>
              </w:tc>
              <w:tc>
                <w:tcPr>
                  <w:tcW w:w="5632" w:type="dxa"/>
                  <w:gridSpan w:val="4"/>
                  <w:noWrap w:val="0"/>
                  <w:vAlign w:val="center"/>
                </w:tcPr>
                <w:p>
                  <w:pPr>
                    <w:snapToGrid w:val="0"/>
                    <w:jc w:val="center"/>
                    <w:rPr>
                      <w:color w:val="auto"/>
                      <w:kern w:val="0"/>
                      <w:sz w:val="21"/>
                      <w:szCs w:val="21"/>
                    </w:rPr>
                  </w:pPr>
                  <w:r>
                    <w:rPr>
                      <w:color w:val="auto"/>
                      <w:kern w:val="0"/>
                      <w:sz w:val="21"/>
                      <w:szCs w:val="21"/>
                    </w:rPr>
                    <w:t>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9" w:type="dxa"/>
                  <w:gridSpan w:val="2"/>
                  <w:vMerge w:val="continue"/>
                  <w:noWrap w:val="0"/>
                  <w:vAlign w:val="center"/>
                </w:tcPr>
                <w:p>
                  <w:pPr>
                    <w:snapToGrid w:val="0"/>
                    <w:jc w:val="center"/>
                    <w:rPr>
                      <w:color w:val="auto"/>
                      <w:kern w:val="0"/>
                      <w:sz w:val="21"/>
                      <w:szCs w:val="21"/>
                    </w:rPr>
                  </w:pPr>
                </w:p>
              </w:tc>
              <w:tc>
                <w:tcPr>
                  <w:tcW w:w="899" w:type="dxa"/>
                  <w:vMerge w:val="restart"/>
                  <w:noWrap w:val="0"/>
                  <w:vAlign w:val="center"/>
                </w:tcPr>
                <w:p>
                  <w:pPr>
                    <w:snapToGrid w:val="0"/>
                    <w:jc w:val="center"/>
                    <w:rPr>
                      <w:color w:val="auto"/>
                      <w:kern w:val="0"/>
                      <w:sz w:val="21"/>
                      <w:szCs w:val="21"/>
                    </w:rPr>
                  </w:pPr>
                  <w:r>
                    <w:rPr>
                      <w:color w:val="auto"/>
                      <w:kern w:val="0"/>
                      <w:sz w:val="21"/>
                      <w:szCs w:val="21"/>
                    </w:rPr>
                    <w:t>m</w:t>
                  </w:r>
                  <w:r>
                    <w:rPr>
                      <w:color w:val="auto"/>
                      <w:kern w:val="0"/>
                      <w:sz w:val="21"/>
                      <w:szCs w:val="21"/>
                      <w:vertAlign w:val="superscript"/>
                    </w:rPr>
                    <w:t>3</w:t>
                  </w:r>
                  <w:r>
                    <w:rPr>
                      <w:color w:val="auto"/>
                      <w:kern w:val="0"/>
                      <w:sz w:val="21"/>
                      <w:szCs w:val="21"/>
                    </w:rPr>
                    <w:t>/s</w:t>
                  </w:r>
                </w:p>
              </w:tc>
              <w:tc>
                <w:tcPr>
                  <w:tcW w:w="2840" w:type="dxa"/>
                  <w:gridSpan w:val="2"/>
                  <w:noWrap w:val="0"/>
                  <w:vAlign w:val="center"/>
                </w:tcPr>
                <w:p>
                  <w:pPr>
                    <w:snapToGrid w:val="0"/>
                    <w:jc w:val="center"/>
                    <w:rPr>
                      <w:color w:val="auto"/>
                      <w:kern w:val="0"/>
                      <w:sz w:val="21"/>
                      <w:szCs w:val="21"/>
                    </w:rPr>
                  </w:pPr>
                  <w:r>
                    <w:rPr>
                      <w:color w:val="auto"/>
                      <w:kern w:val="0"/>
                      <w:sz w:val="21"/>
                      <w:szCs w:val="21"/>
                    </w:rPr>
                    <w:t>COD</w:t>
                  </w:r>
                </w:p>
              </w:tc>
              <w:tc>
                <w:tcPr>
                  <w:tcW w:w="2792" w:type="dxa"/>
                  <w:gridSpan w:val="2"/>
                  <w:noWrap w:val="0"/>
                  <w:vAlign w:val="center"/>
                </w:tcPr>
                <w:p>
                  <w:pPr>
                    <w:snapToGrid w:val="0"/>
                    <w:jc w:val="center"/>
                    <w:rPr>
                      <w:color w:val="auto"/>
                      <w:kern w:val="0"/>
                      <w:sz w:val="21"/>
                      <w:szCs w:val="21"/>
                    </w:rPr>
                  </w:pPr>
                  <w:r>
                    <w:rPr>
                      <w:color w:val="auto"/>
                      <w:kern w:val="0"/>
                      <w:sz w:val="21"/>
                      <w:szCs w:val="21"/>
                    </w:rPr>
                    <w:t>NH</w:t>
                  </w:r>
                  <w:r>
                    <w:rPr>
                      <w:color w:val="auto"/>
                      <w:kern w:val="0"/>
                      <w:sz w:val="21"/>
                      <w:szCs w:val="21"/>
                      <w:vertAlign w:val="subscript"/>
                    </w:rPr>
                    <w:t>3</w:t>
                  </w:r>
                  <w:r>
                    <w:rPr>
                      <w:color w:val="auto"/>
                      <w:kern w:val="0"/>
                      <w:sz w:val="21"/>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9" w:type="dxa"/>
                  <w:gridSpan w:val="2"/>
                  <w:vMerge w:val="continue"/>
                  <w:noWrap w:val="0"/>
                  <w:vAlign w:val="center"/>
                </w:tcPr>
                <w:p>
                  <w:pPr>
                    <w:snapToGrid w:val="0"/>
                    <w:jc w:val="center"/>
                    <w:rPr>
                      <w:color w:val="auto"/>
                      <w:kern w:val="0"/>
                      <w:sz w:val="21"/>
                      <w:szCs w:val="21"/>
                    </w:rPr>
                  </w:pPr>
                </w:p>
              </w:tc>
              <w:tc>
                <w:tcPr>
                  <w:tcW w:w="899" w:type="dxa"/>
                  <w:vMerge w:val="continue"/>
                  <w:noWrap w:val="0"/>
                  <w:vAlign w:val="center"/>
                </w:tcPr>
                <w:p>
                  <w:pPr>
                    <w:snapToGrid w:val="0"/>
                    <w:jc w:val="center"/>
                    <w:rPr>
                      <w:color w:val="auto"/>
                      <w:kern w:val="0"/>
                      <w:sz w:val="21"/>
                      <w:szCs w:val="21"/>
                    </w:rPr>
                  </w:pPr>
                </w:p>
              </w:tc>
              <w:tc>
                <w:tcPr>
                  <w:tcW w:w="1274" w:type="dxa"/>
                  <w:noWrap w:val="0"/>
                  <w:vAlign w:val="center"/>
                </w:tcPr>
                <w:p>
                  <w:pPr>
                    <w:snapToGrid w:val="0"/>
                    <w:jc w:val="center"/>
                    <w:rPr>
                      <w:color w:val="auto"/>
                      <w:kern w:val="0"/>
                      <w:sz w:val="21"/>
                      <w:szCs w:val="21"/>
                    </w:rPr>
                  </w:pPr>
                  <w:r>
                    <w:rPr>
                      <w:color w:val="auto"/>
                      <w:kern w:val="0"/>
                      <w:sz w:val="21"/>
                      <w:szCs w:val="21"/>
                    </w:rPr>
                    <w:t>浓度mg/L</w:t>
                  </w:r>
                </w:p>
              </w:tc>
              <w:tc>
                <w:tcPr>
                  <w:tcW w:w="1566" w:type="dxa"/>
                  <w:noWrap w:val="0"/>
                  <w:vAlign w:val="center"/>
                </w:tcPr>
                <w:p>
                  <w:pPr>
                    <w:snapToGrid w:val="0"/>
                    <w:jc w:val="center"/>
                    <w:rPr>
                      <w:color w:val="auto"/>
                      <w:kern w:val="0"/>
                      <w:sz w:val="21"/>
                      <w:szCs w:val="21"/>
                    </w:rPr>
                  </w:pPr>
                  <w:r>
                    <w:rPr>
                      <w:color w:val="auto"/>
                      <w:kern w:val="0"/>
                      <w:sz w:val="21"/>
                      <w:szCs w:val="21"/>
                    </w:rPr>
                    <w:t>排放速率（g/s）</w:t>
                  </w:r>
                </w:p>
              </w:tc>
              <w:tc>
                <w:tcPr>
                  <w:tcW w:w="1235" w:type="dxa"/>
                  <w:noWrap w:val="0"/>
                  <w:vAlign w:val="center"/>
                </w:tcPr>
                <w:p>
                  <w:pPr>
                    <w:snapToGrid w:val="0"/>
                    <w:jc w:val="center"/>
                    <w:rPr>
                      <w:color w:val="auto"/>
                      <w:kern w:val="0"/>
                      <w:sz w:val="21"/>
                      <w:szCs w:val="21"/>
                    </w:rPr>
                  </w:pPr>
                  <w:r>
                    <w:rPr>
                      <w:color w:val="auto"/>
                      <w:kern w:val="0"/>
                      <w:sz w:val="21"/>
                      <w:szCs w:val="21"/>
                    </w:rPr>
                    <w:t>浓度mg/L</w:t>
                  </w:r>
                </w:p>
              </w:tc>
              <w:tc>
                <w:tcPr>
                  <w:tcW w:w="1557" w:type="dxa"/>
                  <w:noWrap w:val="0"/>
                  <w:vAlign w:val="center"/>
                </w:tcPr>
                <w:p>
                  <w:pPr>
                    <w:snapToGrid w:val="0"/>
                    <w:jc w:val="center"/>
                    <w:rPr>
                      <w:color w:val="auto"/>
                      <w:kern w:val="0"/>
                      <w:sz w:val="21"/>
                      <w:szCs w:val="21"/>
                    </w:rPr>
                  </w:pPr>
                  <w:r>
                    <w:rPr>
                      <w:color w:val="auto"/>
                      <w:kern w:val="0"/>
                      <w:sz w:val="21"/>
                      <w:szCs w:val="21"/>
                    </w:rPr>
                    <w:t>排放速率（g/s）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noWrap w:val="0"/>
                  <w:vAlign w:val="center"/>
                </w:tcPr>
                <w:p>
                  <w:pPr>
                    <w:snapToGrid w:val="0"/>
                    <w:jc w:val="center"/>
                    <w:rPr>
                      <w:color w:val="auto"/>
                      <w:kern w:val="0"/>
                      <w:sz w:val="21"/>
                      <w:szCs w:val="21"/>
                    </w:rPr>
                  </w:pPr>
                  <w:r>
                    <w:rPr>
                      <w:color w:val="auto"/>
                      <w:kern w:val="0"/>
                      <w:sz w:val="21"/>
                      <w:szCs w:val="21"/>
                    </w:rPr>
                    <w:t>1</w:t>
                  </w:r>
                </w:p>
              </w:tc>
              <w:tc>
                <w:tcPr>
                  <w:tcW w:w="2175" w:type="dxa"/>
                  <w:noWrap w:val="0"/>
                  <w:vAlign w:val="center"/>
                </w:tcPr>
                <w:p>
                  <w:pPr>
                    <w:snapToGrid w:val="0"/>
                    <w:jc w:val="center"/>
                    <w:rPr>
                      <w:color w:val="auto"/>
                      <w:kern w:val="0"/>
                      <w:sz w:val="21"/>
                      <w:szCs w:val="21"/>
                    </w:rPr>
                  </w:pPr>
                  <w:r>
                    <w:rPr>
                      <w:color w:val="auto"/>
                      <w:kern w:val="0"/>
                      <w:sz w:val="21"/>
                      <w:szCs w:val="21"/>
                    </w:rPr>
                    <w:t>本项目正常运行</w:t>
                  </w:r>
                </w:p>
              </w:tc>
              <w:tc>
                <w:tcPr>
                  <w:tcW w:w="899" w:type="dxa"/>
                  <w:noWrap w:val="0"/>
                  <w:vAlign w:val="center"/>
                </w:tcPr>
                <w:p>
                  <w:pPr>
                    <w:snapToGrid w:val="0"/>
                    <w:jc w:val="center"/>
                    <w:rPr>
                      <w:color w:val="auto"/>
                      <w:kern w:val="0"/>
                      <w:sz w:val="21"/>
                      <w:szCs w:val="21"/>
                    </w:rPr>
                  </w:pPr>
                  <w:r>
                    <w:rPr>
                      <w:color w:val="auto"/>
                      <w:sz w:val="21"/>
                      <w:szCs w:val="21"/>
                    </w:rPr>
                    <w:t>0.00069</w:t>
                  </w:r>
                </w:p>
              </w:tc>
              <w:tc>
                <w:tcPr>
                  <w:tcW w:w="1274" w:type="dxa"/>
                  <w:noWrap w:val="0"/>
                  <w:vAlign w:val="center"/>
                </w:tcPr>
                <w:p>
                  <w:pPr>
                    <w:snapToGrid w:val="0"/>
                    <w:jc w:val="center"/>
                    <w:rPr>
                      <w:color w:val="auto"/>
                      <w:kern w:val="0"/>
                      <w:sz w:val="21"/>
                      <w:szCs w:val="21"/>
                    </w:rPr>
                  </w:pPr>
                  <w:r>
                    <w:rPr>
                      <w:color w:val="auto"/>
                      <w:kern w:val="0"/>
                      <w:sz w:val="21"/>
                      <w:szCs w:val="21"/>
                    </w:rPr>
                    <w:t>60</w:t>
                  </w:r>
                </w:p>
              </w:tc>
              <w:tc>
                <w:tcPr>
                  <w:tcW w:w="1566" w:type="dxa"/>
                  <w:noWrap w:val="0"/>
                  <w:vAlign w:val="center"/>
                </w:tcPr>
                <w:p>
                  <w:pPr>
                    <w:snapToGrid w:val="0"/>
                    <w:jc w:val="center"/>
                    <w:rPr>
                      <w:color w:val="auto"/>
                      <w:kern w:val="0"/>
                      <w:sz w:val="21"/>
                      <w:szCs w:val="21"/>
                    </w:rPr>
                  </w:pPr>
                  <w:r>
                    <w:rPr>
                      <w:color w:val="auto"/>
                      <w:kern w:val="0"/>
                      <w:sz w:val="21"/>
                      <w:szCs w:val="21"/>
                    </w:rPr>
                    <w:t>0.04164</w:t>
                  </w:r>
                </w:p>
              </w:tc>
              <w:tc>
                <w:tcPr>
                  <w:tcW w:w="1235" w:type="dxa"/>
                  <w:noWrap w:val="0"/>
                  <w:vAlign w:val="center"/>
                </w:tcPr>
                <w:p>
                  <w:pPr>
                    <w:snapToGrid w:val="0"/>
                    <w:jc w:val="center"/>
                    <w:rPr>
                      <w:color w:val="auto"/>
                      <w:kern w:val="0"/>
                      <w:sz w:val="21"/>
                      <w:szCs w:val="21"/>
                    </w:rPr>
                  </w:pPr>
                  <w:r>
                    <w:rPr>
                      <w:color w:val="auto"/>
                      <w:kern w:val="0"/>
                      <w:sz w:val="21"/>
                      <w:szCs w:val="21"/>
                    </w:rPr>
                    <w:t>8</w:t>
                  </w:r>
                </w:p>
              </w:tc>
              <w:tc>
                <w:tcPr>
                  <w:tcW w:w="1557" w:type="dxa"/>
                  <w:noWrap w:val="0"/>
                  <w:vAlign w:val="center"/>
                </w:tcPr>
                <w:p>
                  <w:pPr>
                    <w:snapToGrid w:val="0"/>
                    <w:jc w:val="center"/>
                    <w:rPr>
                      <w:color w:val="auto"/>
                      <w:kern w:val="0"/>
                      <w:sz w:val="21"/>
                      <w:szCs w:val="21"/>
                    </w:rPr>
                  </w:pPr>
                  <w:r>
                    <w:rPr>
                      <w:color w:val="auto"/>
                      <w:kern w:val="0"/>
                      <w:sz w:val="21"/>
                      <w:szCs w:val="21"/>
                    </w:rPr>
                    <w:t>0.00552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noWrap w:val="0"/>
                  <w:vAlign w:val="center"/>
                </w:tcPr>
                <w:p>
                  <w:pPr>
                    <w:snapToGrid w:val="0"/>
                    <w:jc w:val="center"/>
                    <w:rPr>
                      <w:color w:val="auto"/>
                      <w:kern w:val="0"/>
                      <w:sz w:val="21"/>
                      <w:szCs w:val="21"/>
                    </w:rPr>
                  </w:pPr>
                  <w:r>
                    <w:rPr>
                      <w:color w:val="auto"/>
                      <w:kern w:val="0"/>
                      <w:sz w:val="21"/>
                      <w:szCs w:val="21"/>
                    </w:rPr>
                    <w:t>2</w:t>
                  </w:r>
                </w:p>
              </w:tc>
              <w:tc>
                <w:tcPr>
                  <w:tcW w:w="2175" w:type="dxa"/>
                  <w:noWrap w:val="0"/>
                  <w:vAlign w:val="center"/>
                </w:tcPr>
                <w:p>
                  <w:pPr>
                    <w:snapToGrid w:val="0"/>
                    <w:jc w:val="center"/>
                    <w:rPr>
                      <w:color w:val="auto"/>
                      <w:kern w:val="0"/>
                      <w:sz w:val="21"/>
                      <w:szCs w:val="21"/>
                    </w:rPr>
                  </w:pPr>
                  <w:r>
                    <w:rPr>
                      <w:color w:val="auto"/>
                      <w:kern w:val="0"/>
                      <w:sz w:val="21"/>
                      <w:szCs w:val="21"/>
                    </w:rPr>
                    <w:t>本项目非正常运行（污水处理设施完全故障）</w:t>
                  </w:r>
                </w:p>
              </w:tc>
              <w:tc>
                <w:tcPr>
                  <w:tcW w:w="899" w:type="dxa"/>
                  <w:noWrap w:val="0"/>
                  <w:vAlign w:val="center"/>
                </w:tcPr>
                <w:p>
                  <w:pPr>
                    <w:snapToGrid w:val="0"/>
                    <w:jc w:val="center"/>
                    <w:rPr>
                      <w:color w:val="auto"/>
                      <w:kern w:val="0"/>
                      <w:sz w:val="21"/>
                      <w:szCs w:val="21"/>
                    </w:rPr>
                  </w:pPr>
                  <w:r>
                    <w:rPr>
                      <w:color w:val="auto"/>
                      <w:sz w:val="21"/>
                      <w:szCs w:val="21"/>
                    </w:rPr>
                    <w:t>0.00069</w:t>
                  </w:r>
                </w:p>
              </w:tc>
              <w:tc>
                <w:tcPr>
                  <w:tcW w:w="1274" w:type="dxa"/>
                  <w:noWrap w:val="0"/>
                  <w:vAlign w:val="center"/>
                </w:tcPr>
                <w:p>
                  <w:pPr>
                    <w:snapToGrid w:val="0"/>
                    <w:jc w:val="center"/>
                    <w:rPr>
                      <w:color w:val="auto"/>
                      <w:kern w:val="0"/>
                      <w:sz w:val="21"/>
                      <w:szCs w:val="21"/>
                    </w:rPr>
                  </w:pPr>
                  <w:r>
                    <w:rPr>
                      <w:color w:val="auto"/>
                      <w:kern w:val="0"/>
                      <w:sz w:val="21"/>
                      <w:szCs w:val="21"/>
                    </w:rPr>
                    <w:t>300</w:t>
                  </w:r>
                </w:p>
              </w:tc>
              <w:tc>
                <w:tcPr>
                  <w:tcW w:w="1566" w:type="dxa"/>
                  <w:noWrap w:val="0"/>
                  <w:vAlign w:val="center"/>
                </w:tcPr>
                <w:p>
                  <w:pPr>
                    <w:snapToGrid w:val="0"/>
                    <w:jc w:val="center"/>
                    <w:rPr>
                      <w:color w:val="auto"/>
                      <w:kern w:val="0"/>
                      <w:sz w:val="21"/>
                      <w:szCs w:val="21"/>
                    </w:rPr>
                  </w:pPr>
                  <w:r>
                    <w:rPr>
                      <w:color w:val="auto"/>
                      <w:kern w:val="0"/>
                      <w:sz w:val="21"/>
                      <w:szCs w:val="21"/>
                    </w:rPr>
                    <w:t>0.28082</w:t>
                  </w:r>
                </w:p>
              </w:tc>
              <w:tc>
                <w:tcPr>
                  <w:tcW w:w="1235" w:type="dxa"/>
                  <w:noWrap w:val="0"/>
                  <w:vAlign w:val="center"/>
                </w:tcPr>
                <w:p>
                  <w:pPr>
                    <w:snapToGrid w:val="0"/>
                    <w:jc w:val="center"/>
                    <w:rPr>
                      <w:color w:val="auto"/>
                      <w:kern w:val="0"/>
                      <w:sz w:val="21"/>
                      <w:szCs w:val="21"/>
                    </w:rPr>
                  </w:pPr>
                  <w:r>
                    <w:rPr>
                      <w:color w:val="auto"/>
                      <w:kern w:val="0"/>
                      <w:sz w:val="21"/>
                      <w:szCs w:val="21"/>
                    </w:rPr>
                    <w:t>20</w:t>
                  </w:r>
                </w:p>
              </w:tc>
              <w:tc>
                <w:tcPr>
                  <w:tcW w:w="1557" w:type="dxa"/>
                  <w:noWrap w:val="0"/>
                  <w:vAlign w:val="center"/>
                </w:tcPr>
                <w:p>
                  <w:pPr>
                    <w:snapToGrid w:val="0"/>
                    <w:jc w:val="center"/>
                    <w:rPr>
                      <w:color w:val="auto"/>
                      <w:kern w:val="0"/>
                      <w:sz w:val="21"/>
                      <w:szCs w:val="21"/>
                    </w:rPr>
                  </w:pPr>
                  <w:r>
                    <w:rPr>
                      <w:color w:val="auto"/>
                      <w:kern w:val="0"/>
                      <w:sz w:val="21"/>
                      <w:szCs w:val="21"/>
                    </w:rPr>
                    <w:t>0.01928</w:t>
                  </w:r>
                </w:p>
              </w:tc>
            </w:tr>
          </w:tbl>
          <w:p>
            <w:pPr>
              <w:adjustRightInd w:val="0"/>
              <w:snapToGrid w:val="0"/>
              <w:spacing w:line="360" w:lineRule="auto"/>
              <w:jc w:val="center"/>
              <w:rPr>
                <w:rFonts w:eastAsia="黑体"/>
                <w:bCs/>
                <w:color w:val="auto"/>
              </w:rPr>
            </w:pPr>
            <w:r>
              <w:rPr>
                <w:rFonts w:eastAsia="黑体"/>
                <w:bCs/>
                <w:color w:val="auto"/>
              </w:rPr>
              <w:t>表7-20 本项目拟采取的预测方案</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1668"/>
              <w:gridCol w:w="3292"/>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noWrap w:val="0"/>
                  <w:vAlign w:val="center"/>
                </w:tcPr>
                <w:p>
                  <w:pPr>
                    <w:snapToGrid w:val="0"/>
                    <w:jc w:val="center"/>
                    <w:rPr>
                      <w:color w:val="auto"/>
                      <w:kern w:val="0"/>
                      <w:sz w:val="21"/>
                      <w:szCs w:val="21"/>
                    </w:rPr>
                  </w:pPr>
                  <w:r>
                    <w:rPr>
                      <w:color w:val="auto"/>
                      <w:kern w:val="0"/>
                      <w:sz w:val="21"/>
                      <w:szCs w:val="21"/>
                    </w:rPr>
                    <w:t>预测时段</w:t>
                  </w:r>
                </w:p>
              </w:tc>
              <w:tc>
                <w:tcPr>
                  <w:tcW w:w="1668" w:type="dxa"/>
                  <w:noWrap w:val="0"/>
                  <w:vAlign w:val="center"/>
                </w:tcPr>
                <w:p>
                  <w:pPr>
                    <w:snapToGrid w:val="0"/>
                    <w:jc w:val="center"/>
                    <w:rPr>
                      <w:color w:val="auto"/>
                      <w:kern w:val="0"/>
                      <w:sz w:val="21"/>
                      <w:szCs w:val="21"/>
                    </w:rPr>
                  </w:pPr>
                  <w:r>
                    <w:rPr>
                      <w:color w:val="auto"/>
                      <w:kern w:val="0"/>
                      <w:sz w:val="21"/>
                      <w:szCs w:val="21"/>
                    </w:rPr>
                    <w:t>正常运行</w:t>
                  </w:r>
                </w:p>
              </w:tc>
              <w:tc>
                <w:tcPr>
                  <w:tcW w:w="3292" w:type="dxa"/>
                  <w:noWrap w:val="0"/>
                  <w:vAlign w:val="center"/>
                </w:tcPr>
                <w:p>
                  <w:pPr>
                    <w:snapToGrid w:val="0"/>
                    <w:jc w:val="center"/>
                    <w:rPr>
                      <w:color w:val="auto"/>
                      <w:kern w:val="0"/>
                      <w:sz w:val="21"/>
                      <w:szCs w:val="21"/>
                    </w:rPr>
                  </w:pPr>
                  <w:r>
                    <w:rPr>
                      <w:color w:val="auto"/>
                      <w:kern w:val="0"/>
                      <w:sz w:val="21"/>
                      <w:szCs w:val="21"/>
                    </w:rPr>
                    <w:t>非正常运行（污水处理设施完全故障）</w:t>
                  </w:r>
                </w:p>
              </w:tc>
              <w:tc>
                <w:tcPr>
                  <w:tcW w:w="2454" w:type="dxa"/>
                  <w:noWrap w:val="0"/>
                  <w:vAlign w:val="center"/>
                </w:tcPr>
                <w:p>
                  <w:pPr>
                    <w:snapToGrid w:val="0"/>
                    <w:jc w:val="center"/>
                    <w:rPr>
                      <w:color w:val="auto"/>
                      <w:kern w:val="0"/>
                      <w:sz w:val="21"/>
                      <w:szCs w:val="21"/>
                    </w:rPr>
                  </w:pPr>
                  <w:r>
                    <w:rPr>
                      <w:color w:val="auto"/>
                      <w:kern w:val="0"/>
                      <w:sz w:val="21"/>
                      <w:szCs w:val="21"/>
                    </w:rPr>
                    <w:t>预测方案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restart"/>
                  <w:noWrap w:val="0"/>
                  <w:vAlign w:val="center"/>
                </w:tcPr>
                <w:p>
                  <w:pPr>
                    <w:snapToGrid w:val="0"/>
                    <w:jc w:val="center"/>
                    <w:rPr>
                      <w:color w:val="auto"/>
                      <w:kern w:val="0"/>
                      <w:sz w:val="21"/>
                      <w:szCs w:val="21"/>
                    </w:rPr>
                  </w:pPr>
                  <w:r>
                    <w:rPr>
                      <w:color w:val="auto"/>
                      <w:kern w:val="0"/>
                      <w:sz w:val="21"/>
                      <w:szCs w:val="21"/>
                    </w:rPr>
                    <w:t>枯水期</w:t>
                  </w:r>
                </w:p>
              </w:tc>
              <w:tc>
                <w:tcPr>
                  <w:tcW w:w="1668" w:type="dxa"/>
                  <w:noWrap w:val="0"/>
                  <w:vAlign w:val="center"/>
                </w:tcPr>
                <w:p>
                  <w:pPr>
                    <w:snapToGrid w:val="0"/>
                    <w:jc w:val="center"/>
                    <w:rPr>
                      <w:color w:val="auto"/>
                      <w:kern w:val="0"/>
                      <w:sz w:val="21"/>
                      <w:szCs w:val="21"/>
                    </w:rPr>
                  </w:pPr>
                  <w:r>
                    <w:rPr>
                      <w:color w:val="auto"/>
                    </w:rPr>
                    <w:t>√</w:t>
                  </w:r>
                </w:p>
              </w:tc>
              <w:tc>
                <w:tcPr>
                  <w:tcW w:w="3292" w:type="dxa"/>
                  <w:noWrap w:val="0"/>
                  <w:vAlign w:val="center"/>
                </w:tcPr>
                <w:p>
                  <w:pPr>
                    <w:snapToGrid w:val="0"/>
                    <w:jc w:val="center"/>
                    <w:rPr>
                      <w:color w:val="auto"/>
                      <w:kern w:val="0"/>
                      <w:sz w:val="21"/>
                      <w:szCs w:val="21"/>
                    </w:rPr>
                  </w:pPr>
                </w:p>
              </w:tc>
              <w:tc>
                <w:tcPr>
                  <w:tcW w:w="2454" w:type="dxa"/>
                  <w:noWrap w:val="0"/>
                  <w:vAlign w:val="center"/>
                </w:tcPr>
                <w:p>
                  <w:pPr>
                    <w:snapToGrid w:val="0"/>
                    <w:jc w:val="center"/>
                    <w:rPr>
                      <w:color w:val="auto"/>
                      <w:kern w:val="0"/>
                      <w:sz w:val="21"/>
                      <w:szCs w:val="21"/>
                    </w:rPr>
                  </w:pPr>
                  <w:r>
                    <w:rPr>
                      <w:color w:val="auto"/>
                      <w:kern w:val="0"/>
                      <w:sz w:val="21"/>
                      <w:szCs w:val="21"/>
                    </w:rPr>
                    <w:t>预测方案一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continue"/>
                  <w:noWrap w:val="0"/>
                  <w:vAlign w:val="center"/>
                </w:tcPr>
                <w:p>
                  <w:pPr>
                    <w:snapToGrid w:val="0"/>
                    <w:jc w:val="center"/>
                    <w:rPr>
                      <w:color w:val="auto"/>
                      <w:kern w:val="0"/>
                      <w:sz w:val="21"/>
                      <w:szCs w:val="21"/>
                    </w:rPr>
                  </w:pPr>
                </w:p>
              </w:tc>
              <w:tc>
                <w:tcPr>
                  <w:tcW w:w="1668" w:type="dxa"/>
                  <w:noWrap w:val="0"/>
                  <w:vAlign w:val="center"/>
                </w:tcPr>
                <w:p>
                  <w:pPr>
                    <w:snapToGrid w:val="0"/>
                    <w:jc w:val="center"/>
                    <w:rPr>
                      <w:color w:val="auto"/>
                      <w:kern w:val="0"/>
                      <w:sz w:val="21"/>
                      <w:szCs w:val="21"/>
                    </w:rPr>
                  </w:pPr>
                </w:p>
              </w:tc>
              <w:tc>
                <w:tcPr>
                  <w:tcW w:w="3292" w:type="dxa"/>
                  <w:noWrap w:val="0"/>
                  <w:vAlign w:val="center"/>
                </w:tcPr>
                <w:p>
                  <w:pPr>
                    <w:snapToGrid w:val="0"/>
                    <w:jc w:val="center"/>
                    <w:rPr>
                      <w:color w:val="auto"/>
                      <w:kern w:val="0"/>
                      <w:sz w:val="21"/>
                      <w:szCs w:val="21"/>
                    </w:rPr>
                  </w:pPr>
                  <w:r>
                    <w:rPr>
                      <w:color w:val="auto"/>
                    </w:rPr>
                    <w:t>√</w:t>
                  </w:r>
                </w:p>
              </w:tc>
              <w:tc>
                <w:tcPr>
                  <w:tcW w:w="2454" w:type="dxa"/>
                  <w:noWrap w:val="0"/>
                  <w:vAlign w:val="center"/>
                </w:tcPr>
                <w:p>
                  <w:pPr>
                    <w:snapToGrid w:val="0"/>
                    <w:jc w:val="center"/>
                    <w:rPr>
                      <w:color w:val="auto"/>
                      <w:kern w:val="0"/>
                      <w:sz w:val="21"/>
                      <w:szCs w:val="21"/>
                    </w:rPr>
                  </w:pPr>
                  <w:r>
                    <w:rPr>
                      <w:color w:val="auto"/>
                      <w:kern w:val="0"/>
                      <w:sz w:val="21"/>
                      <w:szCs w:val="21"/>
                    </w:rPr>
                    <w:t>预测方案二</w:t>
                  </w:r>
                </w:p>
              </w:tc>
            </w:tr>
          </w:tbl>
          <w:p>
            <w:pPr>
              <w:widowControl/>
              <w:adjustRightInd w:val="0"/>
              <w:snapToGrid w:val="0"/>
              <w:spacing w:line="360" w:lineRule="auto"/>
              <w:ind w:firstLine="480" w:firstLineChars="200"/>
              <w:jc w:val="left"/>
              <w:rPr>
                <w:b/>
                <w:bCs/>
                <w:color w:val="auto"/>
              </w:rPr>
            </w:pPr>
            <w:r>
              <w:rPr>
                <w:color w:val="auto"/>
                <w:kern w:val="0"/>
                <w:lang w:bidi="ar"/>
              </w:rPr>
              <w:t>根据以上设定参数，地表水中污染物采用</w:t>
            </w:r>
            <w:r>
              <w:rPr>
                <w:color w:val="auto"/>
                <w:kern w:val="0"/>
              </w:rPr>
              <w:t>纵向一维数学模型解析法</w:t>
            </w:r>
            <w:r>
              <w:rPr>
                <w:color w:val="auto"/>
                <w:kern w:val="0"/>
                <w:lang w:bidi="ar"/>
              </w:rPr>
              <w:t>模式进行预测，</w:t>
            </w:r>
            <w:r>
              <w:rPr>
                <w:color w:val="auto"/>
                <w:lang w:val="en-GB"/>
              </w:rPr>
              <w:t>正常工况排污预测结果列于表</w:t>
            </w:r>
            <w:r>
              <w:rPr>
                <w:color w:val="auto"/>
              </w:rPr>
              <w:t>7-21。</w:t>
            </w:r>
          </w:p>
          <w:p>
            <w:pPr>
              <w:widowControl/>
              <w:adjustRightInd w:val="0"/>
              <w:snapToGrid w:val="0"/>
              <w:spacing w:line="360" w:lineRule="auto"/>
              <w:ind w:firstLine="480" w:firstLineChars="200"/>
              <w:jc w:val="left"/>
              <w:rPr>
                <w:b/>
                <w:bCs/>
                <w:color w:val="auto"/>
                <w:lang w:val="en-GB"/>
              </w:rPr>
            </w:pPr>
            <w:r>
              <w:rPr>
                <w:color w:val="auto"/>
                <w:kern w:val="0"/>
                <w:lang w:bidi="ar"/>
              </w:rPr>
              <w:t>根据设定参数，地表水中污染物采用完全混合模式预测，</w:t>
            </w:r>
            <w:r>
              <w:rPr>
                <w:color w:val="auto"/>
                <w:lang w:val="en-GB"/>
              </w:rPr>
              <w:t>正常工况排污预测结果列于表</w:t>
            </w:r>
            <w:r>
              <w:rPr>
                <w:color w:val="auto"/>
              </w:rPr>
              <w:t>7-21</w:t>
            </w:r>
            <w:r>
              <w:rPr>
                <w:color w:val="auto"/>
                <w:lang w:val="en-GB"/>
              </w:rPr>
              <w:t>。</w:t>
            </w:r>
          </w:p>
          <w:p>
            <w:pPr>
              <w:adjustRightInd w:val="0"/>
              <w:snapToGrid w:val="0"/>
              <w:spacing w:line="360" w:lineRule="auto"/>
              <w:jc w:val="center"/>
              <w:rPr>
                <w:rFonts w:eastAsia="黑体"/>
                <w:bCs/>
                <w:color w:val="auto"/>
              </w:rPr>
            </w:pPr>
            <w:r>
              <w:rPr>
                <w:rFonts w:eastAsia="黑体"/>
                <w:bCs/>
                <w:color w:val="auto"/>
              </w:rPr>
              <w:t>表7-21  正常工况各污染物浓预测值(mg/L)</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15" w:type="dxa"/>
                <w:left w:w="15" w:type="dxa"/>
                <w:bottom w:w="15" w:type="dxa"/>
                <w:right w:w="15" w:type="dxa"/>
              </w:tblCellMar>
            </w:tblPr>
            <w:tblGrid>
              <w:gridCol w:w="2146"/>
              <w:gridCol w:w="2847"/>
              <w:gridCol w:w="1859"/>
              <w:gridCol w:w="219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346" w:hRule="atLeast"/>
                <w:jc w:val="center"/>
              </w:trPr>
              <w:tc>
                <w:tcPr>
                  <w:tcW w:w="4993" w:type="dxa"/>
                  <w:gridSpan w:val="2"/>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COD</w:t>
                  </w:r>
                </w:p>
              </w:tc>
              <w:tc>
                <w:tcPr>
                  <w:tcW w:w="4056" w:type="dxa"/>
                  <w:gridSpan w:val="2"/>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NH</w:t>
                  </w:r>
                  <w:r>
                    <w:rPr>
                      <w:color w:val="auto"/>
                      <w:kern w:val="0"/>
                      <w:sz w:val="21"/>
                      <w:szCs w:val="21"/>
                      <w:vertAlign w:val="subscript"/>
                      <w:lang w:bidi="ar"/>
                    </w:rPr>
                    <w:t>3</w:t>
                  </w:r>
                  <w:r>
                    <w:rPr>
                      <w:color w:val="auto"/>
                      <w:kern w:val="0"/>
                      <w:sz w:val="21"/>
                      <w:szCs w:val="21"/>
                      <w:lang w:bidi="ar"/>
                    </w:rPr>
                    <w:t>-N</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X(m)</w:t>
                  </w:r>
                </w:p>
              </w:tc>
              <w:tc>
                <w:tcPr>
                  <w:tcW w:w="2847"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c(mg/L)</w:t>
                  </w:r>
                </w:p>
              </w:tc>
              <w:tc>
                <w:tcPr>
                  <w:tcW w:w="1859"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X(m)</w:t>
                  </w:r>
                </w:p>
              </w:tc>
              <w:tc>
                <w:tcPr>
                  <w:tcW w:w="2197"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c(mg/L)</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widowControl/>
                    <w:jc w:val="center"/>
                    <w:rPr>
                      <w:color w:val="auto"/>
                      <w:kern w:val="0"/>
                    </w:rPr>
                  </w:pPr>
                  <w:r>
                    <w:rPr>
                      <w:color w:val="auto"/>
                    </w:rPr>
                    <w:t>0</w:t>
                  </w:r>
                </w:p>
              </w:tc>
              <w:tc>
                <w:tcPr>
                  <w:tcW w:w="2847" w:type="dxa"/>
                  <w:noWrap w:val="0"/>
                  <w:vAlign w:val="center"/>
                </w:tcPr>
                <w:p>
                  <w:pPr>
                    <w:jc w:val="center"/>
                    <w:rPr>
                      <w:color w:val="auto"/>
                    </w:rPr>
                  </w:pPr>
                  <w:r>
                    <w:rPr>
                      <w:color w:val="auto"/>
                    </w:rPr>
                    <w:t xml:space="preserve">14.076 </w:t>
                  </w:r>
                </w:p>
              </w:tc>
              <w:tc>
                <w:tcPr>
                  <w:tcW w:w="1859" w:type="dxa"/>
                  <w:noWrap w:val="0"/>
                  <w:vAlign w:val="center"/>
                </w:tcPr>
                <w:p>
                  <w:pPr>
                    <w:widowControl/>
                    <w:jc w:val="center"/>
                    <w:rPr>
                      <w:color w:val="auto"/>
                      <w:kern w:val="0"/>
                    </w:rPr>
                  </w:pPr>
                  <w:r>
                    <w:rPr>
                      <w:color w:val="auto"/>
                    </w:rPr>
                    <w:t xml:space="preserve">0 </w:t>
                  </w:r>
                </w:p>
              </w:tc>
              <w:tc>
                <w:tcPr>
                  <w:tcW w:w="2197" w:type="dxa"/>
                  <w:noWrap w:val="0"/>
                  <w:vAlign w:val="center"/>
                </w:tcPr>
                <w:p>
                  <w:pPr>
                    <w:jc w:val="center"/>
                    <w:rPr>
                      <w:color w:val="auto"/>
                    </w:rPr>
                  </w:pPr>
                  <w:r>
                    <w:rPr>
                      <w:color w:val="auto"/>
                    </w:rPr>
                    <w:t xml:space="preserve">0.151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100</w:t>
                  </w:r>
                </w:p>
              </w:tc>
              <w:tc>
                <w:tcPr>
                  <w:tcW w:w="2847" w:type="dxa"/>
                  <w:noWrap w:val="0"/>
                  <w:vAlign w:val="center"/>
                </w:tcPr>
                <w:p>
                  <w:pPr>
                    <w:jc w:val="center"/>
                    <w:rPr>
                      <w:color w:val="auto"/>
                    </w:rPr>
                  </w:pPr>
                  <w:r>
                    <w:rPr>
                      <w:color w:val="auto"/>
                    </w:rPr>
                    <w:t xml:space="preserve">14.002 </w:t>
                  </w:r>
                </w:p>
              </w:tc>
              <w:tc>
                <w:tcPr>
                  <w:tcW w:w="1859" w:type="dxa"/>
                  <w:noWrap w:val="0"/>
                  <w:vAlign w:val="center"/>
                </w:tcPr>
                <w:p>
                  <w:pPr>
                    <w:jc w:val="center"/>
                    <w:rPr>
                      <w:color w:val="auto"/>
                    </w:rPr>
                  </w:pPr>
                  <w:r>
                    <w:rPr>
                      <w:color w:val="auto"/>
                    </w:rPr>
                    <w:t xml:space="preserve">100 </w:t>
                  </w:r>
                </w:p>
              </w:tc>
              <w:tc>
                <w:tcPr>
                  <w:tcW w:w="2197" w:type="dxa"/>
                  <w:noWrap w:val="0"/>
                  <w:vAlign w:val="center"/>
                </w:tcPr>
                <w:p>
                  <w:pPr>
                    <w:jc w:val="center"/>
                    <w:rPr>
                      <w:color w:val="auto"/>
                    </w:rPr>
                  </w:pPr>
                  <w:r>
                    <w:rPr>
                      <w:color w:val="auto"/>
                    </w:rPr>
                    <w:t xml:space="preserve">0.150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b/>
                      <w:bCs/>
                      <w:color w:val="auto"/>
                    </w:rPr>
                  </w:pPr>
                  <w:r>
                    <w:rPr>
                      <w:b/>
                      <w:bCs/>
                      <w:color w:val="auto"/>
                    </w:rPr>
                    <w:t>200</w:t>
                  </w:r>
                </w:p>
              </w:tc>
              <w:tc>
                <w:tcPr>
                  <w:tcW w:w="2847" w:type="dxa"/>
                  <w:noWrap w:val="0"/>
                  <w:vAlign w:val="center"/>
                </w:tcPr>
                <w:p>
                  <w:pPr>
                    <w:jc w:val="center"/>
                    <w:rPr>
                      <w:b/>
                      <w:bCs/>
                      <w:color w:val="auto"/>
                    </w:rPr>
                  </w:pPr>
                  <w:r>
                    <w:rPr>
                      <w:b/>
                      <w:bCs/>
                      <w:color w:val="auto"/>
                    </w:rPr>
                    <w:t xml:space="preserve">13.928 </w:t>
                  </w:r>
                </w:p>
              </w:tc>
              <w:tc>
                <w:tcPr>
                  <w:tcW w:w="1859" w:type="dxa"/>
                  <w:noWrap w:val="0"/>
                  <w:vAlign w:val="center"/>
                </w:tcPr>
                <w:p>
                  <w:pPr>
                    <w:jc w:val="center"/>
                    <w:rPr>
                      <w:color w:val="auto"/>
                    </w:rPr>
                  </w:pPr>
                  <w:r>
                    <w:rPr>
                      <w:color w:val="auto"/>
                    </w:rPr>
                    <w:t xml:space="preserve">200 </w:t>
                  </w:r>
                </w:p>
              </w:tc>
              <w:tc>
                <w:tcPr>
                  <w:tcW w:w="2197" w:type="dxa"/>
                  <w:noWrap w:val="0"/>
                  <w:vAlign w:val="center"/>
                </w:tcPr>
                <w:p>
                  <w:pPr>
                    <w:jc w:val="center"/>
                    <w:rPr>
                      <w:color w:val="auto"/>
                    </w:rPr>
                  </w:pPr>
                  <w:r>
                    <w:rPr>
                      <w:color w:val="auto"/>
                    </w:rPr>
                    <w:t xml:space="preserve">0.150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300</w:t>
                  </w:r>
                </w:p>
              </w:tc>
              <w:tc>
                <w:tcPr>
                  <w:tcW w:w="2847" w:type="dxa"/>
                  <w:noWrap w:val="0"/>
                  <w:vAlign w:val="center"/>
                </w:tcPr>
                <w:p>
                  <w:pPr>
                    <w:jc w:val="center"/>
                    <w:rPr>
                      <w:color w:val="auto"/>
                    </w:rPr>
                  </w:pPr>
                  <w:r>
                    <w:rPr>
                      <w:color w:val="auto"/>
                    </w:rPr>
                    <w:t xml:space="preserve">13.855 </w:t>
                  </w:r>
                </w:p>
              </w:tc>
              <w:tc>
                <w:tcPr>
                  <w:tcW w:w="1859" w:type="dxa"/>
                  <w:noWrap w:val="0"/>
                  <w:vAlign w:val="center"/>
                </w:tcPr>
                <w:p>
                  <w:pPr>
                    <w:jc w:val="center"/>
                    <w:rPr>
                      <w:color w:val="auto"/>
                    </w:rPr>
                  </w:pPr>
                  <w:r>
                    <w:rPr>
                      <w:color w:val="auto"/>
                    </w:rPr>
                    <w:t xml:space="preserve">300 </w:t>
                  </w:r>
                </w:p>
              </w:tc>
              <w:tc>
                <w:tcPr>
                  <w:tcW w:w="2197" w:type="dxa"/>
                  <w:noWrap w:val="0"/>
                  <w:vAlign w:val="center"/>
                </w:tcPr>
                <w:p>
                  <w:pPr>
                    <w:jc w:val="center"/>
                    <w:rPr>
                      <w:color w:val="auto"/>
                    </w:rPr>
                  </w:pPr>
                  <w:r>
                    <w:rPr>
                      <w:color w:val="auto"/>
                    </w:rPr>
                    <w:t xml:space="preserve">0.149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2146" w:type="dxa"/>
                  <w:noWrap w:val="0"/>
                  <w:vAlign w:val="center"/>
                </w:tcPr>
                <w:p>
                  <w:pPr>
                    <w:jc w:val="center"/>
                    <w:rPr>
                      <w:color w:val="auto"/>
                    </w:rPr>
                  </w:pPr>
                  <w:r>
                    <w:rPr>
                      <w:color w:val="auto"/>
                    </w:rPr>
                    <w:t>400</w:t>
                  </w:r>
                </w:p>
              </w:tc>
              <w:tc>
                <w:tcPr>
                  <w:tcW w:w="2847" w:type="dxa"/>
                  <w:noWrap w:val="0"/>
                  <w:vAlign w:val="center"/>
                </w:tcPr>
                <w:p>
                  <w:pPr>
                    <w:jc w:val="center"/>
                    <w:rPr>
                      <w:color w:val="auto"/>
                    </w:rPr>
                  </w:pPr>
                  <w:r>
                    <w:rPr>
                      <w:color w:val="auto"/>
                    </w:rPr>
                    <w:t xml:space="preserve">13.782 </w:t>
                  </w:r>
                </w:p>
              </w:tc>
              <w:tc>
                <w:tcPr>
                  <w:tcW w:w="1859" w:type="dxa"/>
                  <w:noWrap w:val="0"/>
                  <w:vAlign w:val="center"/>
                </w:tcPr>
                <w:p>
                  <w:pPr>
                    <w:jc w:val="center"/>
                    <w:rPr>
                      <w:color w:val="auto"/>
                    </w:rPr>
                  </w:pPr>
                  <w:r>
                    <w:rPr>
                      <w:color w:val="auto"/>
                    </w:rPr>
                    <w:t xml:space="preserve">400 </w:t>
                  </w:r>
                </w:p>
              </w:tc>
              <w:tc>
                <w:tcPr>
                  <w:tcW w:w="2197" w:type="dxa"/>
                  <w:noWrap w:val="0"/>
                  <w:vAlign w:val="center"/>
                </w:tcPr>
                <w:p>
                  <w:pPr>
                    <w:jc w:val="center"/>
                    <w:rPr>
                      <w:color w:val="auto"/>
                    </w:rPr>
                  </w:pPr>
                  <w:r>
                    <w:rPr>
                      <w:color w:val="auto"/>
                    </w:rPr>
                    <w:t xml:space="preserve">0.149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500</w:t>
                  </w:r>
                </w:p>
              </w:tc>
              <w:tc>
                <w:tcPr>
                  <w:tcW w:w="2847" w:type="dxa"/>
                  <w:noWrap w:val="0"/>
                  <w:vAlign w:val="center"/>
                </w:tcPr>
                <w:p>
                  <w:pPr>
                    <w:jc w:val="center"/>
                    <w:rPr>
                      <w:color w:val="auto"/>
                    </w:rPr>
                  </w:pPr>
                  <w:r>
                    <w:rPr>
                      <w:color w:val="auto"/>
                    </w:rPr>
                    <w:t xml:space="preserve">13.710 </w:t>
                  </w:r>
                </w:p>
              </w:tc>
              <w:tc>
                <w:tcPr>
                  <w:tcW w:w="1859" w:type="dxa"/>
                  <w:noWrap w:val="0"/>
                  <w:vAlign w:val="center"/>
                </w:tcPr>
                <w:p>
                  <w:pPr>
                    <w:jc w:val="center"/>
                    <w:rPr>
                      <w:color w:val="auto"/>
                    </w:rPr>
                  </w:pPr>
                  <w:r>
                    <w:rPr>
                      <w:color w:val="auto"/>
                    </w:rPr>
                    <w:t xml:space="preserve">500 </w:t>
                  </w:r>
                </w:p>
              </w:tc>
              <w:tc>
                <w:tcPr>
                  <w:tcW w:w="2197" w:type="dxa"/>
                  <w:noWrap w:val="0"/>
                  <w:vAlign w:val="center"/>
                </w:tcPr>
                <w:p>
                  <w:pPr>
                    <w:jc w:val="center"/>
                    <w:rPr>
                      <w:color w:val="auto"/>
                    </w:rPr>
                  </w:pPr>
                  <w:r>
                    <w:rPr>
                      <w:color w:val="auto"/>
                    </w:rPr>
                    <w:t xml:space="preserve">0.148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600</w:t>
                  </w:r>
                </w:p>
              </w:tc>
              <w:tc>
                <w:tcPr>
                  <w:tcW w:w="2847" w:type="dxa"/>
                  <w:noWrap w:val="0"/>
                  <w:vAlign w:val="center"/>
                </w:tcPr>
                <w:p>
                  <w:pPr>
                    <w:jc w:val="center"/>
                    <w:rPr>
                      <w:color w:val="auto"/>
                    </w:rPr>
                  </w:pPr>
                  <w:r>
                    <w:rPr>
                      <w:color w:val="auto"/>
                    </w:rPr>
                    <w:t xml:space="preserve">13.638 </w:t>
                  </w:r>
                </w:p>
              </w:tc>
              <w:tc>
                <w:tcPr>
                  <w:tcW w:w="1859" w:type="dxa"/>
                  <w:noWrap w:val="0"/>
                  <w:vAlign w:val="center"/>
                </w:tcPr>
                <w:p>
                  <w:pPr>
                    <w:jc w:val="center"/>
                    <w:rPr>
                      <w:color w:val="auto"/>
                    </w:rPr>
                  </w:pPr>
                  <w:r>
                    <w:rPr>
                      <w:color w:val="auto"/>
                    </w:rPr>
                    <w:t xml:space="preserve">600 </w:t>
                  </w:r>
                </w:p>
              </w:tc>
              <w:tc>
                <w:tcPr>
                  <w:tcW w:w="2197" w:type="dxa"/>
                  <w:noWrap w:val="0"/>
                  <w:vAlign w:val="center"/>
                </w:tcPr>
                <w:p>
                  <w:pPr>
                    <w:jc w:val="center"/>
                    <w:rPr>
                      <w:color w:val="auto"/>
                    </w:rPr>
                  </w:pPr>
                  <w:r>
                    <w:rPr>
                      <w:color w:val="auto"/>
                    </w:rPr>
                    <w:t xml:space="preserve">0.147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700</w:t>
                  </w:r>
                </w:p>
              </w:tc>
              <w:tc>
                <w:tcPr>
                  <w:tcW w:w="2847" w:type="dxa"/>
                  <w:noWrap w:val="0"/>
                  <w:vAlign w:val="center"/>
                </w:tcPr>
                <w:p>
                  <w:pPr>
                    <w:jc w:val="center"/>
                    <w:rPr>
                      <w:color w:val="auto"/>
                    </w:rPr>
                  </w:pPr>
                  <w:r>
                    <w:rPr>
                      <w:color w:val="auto"/>
                    </w:rPr>
                    <w:t xml:space="preserve">13.567 </w:t>
                  </w:r>
                </w:p>
              </w:tc>
              <w:tc>
                <w:tcPr>
                  <w:tcW w:w="1859" w:type="dxa"/>
                  <w:noWrap w:val="0"/>
                  <w:vAlign w:val="center"/>
                </w:tcPr>
                <w:p>
                  <w:pPr>
                    <w:jc w:val="center"/>
                    <w:rPr>
                      <w:color w:val="auto"/>
                    </w:rPr>
                  </w:pPr>
                  <w:r>
                    <w:rPr>
                      <w:color w:val="auto"/>
                    </w:rPr>
                    <w:t xml:space="preserve">700 </w:t>
                  </w:r>
                </w:p>
              </w:tc>
              <w:tc>
                <w:tcPr>
                  <w:tcW w:w="2197" w:type="dxa"/>
                  <w:noWrap w:val="0"/>
                  <w:vAlign w:val="center"/>
                </w:tcPr>
                <w:p>
                  <w:pPr>
                    <w:jc w:val="center"/>
                    <w:rPr>
                      <w:color w:val="auto"/>
                    </w:rPr>
                  </w:pPr>
                  <w:r>
                    <w:rPr>
                      <w:color w:val="auto"/>
                    </w:rPr>
                    <w:t xml:space="preserve">0.147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800</w:t>
                  </w:r>
                </w:p>
              </w:tc>
              <w:tc>
                <w:tcPr>
                  <w:tcW w:w="2847" w:type="dxa"/>
                  <w:noWrap w:val="0"/>
                  <w:vAlign w:val="center"/>
                </w:tcPr>
                <w:p>
                  <w:pPr>
                    <w:jc w:val="center"/>
                    <w:rPr>
                      <w:color w:val="auto"/>
                    </w:rPr>
                  </w:pPr>
                  <w:r>
                    <w:rPr>
                      <w:color w:val="auto"/>
                    </w:rPr>
                    <w:t xml:space="preserve">13.495 </w:t>
                  </w:r>
                </w:p>
              </w:tc>
              <w:tc>
                <w:tcPr>
                  <w:tcW w:w="1859" w:type="dxa"/>
                  <w:noWrap w:val="0"/>
                  <w:vAlign w:val="center"/>
                </w:tcPr>
                <w:p>
                  <w:pPr>
                    <w:jc w:val="center"/>
                    <w:rPr>
                      <w:color w:val="auto"/>
                    </w:rPr>
                  </w:pPr>
                  <w:r>
                    <w:rPr>
                      <w:color w:val="auto"/>
                    </w:rPr>
                    <w:t xml:space="preserve">800 </w:t>
                  </w:r>
                </w:p>
              </w:tc>
              <w:tc>
                <w:tcPr>
                  <w:tcW w:w="2197" w:type="dxa"/>
                  <w:noWrap w:val="0"/>
                  <w:vAlign w:val="center"/>
                </w:tcPr>
                <w:p>
                  <w:pPr>
                    <w:jc w:val="center"/>
                    <w:rPr>
                      <w:color w:val="auto"/>
                    </w:rPr>
                  </w:pPr>
                  <w:r>
                    <w:rPr>
                      <w:color w:val="auto"/>
                    </w:rPr>
                    <w:t xml:space="preserve">0.146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900</w:t>
                  </w:r>
                </w:p>
              </w:tc>
              <w:tc>
                <w:tcPr>
                  <w:tcW w:w="2847" w:type="dxa"/>
                  <w:noWrap w:val="0"/>
                  <w:vAlign w:val="center"/>
                </w:tcPr>
                <w:p>
                  <w:pPr>
                    <w:jc w:val="center"/>
                    <w:rPr>
                      <w:color w:val="auto"/>
                    </w:rPr>
                  </w:pPr>
                  <w:r>
                    <w:rPr>
                      <w:color w:val="auto"/>
                    </w:rPr>
                    <w:t xml:space="preserve">13.425 </w:t>
                  </w:r>
                </w:p>
              </w:tc>
              <w:tc>
                <w:tcPr>
                  <w:tcW w:w="1859" w:type="dxa"/>
                  <w:noWrap w:val="0"/>
                  <w:vAlign w:val="center"/>
                </w:tcPr>
                <w:p>
                  <w:pPr>
                    <w:jc w:val="center"/>
                    <w:rPr>
                      <w:color w:val="auto"/>
                    </w:rPr>
                  </w:pPr>
                  <w:r>
                    <w:rPr>
                      <w:color w:val="auto"/>
                    </w:rPr>
                    <w:t xml:space="preserve">900 </w:t>
                  </w:r>
                </w:p>
              </w:tc>
              <w:tc>
                <w:tcPr>
                  <w:tcW w:w="2197" w:type="dxa"/>
                  <w:noWrap w:val="0"/>
                  <w:vAlign w:val="center"/>
                </w:tcPr>
                <w:p>
                  <w:pPr>
                    <w:jc w:val="center"/>
                    <w:rPr>
                      <w:color w:val="auto"/>
                    </w:rPr>
                  </w:pPr>
                  <w:r>
                    <w:rPr>
                      <w:color w:val="auto"/>
                    </w:rPr>
                    <w:t xml:space="preserve">0.146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61" w:hRule="atLeast"/>
                <w:jc w:val="center"/>
              </w:trPr>
              <w:tc>
                <w:tcPr>
                  <w:tcW w:w="2146" w:type="dxa"/>
                  <w:noWrap w:val="0"/>
                  <w:vAlign w:val="center"/>
                </w:tcPr>
                <w:p>
                  <w:pPr>
                    <w:jc w:val="center"/>
                    <w:rPr>
                      <w:color w:val="auto"/>
                    </w:rPr>
                  </w:pPr>
                  <w:r>
                    <w:rPr>
                      <w:color w:val="auto"/>
                    </w:rPr>
                    <w:t>1000</w:t>
                  </w:r>
                </w:p>
              </w:tc>
              <w:tc>
                <w:tcPr>
                  <w:tcW w:w="2847" w:type="dxa"/>
                  <w:noWrap w:val="0"/>
                  <w:vAlign w:val="center"/>
                </w:tcPr>
                <w:p>
                  <w:pPr>
                    <w:jc w:val="center"/>
                    <w:rPr>
                      <w:color w:val="auto"/>
                    </w:rPr>
                  </w:pPr>
                  <w:r>
                    <w:rPr>
                      <w:color w:val="auto"/>
                    </w:rPr>
                    <w:t xml:space="preserve">13.354 </w:t>
                  </w:r>
                </w:p>
              </w:tc>
              <w:tc>
                <w:tcPr>
                  <w:tcW w:w="1859" w:type="dxa"/>
                  <w:noWrap w:val="0"/>
                  <w:vAlign w:val="center"/>
                </w:tcPr>
                <w:p>
                  <w:pPr>
                    <w:jc w:val="center"/>
                    <w:rPr>
                      <w:color w:val="auto"/>
                    </w:rPr>
                  </w:pPr>
                  <w:r>
                    <w:rPr>
                      <w:color w:val="auto"/>
                    </w:rPr>
                    <w:t xml:space="preserve">1000 </w:t>
                  </w:r>
                </w:p>
              </w:tc>
              <w:tc>
                <w:tcPr>
                  <w:tcW w:w="2197" w:type="dxa"/>
                  <w:noWrap w:val="0"/>
                  <w:vAlign w:val="center"/>
                </w:tcPr>
                <w:p>
                  <w:pPr>
                    <w:jc w:val="center"/>
                    <w:rPr>
                      <w:color w:val="auto"/>
                    </w:rPr>
                  </w:pPr>
                  <w:r>
                    <w:rPr>
                      <w:color w:val="auto"/>
                    </w:rPr>
                    <w:t xml:space="preserve">0.145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22" w:hRule="atLeast"/>
                <w:jc w:val="center"/>
              </w:trPr>
              <w:tc>
                <w:tcPr>
                  <w:tcW w:w="2146" w:type="dxa"/>
                  <w:noWrap w:val="0"/>
                  <w:vAlign w:val="center"/>
                </w:tcPr>
                <w:p>
                  <w:pPr>
                    <w:jc w:val="center"/>
                    <w:rPr>
                      <w:color w:val="auto"/>
                    </w:rPr>
                  </w:pPr>
                  <w:r>
                    <w:rPr>
                      <w:color w:val="auto"/>
                    </w:rPr>
                    <w:t>1100</w:t>
                  </w:r>
                </w:p>
              </w:tc>
              <w:tc>
                <w:tcPr>
                  <w:tcW w:w="2847" w:type="dxa"/>
                  <w:noWrap w:val="0"/>
                  <w:vAlign w:val="center"/>
                </w:tcPr>
                <w:p>
                  <w:pPr>
                    <w:jc w:val="center"/>
                    <w:rPr>
                      <w:color w:val="auto"/>
                    </w:rPr>
                  </w:pPr>
                  <w:r>
                    <w:rPr>
                      <w:color w:val="auto"/>
                    </w:rPr>
                    <w:t xml:space="preserve">13.284 </w:t>
                  </w:r>
                </w:p>
              </w:tc>
              <w:tc>
                <w:tcPr>
                  <w:tcW w:w="1859" w:type="dxa"/>
                  <w:noWrap w:val="0"/>
                  <w:vAlign w:val="center"/>
                </w:tcPr>
                <w:p>
                  <w:pPr>
                    <w:widowControl/>
                    <w:jc w:val="center"/>
                    <w:rPr>
                      <w:color w:val="auto"/>
                      <w:kern w:val="0"/>
                    </w:rPr>
                  </w:pPr>
                  <w:r>
                    <w:rPr>
                      <w:color w:val="auto"/>
                    </w:rPr>
                    <w:t xml:space="preserve">1500 </w:t>
                  </w:r>
                </w:p>
              </w:tc>
              <w:tc>
                <w:tcPr>
                  <w:tcW w:w="2197" w:type="dxa"/>
                  <w:noWrap w:val="0"/>
                  <w:vAlign w:val="center"/>
                </w:tcPr>
                <w:p>
                  <w:pPr>
                    <w:jc w:val="center"/>
                    <w:rPr>
                      <w:color w:val="auto"/>
                    </w:rPr>
                  </w:pPr>
                  <w:r>
                    <w:rPr>
                      <w:color w:val="auto"/>
                    </w:rPr>
                    <w:t xml:space="preserve">0.142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75" w:hRule="atLeast"/>
                <w:jc w:val="center"/>
              </w:trPr>
              <w:tc>
                <w:tcPr>
                  <w:tcW w:w="2146" w:type="dxa"/>
                  <w:noWrap w:val="0"/>
                  <w:vAlign w:val="center"/>
                </w:tcPr>
                <w:p>
                  <w:pPr>
                    <w:jc w:val="center"/>
                    <w:rPr>
                      <w:color w:val="auto"/>
                    </w:rPr>
                  </w:pPr>
                  <w:r>
                    <w:rPr>
                      <w:color w:val="auto"/>
                    </w:rPr>
                    <w:t>1200</w:t>
                  </w:r>
                </w:p>
              </w:tc>
              <w:tc>
                <w:tcPr>
                  <w:tcW w:w="2847" w:type="dxa"/>
                  <w:noWrap w:val="0"/>
                  <w:vAlign w:val="center"/>
                </w:tcPr>
                <w:p>
                  <w:pPr>
                    <w:jc w:val="center"/>
                    <w:rPr>
                      <w:color w:val="auto"/>
                    </w:rPr>
                  </w:pPr>
                  <w:r>
                    <w:rPr>
                      <w:color w:val="auto"/>
                    </w:rPr>
                    <w:t xml:space="preserve">13.214 </w:t>
                  </w:r>
                </w:p>
              </w:tc>
              <w:tc>
                <w:tcPr>
                  <w:tcW w:w="1859" w:type="dxa"/>
                  <w:noWrap w:val="0"/>
                  <w:vAlign w:val="center"/>
                </w:tcPr>
                <w:p>
                  <w:pPr>
                    <w:jc w:val="center"/>
                    <w:rPr>
                      <w:color w:val="auto"/>
                    </w:rPr>
                  </w:pPr>
                  <w:r>
                    <w:rPr>
                      <w:color w:val="auto"/>
                    </w:rPr>
                    <w:t xml:space="preserve">2000 </w:t>
                  </w:r>
                </w:p>
              </w:tc>
              <w:tc>
                <w:tcPr>
                  <w:tcW w:w="2197" w:type="dxa"/>
                  <w:noWrap w:val="0"/>
                  <w:vAlign w:val="center"/>
                </w:tcPr>
                <w:p>
                  <w:pPr>
                    <w:jc w:val="center"/>
                    <w:rPr>
                      <w:color w:val="auto"/>
                    </w:rPr>
                  </w:pPr>
                  <w:r>
                    <w:rPr>
                      <w:color w:val="auto"/>
                    </w:rPr>
                    <w:t xml:space="preserve">0.139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315" w:hRule="atLeast"/>
                <w:jc w:val="center"/>
              </w:trPr>
              <w:tc>
                <w:tcPr>
                  <w:tcW w:w="2146" w:type="dxa"/>
                  <w:noWrap w:val="0"/>
                  <w:vAlign w:val="center"/>
                </w:tcPr>
                <w:p>
                  <w:pPr>
                    <w:jc w:val="center"/>
                    <w:rPr>
                      <w:color w:val="auto"/>
                    </w:rPr>
                  </w:pPr>
                  <w:r>
                    <w:rPr>
                      <w:color w:val="auto"/>
                    </w:rPr>
                    <w:t>1300</w:t>
                  </w:r>
                </w:p>
              </w:tc>
              <w:tc>
                <w:tcPr>
                  <w:tcW w:w="2847" w:type="dxa"/>
                  <w:noWrap w:val="0"/>
                  <w:vAlign w:val="center"/>
                </w:tcPr>
                <w:p>
                  <w:pPr>
                    <w:jc w:val="center"/>
                    <w:rPr>
                      <w:color w:val="auto"/>
                    </w:rPr>
                  </w:pPr>
                  <w:r>
                    <w:rPr>
                      <w:color w:val="auto"/>
                    </w:rPr>
                    <w:t xml:space="preserve">13.145 </w:t>
                  </w:r>
                </w:p>
              </w:tc>
              <w:tc>
                <w:tcPr>
                  <w:tcW w:w="1859" w:type="dxa"/>
                  <w:noWrap w:val="0"/>
                  <w:vAlign w:val="center"/>
                </w:tcPr>
                <w:p>
                  <w:pPr>
                    <w:jc w:val="center"/>
                    <w:rPr>
                      <w:b/>
                      <w:bCs/>
                      <w:color w:val="auto"/>
                    </w:rPr>
                  </w:pPr>
                  <w:r>
                    <w:rPr>
                      <w:b/>
                      <w:bCs/>
                      <w:color w:val="auto"/>
                    </w:rPr>
                    <w:t xml:space="preserve">2500 </w:t>
                  </w:r>
                </w:p>
              </w:tc>
              <w:tc>
                <w:tcPr>
                  <w:tcW w:w="2197" w:type="dxa"/>
                  <w:noWrap w:val="0"/>
                  <w:vAlign w:val="center"/>
                </w:tcPr>
                <w:p>
                  <w:pPr>
                    <w:jc w:val="center"/>
                    <w:rPr>
                      <w:b/>
                      <w:bCs/>
                      <w:color w:val="auto"/>
                    </w:rPr>
                  </w:pPr>
                  <w:r>
                    <w:rPr>
                      <w:b/>
                      <w:bCs/>
                      <w:color w:val="auto"/>
                    </w:rPr>
                    <w:t xml:space="preserve">0.137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17" w:hRule="atLeast"/>
                <w:jc w:val="center"/>
              </w:trPr>
              <w:tc>
                <w:tcPr>
                  <w:tcW w:w="2146" w:type="dxa"/>
                  <w:noWrap w:val="0"/>
                  <w:vAlign w:val="center"/>
                </w:tcPr>
                <w:p>
                  <w:pPr>
                    <w:jc w:val="center"/>
                    <w:rPr>
                      <w:color w:val="auto"/>
                    </w:rPr>
                  </w:pPr>
                  <w:r>
                    <w:rPr>
                      <w:color w:val="auto"/>
                    </w:rPr>
                    <w:t>1400</w:t>
                  </w:r>
                </w:p>
              </w:tc>
              <w:tc>
                <w:tcPr>
                  <w:tcW w:w="2847" w:type="dxa"/>
                  <w:noWrap w:val="0"/>
                  <w:vAlign w:val="center"/>
                </w:tcPr>
                <w:p>
                  <w:pPr>
                    <w:jc w:val="center"/>
                    <w:rPr>
                      <w:color w:val="auto"/>
                    </w:rPr>
                  </w:pPr>
                  <w:r>
                    <w:rPr>
                      <w:color w:val="auto"/>
                    </w:rPr>
                    <w:t xml:space="preserve">13.076 </w:t>
                  </w:r>
                </w:p>
              </w:tc>
              <w:tc>
                <w:tcPr>
                  <w:tcW w:w="1859" w:type="dxa"/>
                  <w:noWrap w:val="0"/>
                  <w:vAlign w:val="center"/>
                </w:tcPr>
                <w:p>
                  <w:pPr>
                    <w:jc w:val="center"/>
                    <w:rPr>
                      <w:color w:val="auto"/>
                    </w:rPr>
                  </w:pPr>
                  <w:r>
                    <w:rPr>
                      <w:color w:val="auto"/>
                    </w:rPr>
                    <w:t xml:space="preserve">3000 </w:t>
                  </w:r>
                </w:p>
              </w:tc>
              <w:tc>
                <w:tcPr>
                  <w:tcW w:w="2197" w:type="dxa"/>
                  <w:noWrap w:val="0"/>
                  <w:vAlign w:val="center"/>
                </w:tcPr>
                <w:p>
                  <w:pPr>
                    <w:jc w:val="center"/>
                    <w:rPr>
                      <w:color w:val="auto"/>
                    </w:rPr>
                  </w:pPr>
                  <w:r>
                    <w:rPr>
                      <w:color w:val="auto"/>
                    </w:rPr>
                    <w:t xml:space="preserve">0.134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13" w:hRule="atLeast"/>
                <w:jc w:val="center"/>
              </w:trPr>
              <w:tc>
                <w:tcPr>
                  <w:tcW w:w="2146" w:type="dxa"/>
                  <w:noWrap w:val="0"/>
                  <w:vAlign w:val="center"/>
                </w:tcPr>
                <w:p>
                  <w:pPr>
                    <w:jc w:val="center"/>
                    <w:rPr>
                      <w:color w:val="auto"/>
                    </w:rPr>
                  </w:pPr>
                  <w:r>
                    <w:rPr>
                      <w:color w:val="auto"/>
                    </w:rPr>
                    <w:t>1500</w:t>
                  </w:r>
                </w:p>
              </w:tc>
              <w:tc>
                <w:tcPr>
                  <w:tcW w:w="2847" w:type="dxa"/>
                  <w:noWrap w:val="0"/>
                  <w:vAlign w:val="center"/>
                </w:tcPr>
                <w:p>
                  <w:pPr>
                    <w:jc w:val="center"/>
                    <w:rPr>
                      <w:color w:val="auto"/>
                    </w:rPr>
                  </w:pPr>
                  <w:r>
                    <w:rPr>
                      <w:color w:val="auto"/>
                    </w:rPr>
                    <w:t xml:space="preserve">13.007 </w:t>
                  </w:r>
                </w:p>
              </w:tc>
              <w:tc>
                <w:tcPr>
                  <w:tcW w:w="1859" w:type="dxa"/>
                  <w:noWrap w:val="0"/>
                  <w:vAlign w:val="center"/>
                </w:tcPr>
                <w:p>
                  <w:pPr>
                    <w:widowControl/>
                    <w:jc w:val="center"/>
                    <w:rPr>
                      <w:color w:val="auto"/>
                      <w:kern w:val="0"/>
                    </w:rPr>
                  </w:pPr>
                  <w:r>
                    <w:rPr>
                      <w:color w:val="auto"/>
                    </w:rPr>
                    <w:t>4000</w:t>
                  </w:r>
                </w:p>
              </w:tc>
              <w:tc>
                <w:tcPr>
                  <w:tcW w:w="2197" w:type="dxa"/>
                  <w:noWrap w:val="0"/>
                  <w:vAlign w:val="center"/>
                </w:tcPr>
                <w:p>
                  <w:pPr>
                    <w:jc w:val="center"/>
                    <w:rPr>
                      <w:color w:val="auto"/>
                    </w:rPr>
                  </w:pPr>
                  <w:r>
                    <w:rPr>
                      <w:color w:val="auto"/>
                    </w:rPr>
                    <w:t>0.1289</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1600</w:t>
                  </w:r>
                </w:p>
              </w:tc>
              <w:tc>
                <w:tcPr>
                  <w:tcW w:w="2847" w:type="dxa"/>
                  <w:noWrap w:val="0"/>
                  <w:vAlign w:val="center"/>
                </w:tcPr>
                <w:p>
                  <w:pPr>
                    <w:jc w:val="center"/>
                    <w:rPr>
                      <w:color w:val="auto"/>
                    </w:rPr>
                  </w:pPr>
                  <w:r>
                    <w:rPr>
                      <w:color w:val="auto"/>
                    </w:rPr>
                    <w:t xml:space="preserve">12.939 </w:t>
                  </w:r>
                </w:p>
              </w:tc>
              <w:tc>
                <w:tcPr>
                  <w:tcW w:w="1859" w:type="dxa"/>
                  <w:noWrap w:val="0"/>
                  <w:vAlign w:val="center"/>
                </w:tcPr>
                <w:p>
                  <w:pPr>
                    <w:jc w:val="center"/>
                    <w:rPr>
                      <w:color w:val="auto"/>
                    </w:rPr>
                  </w:pPr>
                  <w:r>
                    <w:rPr>
                      <w:color w:val="auto"/>
                    </w:rPr>
                    <w:t>5000</w:t>
                  </w:r>
                </w:p>
              </w:tc>
              <w:tc>
                <w:tcPr>
                  <w:tcW w:w="2197" w:type="dxa"/>
                  <w:noWrap w:val="0"/>
                  <w:vAlign w:val="center"/>
                </w:tcPr>
                <w:p>
                  <w:pPr>
                    <w:jc w:val="center"/>
                    <w:rPr>
                      <w:color w:val="auto"/>
                    </w:rPr>
                  </w:pPr>
                  <w:r>
                    <w:rPr>
                      <w:color w:val="auto"/>
                    </w:rPr>
                    <w:t>0.1239</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1700</w:t>
                  </w:r>
                </w:p>
              </w:tc>
              <w:tc>
                <w:tcPr>
                  <w:tcW w:w="2847" w:type="dxa"/>
                  <w:noWrap w:val="0"/>
                  <w:vAlign w:val="center"/>
                </w:tcPr>
                <w:p>
                  <w:pPr>
                    <w:jc w:val="center"/>
                    <w:rPr>
                      <w:color w:val="auto"/>
                    </w:rPr>
                  </w:pPr>
                  <w:r>
                    <w:rPr>
                      <w:color w:val="auto"/>
                    </w:rPr>
                    <w:t xml:space="preserve">12.871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1800</w:t>
                  </w:r>
                </w:p>
              </w:tc>
              <w:tc>
                <w:tcPr>
                  <w:tcW w:w="2847" w:type="dxa"/>
                  <w:noWrap w:val="0"/>
                  <w:vAlign w:val="center"/>
                </w:tcPr>
                <w:p>
                  <w:pPr>
                    <w:jc w:val="center"/>
                    <w:rPr>
                      <w:color w:val="auto"/>
                    </w:rPr>
                  </w:pPr>
                  <w:r>
                    <w:rPr>
                      <w:color w:val="auto"/>
                    </w:rPr>
                    <w:t xml:space="preserve">12.804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1900</w:t>
                  </w:r>
                </w:p>
              </w:tc>
              <w:tc>
                <w:tcPr>
                  <w:tcW w:w="2847" w:type="dxa"/>
                  <w:noWrap w:val="0"/>
                  <w:vAlign w:val="center"/>
                </w:tcPr>
                <w:p>
                  <w:pPr>
                    <w:jc w:val="center"/>
                    <w:rPr>
                      <w:color w:val="auto"/>
                    </w:rPr>
                  </w:pPr>
                  <w:r>
                    <w:rPr>
                      <w:color w:val="auto"/>
                    </w:rPr>
                    <w:t xml:space="preserve">12.737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2000</w:t>
                  </w:r>
                </w:p>
              </w:tc>
              <w:tc>
                <w:tcPr>
                  <w:tcW w:w="2847" w:type="dxa"/>
                  <w:noWrap w:val="0"/>
                  <w:vAlign w:val="center"/>
                </w:tcPr>
                <w:p>
                  <w:pPr>
                    <w:jc w:val="center"/>
                    <w:rPr>
                      <w:color w:val="auto"/>
                    </w:rPr>
                  </w:pPr>
                  <w:r>
                    <w:rPr>
                      <w:color w:val="auto"/>
                    </w:rPr>
                    <w:t xml:space="preserve">12.670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bl>
          <w:p>
            <w:pPr>
              <w:adjustRightInd w:val="0"/>
              <w:snapToGrid w:val="0"/>
              <w:spacing w:line="500" w:lineRule="exact"/>
              <w:ind w:firstLine="480" w:firstLineChars="200"/>
              <w:rPr>
                <w:b/>
                <w:bCs/>
                <w:color w:val="auto"/>
                <w:lang w:val="en-GB"/>
              </w:rPr>
            </w:pPr>
            <w:r>
              <w:rPr>
                <w:color w:val="auto"/>
                <w:lang w:val="en-GB"/>
              </w:rPr>
              <w:t>非正常工况排污预测结果列于表</w:t>
            </w:r>
            <w:r>
              <w:rPr>
                <w:color w:val="auto"/>
              </w:rPr>
              <w:t>7-22</w:t>
            </w:r>
            <w:r>
              <w:rPr>
                <w:color w:val="auto"/>
                <w:lang w:val="en-GB"/>
              </w:rPr>
              <w:t>。</w:t>
            </w:r>
          </w:p>
          <w:p>
            <w:pPr>
              <w:adjustRightInd w:val="0"/>
              <w:snapToGrid w:val="0"/>
              <w:spacing w:line="360" w:lineRule="auto"/>
              <w:jc w:val="center"/>
              <w:rPr>
                <w:rFonts w:eastAsia="黑体"/>
                <w:bCs/>
                <w:color w:val="auto"/>
              </w:rPr>
            </w:pPr>
            <w:r>
              <w:rPr>
                <w:rFonts w:eastAsia="黑体"/>
                <w:bCs/>
                <w:color w:val="auto"/>
              </w:rPr>
              <w:t>表7-22  非正常工况各污染物浓预测值(mg/L)</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15" w:type="dxa"/>
                <w:left w:w="15" w:type="dxa"/>
                <w:bottom w:w="15" w:type="dxa"/>
                <w:right w:w="15" w:type="dxa"/>
              </w:tblCellMar>
            </w:tblPr>
            <w:tblGrid>
              <w:gridCol w:w="2146"/>
              <w:gridCol w:w="2847"/>
              <w:gridCol w:w="1859"/>
              <w:gridCol w:w="219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346" w:hRule="atLeast"/>
                <w:jc w:val="center"/>
              </w:trPr>
              <w:tc>
                <w:tcPr>
                  <w:tcW w:w="4993" w:type="dxa"/>
                  <w:gridSpan w:val="2"/>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COD</w:t>
                  </w:r>
                </w:p>
              </w:tc>
              <w:tc>
                <w:tcPr>
                  <w:tcW w:w="4056" w:type="dxa"/>
                  <w:gridSpan w:val="2"/>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NH</w:t>
                  </w:r>
                  <w:r>
                    <w:rPr>
                      <w:color w:val="auto"/>
                      <w:kern w:val="0"/>
                      <w:sz w:val="21"/>
                      <w:szCs w:val="21"/>
                      <w:vertAlign w:val="subscript"/>
                      <w:lang w:bidi="ar"/>
                    </w:rPr>
                    <w:t>3</w:t>
                  </w:r>
                  <w:r>
                    <w:rPr>
                      <w:color w:val="auto"/>
                      <w:kern w:val="0"/>
                      <w:sz w:val="21"/>
                      <w:szCs w:val="21"/>
                      <w:lang w:bidi="ar"/>
                    </w:rPr>
                    <w:t>-N</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X(m)</w:t>
                  </w:r>
                </w:p>
              </w:tc>
              <w:tc>
                <w:tcPr>
                  <w:tcW w:w="2847"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c(mg/L)</w:t>
                  </w:r>
                </w:p>
              </w:tc>
              <w:tc>
                <w:tcPr>
                  <w:tcW w:w="1859"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X(m)</w:t>
                  </w:r>
                </w:p>
              </w:tc>
              <w:tc>
                <w:tcPr>
                  <w:tcW w:w="2197" w:type="dxa"/>
                  <w:shd w:val="clear" w:color="auto" w:fill="DCE6F2"/>
                  <w:noWrap w:val="0"/>
                  <w:vAlign w:val="center"/>
                </w:tcPr>
                <w:p>
                  <w:pPr>
                    <w:widowControl/>
                    <w:adjustRightInd w:val="0"/>
                    <w:snapToGrid w:val="0"/>
                    <w:jc w:val="center"/>
                    <w:textAlignment w:val="center"/>
                    <w:rPr>
                      <w:color w:val="auto"/>
                      <w:kern w:val="0"/>
                      <w:sz w:val="21"/>
                      <w:szCs w:val="21"/>
                      <w:lang w:bidi="ar"/>
                    </w:rPr>
                  </w:pPr>
                  <w:r>
                    <w:rPr>
                      <w:color w:val="auto"/>
                      <w:kern w:val="0"/>
                      <w:sz w:val="21"/>
                      <w:szCs w:val="21"/>
                      <w:lang w:bidi="ar"/>
                    </w:rPr>
                    <w:t>c(mg/L)</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widowControl/>
                    <w:jc w:val="center"/>
                    <w:rPr>
                      <w:color w:val="auto"/>
                      <w:kern w:val="0"/>
                    </w:rPr>
                  </w:pPr>
                  <w:r>
                    <w:rPr>
                      <w:color w:val="auto"/>
                    </w:rPr>
                    <w:t>0</w:t>
                  </w:r>
                </w:p>
              </w:tc>
              <w:tc>
                <w:tcPr>
                  <w:tcW w:w="2847" w:type="dxa"/>
                  <w:noWrap w:val="0"/>
                  <w:vAlign w:val="center"/>
                </w:tcPr>
                <w:p>
                  <w:pPr>
                    <w:jc w:val="center"/>
                    <w:rPr>
                      <w:color w:val="auto"/>
                    </w:rPr>
                  </w:pPr>
                  <w:r>
                    <w:rPr>
                      <w:color w:val="auto"/>
                    </w:rPr>
                    <w:t xml:space="preserve">14.469 </w:t>
                  </w:r>
                </w:p>
              </w:tc>
              <w:tc>
                <w:tcPr>
                  <w:tcW w:w="1859" w:type="dxa"/>
                  <w:noWrap w:val="0"/>
                  <w:vAlign w:val="center"/>
                </w:tcPr>
                <w:p>
                  <w:pPr>
                    <w:widowControl/>
                    <w:jc w:val="center"/>
                    <w:rPr>
                      <w:color w:val="auto"/>
                      <w:kern w:val="0"/>
                    </w:rPr>
                  </w:pPr>
                  <w:r>
                    <w:rPr>
                      <w:color w:val="auto"/>
                    </w:rPr>
                    <w:t>0</w:t>
                  </w:r>
                </w:p>
              </w:tc>
              <w:tc>
                <w:tcPr>
                  <w:tcW w:w="2197" w:type="dxa"/>
                  <w:noWrap w:val="0"/>
                  <w:vAlign w:val="center"/>
                </w:tcPr>
                <w:p>
                  <w:pPr>
                    <w:widowControl/>
                    <w:jc w:val="center"/>
                    <w:rPr>
                      <w:color w:val="auto"/>
                      <w:kern w:val="0"/>
                    </w:rPr>
                  </w:pPr>
                  <w:r>
                    <w:rPr>
                      <w:color w:val="auto"/>
                    </w:rPr>
                    <w:t xml:space="preserve">0.171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100</w:t>
                  </w:r>
                </w:p>
              </w:tc>
              <w:tc>
                <w:tcPr>
                  <w:tcW w:w="2847" w:type="dxa"/>
                  <w:noWrap w:val="0"/>
                  <w:vAlign w:val="center"/>
                </w:tcPr>
                <w:p>
                  <w:pPr>
                    <w:jc w:val="center"/>
                    <w:rPr>
                      <w:color w:val="auto"/>
                    </w:rPr>
                  </w:pPr>
                  <w:r>
                    <w:rPr>
                      <w:color w:val="auto"/>
                    </w:rPr>
                    <w:t xml:space="preserve">14.393 </w:t>
                  </w:r>
                </w:p>
              </w:tc>
              <w:tc>
                <w:tcPr>
                  <w:tcW w:w="1859" w:type="dxa"/>
                  <w:noWrap w:val="0"/>
                  <w:vAlign w:val="center"/>
                </w:tcPr>
                <w:p>
                  <w:pPr>
                    <w:jc w:val="center"/>
                    <w:rPr>
                      <w:color w:val="auto"/>
                    </w:rPr>
                  </w:pPr>
                  <w:r>
                    <w:rPr>
                      <w:color w:val="auto"/>
                    </w:rPr>
                    <w:t>100</w:t>
                  </w:r>
                </w:p>
              </w:tc>
              <w:tc>
                <w:tcPr>
                  <w:tcW w:w="2197" w:type="dxa"/>
                  <w:noWrap w:val="0"/>
                  <w:vAlign w:val="center"/>
                </w:tcPr>
                <w:p>
                  <w:pPr>
                    <w:jc w:val="center"/>
                    <w:rPr>
                      <w:color w:val="auto"/>
                    </w:rPr>
                  </w:pPr>
                  <w:r>
                    <w:rPr>
                      <w:color w:val="auto"/>
                    </w:rPr>
                    <w:t xml:space="preserve">0.170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200</w:t>
                  </w:r>
                </w:p>
              </w:tc>
              <w:tc>
                <w:tcPr>
                  <w:tcW w:w="2847" w:type="dxa"/>
                  <w:noWrap w:val="0"/>
                  <w:vAlign w:val="center"/>
                </w:tcPr>
                <w:p>
                  <w:pPr>
                    <w:jc w:val="center"/>
                    <w:rPr>
                      <w:color w:val="auto"/>
                    </w:rPr>
                  </w:pPr>
                  <w:r>
                    <w:rPr>
                      <w:color w:val="auto"/>
                    </w:rPr>
                    <w:t xml:space="preserve">14.318 </w:t>
                  </w:r>
                </w:p>
              </w:tc>
              <w:tc>
                <w:tcPr>
                  <w:tcW w:w="1859" w:type="dxa"/>
                  <w:noWrap w:val="0"/>
                  <w:vAlign w:val="center"/>
                </w:tcPr>
                <w:p>
                  <w:pPr>
                    <w:jc w:val="center"/>
                    <w:rPr>
                      <w:color w:val="auto"/>
                    </w:rPr>
                  </w:pPr>
                  <w:r>
                    <w:rPr>
                      <w:color w:val="auto"/>
                    </w:rPr>
                    <w:t>200</w:t>
                  </w:r>
                </w:p>
              </w:tc>
              <w:tc>
                <w:tcPr>
                  <w:tcW w:w="2197" w:type="dxa"/>
                  <w:noWrap w:val="0"/>
                  <w:vAlign w:val="center"/>
                </w:tcPr>
                <w:p>
                  <w:pPr>
                    <w:jc w:val="center"/>
                    <w:rPr>
                      <w:color w:val="auto"/>
                    </w:rPr>
                  </w:pPr>
                  <w:r>
                    <w:rPr>
                      <w:color w:val="auto"/>
                    </w:rPr>
                    <w:t xml:space="preserve">0.169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300</w:t>
                  </w:r>
                </w:p>
              </w:tc>
              <w:tc>
                <w:tcPr>
                  <w:tcW w:w="2847" w:type="dxa"/>
                  <w:noWrap w:val="0"/>
                  <w:vAlign w:val="center"/>
                </w:tcPr>
                <w:p>
                  <w:pPr>
                    <w:jc w:val="center"/>
                    <w:rPr>
                      <w:color w:val="auto"/>
                    </w:rPr>
                  </w:pPr>
                  <w:r>
                    <w:rPr>
                      <w:color w:val="auto"/>
                    </w:rPr>
                    <w:t xml:space="preserve">14.243 </w:t>
                  </w:r>
                </w:p>
              </w:tc>
              <w:tc>
                <w:tcPr>
                  <w:tcW w:w="1859" w:type="dxa"/>
                  <w:noWrap w:val="0"/>
                  <w:vAlign w:val="center"/>
                </w:tcPr>
                <w:p>
                  <w:pPr>
                    <w:jc w:val="center"/>
                    <w:rPr>
                      <w:color w:val="auto"/>
                    </w:rPr>
                  </w:pPr>
                  <w:r>
                    <w:rPr>
                      <w:color w:val="auto"/>
                    </w:rPr>
                    <w:t>300</w:t>
                  </w:r>
                </w:p>
              </w:tc>
              <w:tc>
                <w:tcPr>
                  <w:tcW w:w="2197" w:type="dxa"/>
                  <w:noWrap w:val="0"/>
                  <w:vAlign w:val="center"/>
                </w:tcPr>
                <w:p>
                  <w:pPr>
                    <w:jc w:val="center"/>
                    <w:rPr>
                      <w:color w:val="auto"/>
                    </w:rPr>
                  </w:pPr>
                  <w:r>
                    <w:rPr>
                      <w:color w:val="auto"/>
                    </w:rPr>
                    <w:t xml:space="preserve">0.169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400</w:t>
                  </w:r>
                </w:p>
              </w:tc>
              <w:tc>
                <w:tcPr>
                  <w:tcW w:w="2847" w:type="dxa"/>
                  <w:noWrap w:val="0"/>
                  <w:vAlign w:val="center"/>
                </w:tcPr>
                <w:p>
                  <w:pPr>
                    <w:jc w:val="center"/>
                    <w:rPr>
                      <w:color w:val="auto"/>
                    </w:rPr>
                  </w:pPr>
                  <w:r>
                    <w:rPr>
                      <w:color w:val="auto"/>
                    </w:rPr>
                    <w:t xml:space="preserve">14.168 </w:t>
                  </w:r>
                </w:p>
              </w:tc>
              <w:tc>
                <w:tcPr>
                  <w:tcW w:w="1859" w:type="dxa"/>
                  <w:noWrap w:val="0"/>
                  <w:vAlign w:val="center"/>
                </w:tcPr>
                <w:p>
                  <w:pPr>
                    <w:jc w:val="center"/>
                    <w:rPr>
                      <w:color w:val="auto"/>
                    </w:rPr>
                  </w:pPr>
                  <w:r>
                    <w:rPr>
                      <w:color w:val="auto"/>
                    </w:rPr>
                    <w:t>400</w:t>
                  </w:r>
                </w:p>
              </w:tc>
              <w:tc>
                <w:tcPr>
                  <w:tcW w:w="2197" w:type="dxa"/>
                  <w:noWrap w:val="0"/>
                  <w:vAlign w:val="center"/>
                </w:tcPr>
                <w:p>
                  <w:pPr>
                    <w:jc w:val="center"/>
                    <w:rPr>
                      <w:color w:val="auto"/>
                    </w:rPr>
                  </w:pPr>
                  <w:r>
                    <w:rPr>
                      <w:color w:val="auto"/>
                    </w:rPr>
                    <w:t xml:space="preserve">0.168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500</w:t>
                  </w:r>
                </w:p>
              </w:tc>
              <w:tc>
                <w:tcPr>
                  <w:tcW w:w="2847" w:type="dxa"/>
                  <w:noWrap w:val="0"/>
                  <w:vAlign w:val="center"/>
                </w:tcPr>
                <w:p>
                  <w:pPr>
                    <w:jc w:val="center"/>
                    <w:rPr>
                      <w:color w:val="auto"/>
                    </w:rPr>
                  </w:pPr>
                  <w:r>
                    <w:rPr>
                      <w:color w:val="auto"/>
                    </w:rPr>
                    <w:t xml:space="preserve">14.094 </w:t>
                  </w:r>
                </w:p>
              </w:tc>
              <w:tc>
                <w:tcPr>
                  <w:tcW w:w="1859" w:type="dxa"/>
                  <w:noWrap w:val="0"/>
                  <w:vAlign w:val="center"/>
                </w:tcPr>
                <w:p>
                  <w:pPr>
                    <w:jc w:val="center"/>
                    <w:rPr>
                      <w:color w:val="auto"/>
                    </w:rPr>
                  </w:pPr>
                  <w:r>
                    <w:rPr>
                      <w:color w:val="auto"/>
                    </w:rPr>
                    <w:t>500</w:t>
                  </w:r>
                </w:p>
              </w:tc>
              <w:tc>
                <w:tcPr>
                  <w:tcW w:w="2197" w:type="dxa"/>
                  <w:noWrap w:val="0"/>
                  <w:vAlign w:val="center"/>
                </w:tcPr>
                <w:p>
                  <w:pPr>
                    <w:jc w:val="center"/>
                    <w:rPr>
                      <w:color w:val="auto"/>
                    </w:rPr>
                  </w:pPr>
                  <w:r>
                    <w:rPr>
                      <w:color w:val="auto"/>
                    </w:rPr>
                    <w:t xml:space="preserve">0.167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600</w:t>
                  </w:r>
                </w:p>
              </w:tc>
              <w:tc>
                <w:tcPr>
                  <w:tcW w:w="2847" w:type="dxa"/>
                  <w:noWrap w:val="0"/>
                  <w:vAlign w:val="center"/>
                </w:tcPr>
                <w:p>
                  <w:pPr>
                    <w:jc w:val="center"/>
                    <w:rPr>
                      <w:color w:val="auto"/>
                    </w:rPr>
                  </w:pPr>
                  <w:r>
                    <w:rPr>
                      <w:color w:val="auto"/>
                    </w:rPr>
                    <w:t xml:space="preserve">14.020 </w:t>
                  </w:r>
                </w:p>
              </w:tc>
              <w:tc>
                <w:tcPr>
                  <w:tcW w:w="1859" w:type="dxa"/>
                  <w:noWrap w:val="0"/>
                  <w:vAlign w:val="center"/>
                </w:tcPr>
                <w:p>
                  <w:pPr>
                    <w:jc w:val="center"/>
                    <w:rPr>
                      <w:color w:val="auto"/>
                    </w:rPr>
                  </w:pPr>
                  <w:r>
                    <w:rPr>
                      <w:color w:val="auto"/>
                    </w:rPr>
                    <w:t>600</w:t>
                  </w:r>
                </w:p>
              </w:tc>
              <w:tc>
                <w:tcPr>
                  <w:tcW w:w="2197" w:type="dxa"/>
                  <w:noWrap w:val="0"/>
                  <w:vAlign w:val="center"/>
                </w:tcPr>
                <w:p>
                  <w:pPr>
                    <w:jc w:val="center"/>
                    <w:rPr>
                      <w:color w:val="auto"/>
                    </w:rPr>
                  </w:pPr>
                  <w:r>
                    <w:rPr>
                      <w:color w:val="auto"/>
                    </w:rPr>
                    <w:t xml:space="preserve">0.167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b/>
                      <w:bCs/>
                      <w:color w:val="auto"/>
                    </w:rPr>
                  </w:pPr>
                  <w:r>
                    <w:rPr>
                      <w:b/>
                      <w:bCs/>
                      <w:color w:val="auto"/>
                    </w:rPr>
                    <w:t>700</w:t>
                  </w:r>
                </w:p>
              </w:tc>
              <w:tc>
                <w:tcPr>
                  <w:tcW w:w="2847" w:type="dxa"/>
                  <w:noWrap w:val="0"/>
                  <w:vAlign w:val="center"/>
                </w:tcPr>
                <w:p>
                  <w:pPr>
                    <w:jc w:val="center"/>
                    <w:rPr>
                      <w:b/>
                      <w:bCs/>
                      <w:color w:val="auto"/>
                    </w:rPr>
                  </w:pPr>
                  <w:r>
                    <w:rPr>
                      <w:b/>
                      <w:bCs/>
                      <w:color w:val="auto"/>
                    </w:rPr>
                    <w:t xml:space="preserve">13.946 </w:t>
                  </w:r>
                </w:p>
              </w:tc>
              <w:tc>
                <w:tcPr>
                  <w:tcW w:w="1859" w:type="dxa"/>
                  <w:noWrap w:val="0"/>
                  <w:vAlign w:val="center"/>
                </w:tcPr>
                <w:p>
                  <w:pPr>
                    <w:jc w:val="center"/>
                    <w:rPr>
                      <w:color w:val="auto"/>
                    </w:rPr>
                  </w:pPr>
                  <w:r>
                    <w:rPr>
                      <w:color w:val="auto"/>
                    </w:rPr>
                    <w:t>700</w:t>
                  </w:r>
                </w:p>
              </w:tc>
              <w:tc>
                <w:tcPr>
                  <w:tcW w:w="2197" w:type="dxa"/>
                  <w:noWrap w:val="0"/>
                  <w:vAlign w:val="center"/>
                </w:tcPr>
                <w:p>
                  <w:pPr>
                    <w:jc w:val="center"/>
                    <w:rPr>
                      <w:color w:val="auto"/>
                    </w:rPr>
                  </w:pPr>
                  <w:r>
                    <w:rPr>
                      <w:color w:val="auto"/>
                    </w:rPr>
                    <w:t xml:space="preserve">0.166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800</w:t>
                  </w:r>
                </w:p>
              </w:tc>
              <w:tc>
                <w:tcPr>
                  <w:tcW w:w="2847" w:type="dxa"/>
                  <w:noWrap w:val="0"/>
                  <w:vAlign w:val="center"/>
                </w:tcPr>
                <w:p>
                  <w:pPr>
                    <w:jc w:val="center"/>
                    <w:rPr>
                      <w:color w:val="auto"/>
                    </w:rPr>
                  </w:pPr>
                  <w:r>
                    <w:rPr>
                      <w:color w:val="auto"/>
                    </w:rPr>
                    <w:t xml:space="preserve">13.873 </w:t>
                  </w:r>
                </w:p>
              </w:tc>
              <w:tc>
                <w:tcPr>
                  <w:tcW w:w="1859" w:type="dxa"/>
                  <w:noWrap w:val="0"/>
                  <w:vAlign w:val="center"/>
                </w:tcPr>
                <w:p>
                  <w:pPr>
                    <w:jc w:val="center"/>
                    <w:rPr>
                      <w:color w:val="auto"/>
                    </w:rPr>
                  </w:pPr>
                  <w:r>
                    <w:rPr>
                      <w:color w:val="auto"/>
                    </w:rPr>
                    <w:t>800</w:t>
                  </w:r>
                </w:p>
              </w:tc>
              <w:tc>
                <w:tcPr>
                  <w:tcW w:w="2197" w:type="dxa"/>
                  <w:noWrap w:val="0"/>
                  <w:vAlign w:val="center"/>
                </w:tcPr>
                <w:p>
                  <w:pPr>
                    <w:jc w:val="center"/>
                    <w:rPr>
                      <w:color w:val="auto"/>
                    </w:rPr>
                  </w:pPr>
                  <w:r>
                    <w:rPr>
                      <w:color w:val="auto"/>
                    </w:rPr>
                    <w:t xml:space="preserve">0.165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2146" w:type="dxa"/>
                  <w:noWrap w:val="0"/>
                  <w:vAlign w:val="center"/>
                </w:tcPr>
                <w:p>
                  <w:pPr>
                    <w:jc w:val="center"/>
                    <w:rPr>
                      <w:color w:val="auto"/>
                    </w:rPr>
                  </w:pPr>
                  <w:r>
                    <w:rPr>
                      <w:color w:val="auto"/>
                    </w:rPr>
                    <w:t>900</w:t>
                  </w:r>
                </w:p>
              </w:tc>
              <w:tc>
                <w:tcPr>
                  <w:tcW w:w="2847" w:type="dxa"/>
                  <w:noWrap w:val="0"/>
                  <w:vAlign w:val="center"/>
                </w:tcPr>
                <w:p>
                  <w:pPr>
                    <w:jc w:val="center"/>
                    <w:rPr>
                      <w:color w:val="auto"/>
                    </w:rPr>
                  </w:pPr>
                  <w:r>
                    <w:rPr>
                      <w:color w:val="auto"/>
                    </w:rPr>
                    <w:t xml:space="preserve">13.800 </w:t>
                  </w:r>
                </w:p>
              </w:tc>
              <w:tc>
                <w:tcPr>
                  <w:tcW w:w="1859" w:type="dxa"/>
                  <w:noWrap w:val="0"/>
                  <w:vAlign w:val="center"/>
                </w:tcPr>
                <w:p>
                  <w:pPr>
                    <w:jc w:val="center"/>
                    <w:rPr>
                      <w:color w:val="auto"/>
                    </w:rPr>
                  </w:pPr>
                  <w:r>
                    <w:rPr>
                      <w:color w:val="auto"/>
                    </w:rPr>
                    <w:t>900</w:t>
                  </w:r>
                </w:p>
              </w:tc>
              <w:tc>
                <w:tcPr>
                  <w:tcW w:w="2197" w:type="dxa"/>
                  <w:noWrap w:val="0"/>
                  <w:vAlign w:val="center"/>
                </w:tcPr>
                <w:p>
                  <w:pPr>
                    <w:jc w:val="center"/>
                    <w:rPr>
                      <w:color w:val="auto"/>
                    </w:rPr>
                  </w:pPr>
                  <w:r>
                    <w:rPr>
                      <w:color w:val="auto"/>
                    </w:rPr>
                    <w:t xml:space="preserve">0.165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61" w:hRule="atLeast"/>
                <w:jc w:val="center"/>
              </w:trPr>
              <w:tc>
                <w:tcPr>
                  <w:tcW w:w="2146" w:type="dxa"/>
                  <w:noWrap w:val="0"/>
                  <w:vAlign w:val="center"/>
                </w:tcPr>
                <w:p>
                  <w:pPr>
                    <w:jc w:val="center"/>
                    <w:rPr>
                      <w:color w:val="auto"/>
                    </w:rPr>
                  </w:pPr>
                  <w:r>
                    <w:rPr>
                      <w:color w:val="auto"/>
                    </w:rPr>
                    <w:t>1000</w:t>
                  </w:r>
                </w:p>
              </w:tc>
              <w:tc>
                <w:tcPr>
                  <w:tcW w:w="2847" w:type="dxa"/>
                  <w:noWrap w:val="0"/>
                  <w:vAlign w:val="center"/>
                </w:tcPr>
                <w:p>
                  <w:pPr>
                    <w:jc w:val="center"/>
                    <w:rPr>
                      <w:color w:val="auto"/>
                    </w:rPr>
                  </w:pPr>
                  <w:r>
                    <w:rPr>
                      <w:color w:val="auto"/>
                    </w:rPr>
                    <w:t xml:space="preserve">13.728 </w:t>
                  </w:r>
                </w:p>
              </w:tc>
              <w:tc>
                <w:tcPr>
                  <w:tcW w:w="1859" w:type="dxa"/>
                  <w:noWrap w:val="0"/>
                  <w:vAlign w:val="center"/>
                </w:tcPr>
                <w:p>
                  <w:pPr>
                    <w:jc w:val="center"/>
                    <w:rPr>
                      <w:color w:val="auto"/>
                    </w:rPr>
                  </w:pPr>
                  <w:r>
                    <w:rPr>
                      <w:color w:val="auto"/>
                    </w:rPr>
                    <w:t>1000</w:t>
                  </w:r>
                </w:p>
              </w:tc>
              <w:tc>
                <w:tcPr>
                  <w:tcW w:w="2197" w:type="dxa"/>
                  <w:noWrap w:val="0"/>
                  <w:vAlign w:val="center"/>
                </w:tcPr>
                <w:p>
                  <w:pPr>
                    <w:jc w:val="center"/>
                    <w:rPr>
                      <w:color w:val="auto"/>
                    </w:rPr>
                  </w:pPr>
                  <w:r>
                    <w:rPr>
                      <w:color w:val="auto"/>
                    </w:rPr>
                    <w:t xml:space="preserve">0.164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22" w:hRule="atLeast"/>
                <w:jc w:val="center"/>
              </w:trPr>
              <w:tc>
                <w:tcPr>
                  <w:tcW w:w="2146" w:type="dxa"/>
                  <w:noWrap w:val="0"/>
                  <w:vAlign w:val="center"/>
                </w:tcPr>
                <w:p>
                  <w:pPr>
                    <w:jc w:val="center"/>
                    <w:rPr>
                      <w:color w:val="auto"/>
                    </w:rPr>
                  </w:pPr>
                  <w:r>
                    <w:rPr>
                      <w:color w:val="auto"/>
                    </w:rPr>
                    <w:t>1100</w:t>
                  </w:r>
                </w:p>
              </w:tc>
              <w:tc>
                <w:tcPr>
                  <w:tcW w:w="2847" w:type="dxa"/>
                  <w:noWrap w:val="0"/>
                  <w:vAlign w:val="center"/>
                </w:tcPr>
                <w:p>
                  <w:pPr>
                    <w:jc w:val="center"/>
                    <w:rPr>
                      <w:color w:val="auto"/>
                    </w:rPr>
                  </w:pPr>
                  <w:r>
                    <w:rPr>
                      <w:color w:val="auto"/>
                    </w:rPr>
                    <w:t xml:space="preserve">13.656 </w:t>
                  </w:r>
                </w:p>
              </w:tc>
              <w:tc>
                <w:tcPr>
                  <w:tcW w:w="1859" w:type="dxa"/>
                  <w:noWrap w:val="0"/>
                  <w:vAlign w:val="center"/>
                </w:tcPr>
                <w:p>
                  <w:pPr>
                    <w:widowControl/>
                    <w:jc w:val="center"/>
                    <w:rPr>
                      <w:color w:val="auto"/>
                      <w:kern w:val="0"/>
                    </w:rPr>
                  </w:pPr>
                  <w:r>
                    <w:rPr>
                      <w:color w:val="auto"/>
                    </w:rPr>
                    <w:t>1500</w:t>
                  </w:r>
                </w:p>
              </w:tc>
              <w:tc>
                <w:tcPr>
                  <w:tcW w:w="2197" w:type="dxa"/>
                  <w:noWrap w:val="0"/>
                  <w:vAlign w:val="center"/>
                </w:tcPr>
                <w:p>
                  <w:pPr>
                    <w:jc w:val="center"/>
                    <w:rPr>
                      <w:color w:val="auto"/>
                    </w:rPr>
                  </w:pPr>
                  <w:r>
                    <w:rPr>
                      <w:color w:val="auto"/>
                    </w:rPr>
                    <w:t xml:space="preserve">0.161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75" w:hRule="atLeast"/>
                <w:jc w:val="center"/>
              </w:trPr>
              <w:tc>
                <w:tcPr>
                  <w:tcW w:w="2146" w:type="dxa"/>
                  <w:noWrap w:val="0"/>
                  <w:vAlign w:val="center"/>
                </w:tcPr>
                <w:p>
                  <w:pPr>
                    <w:jc w:val="center"/>
                    <w:rPr>
                      <w:color w:val="auto"/>
                    </w:rPr>
                  </w:pPr>
                  <w:r>
                    <w:rPr>
                      <w:color w:val="auto"/>
                    </w:rPr>
                    <w:t>1200</w:t>
                  </w:r>
                </w:p>
              </w:tc>
              <w:tc>
                <w:tcPr>
                  <w:tcW w:w="2847" w:type="dxa"/>
                  <w:noWrap w:val="0"/>
                  <w:vAlign w:val="center"/>
                </w:tcPr>
                <w:p>
                  <w:pPr>
                    <w:jc w:val="center"/>
                    <w:rPr>
                      <w:color w:val="auto"/>
                    </w:rPr>
                  </w:pPr>
                  <w:r>
                    <w:rPr>
                      <w:color w:val="auto"/>
                    </w:rPr>
                    <w:t xml:space="preserve">13.584 </w:t>
                  </w:r>
                </w:p>
              </w:tc>
              <w:tc>
                <w:tcPr>
                  <w:tcW w:w="1859" w:type="dxa"/>
                  <w:noWrap w:val="0"/>
                  <w:vAlign w:val="center"/>
                </w:tcPr>
                <w:p>
                  <w:pPr>
                    <w:jc w:val="center"/>
                    <w:rPr>
                      <w:color w:val="auto"/>
                    </w:rPr>
                  </w:pPr>
                  <w:r>
                    <w:rPr>
                      <w:color w:val="auto"/>
                    </w:rPr>
                    <w:t>2000</w:t>
                  </w:r>
                </w:p>
              </w:tc>
              <w:tc>
                <w:tcPr>
                  <w:tcW w:w="2197" w:type="dxa"/>
                  <w:noWrap w:val="0"/>
                  <w:vAlign w:val="center"/>
                </w:tcPr>
                <w:p>
                  <w:pPr>
                    <w:jc w:val="center"/>
                    <w:rPr>
                      <w:color w:val="auto"/>
                    </w:rPr>
                  </w:pPr>
                  <w:r>
                    <w:rPr>
                      <w:color w:val="auto"/>
                    </w:rPr>
                    <w:t xml:space="preserve">0.158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315" w:hRule="atLeast"/>
                <w:jc w:val="center"/>
              </w:trPr>
              <w:tc>
                <w:tcPr>
                  <w:tcW w:w="2146" w:type="dxa"/>
                  <w:noWrap w:val="0"/>
                  <w:vAlign w:val="center"/>
                </w:tcPr>
                <w:p>
                  <w:pPr>
                    <w:jc w:val="center"/>
                    <w:rPr>
                      <w:color w:val="auto"/>
                    </w:rPr>
                  </w:pPr>
                  <w:r>
                    <w:rPr>
                      <w:color w:val="auto"/>
                    </w:rPr>
                    <w:t>1300</w:t>
                  </w:r>
                </w:p>
              </w:tc>
              <w:tc>
                <w:tcPr>
                  <w:tcW w:w="2847" w:type="dxa"/>
                  <w:noWrap w:val="0"/>
                  <w:vAlign w:val="center"/>
                </w:tcPr>
                <w:p>
                  <w:pPr>
                    <w:jc w:val="center"/>
                    <w:rPr>
                      <w:color w:val="auto"/>
                    </w:rPr>
                  </w:pPr>
                  <w:r>
                    <w:rPr>
                      <w:color w:val="auto"/>
                    </w:rPr>
                    <w:t xml:space="preserve">13.513 </w:t>
                  </w:r>
                </w:p>
              </w:tc>
              <w:tc>
                <w:tcPr>
                  <w:tcW w:w="1859" w:type="dxa"/>
                  <w:noWrap w:val="0"/>
                  <w:vAlign w:val="center"/>
                </w:tcPr>
                <w:p>
                  <w:pPr>
                    <w:jc w:val="center"/>
                    <w:rPr>
                      <w:color w:val="auto"/>
                    </w:rPr>
                  </w:pPr>
                  <w:r>
                    <w:rPr>
                      <w:color w:val="auto"/>
                    </w:rPr>
                    <w:t>2500</w:t>
                  </w:r>
                </w:p>
              </w:tc>
              <w:tc>
                <w:tcPr>
                  <w:tcW w:w="2197" w:type="dxa"/>
                  <w:noWrap w:val="0"/>
                  <w:vAlign w:val="center"/>
                </w:tcPr>
                <w:p>
                  <w:pPr>
                    <w:jc w:val="center"/>
                    <w:rPr>
                      <w:color w:val="auto"/>
                    </w:rPr>
                  </w:pPr>
                  <w:r>
                    <w:rPr>
                      <w:color w:val="auto"/>
                    </w:rPr>
                    <w:t xml:space="preserve">0.155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17" w:hRule="atLeast"/>
                <w:jc w:val="center"/>
              </w:trPr>
              <w:tc>
                <w:tcPr>
                  <w:tcW w:w="2146" w:type="dxa"/>
                  <w:noWrap w:val="0"/>
                  <w:vAlign w:val="center"/>
                </w:tcPr>
                <w:p>
                  <w:pPr>
                    <w:jc w:val="center"/>
                    <w:rPr>
                      <w:color w:val="auto"/>
                    </w:rPr>
                  </w:pPr>
                  <w:r>
                    <w:rPr>
                      <w:color w:val="auto"/>
                    </w:rPr>
                    <w:t>1400</w:t>
                  </w:r>
                </w:p>
              </w:tc>
              <w:tc>
                <w:tcPr>
                  <w:tcW w:w="2847" w:type="dxa"/>
                  <w:noWrap w:val="0"/>
                  <w:vAlign w:val="center"/>
                </w:tcPr>
                <w:p>
                  <w:pPr>
                    <w:jc w:val="center"/>
                    <w:rPr>
                      <w:color w:val="auto"/>
                    </w:rPr>
                  </w:pPr>
                  <w:r>
                    <w:rPr>
                      <w:color w:val="auto"/>
                    </w:rPr>
                    <w:t xml:space="preserve">13.442 </w:t>
                  </w:r>
                </w:p>
              </w:tc>
              <w:tc>
                <w:tcPr>
                  <w:tcW w:w="1859" w:type="dxa"/>
                  <w:noWrap w:val="0"/>
                  <w:vAlign w:val="center"/>
                </w:tcPr>
                <w:p>
                  <w:pPr>
                    <w:jc w:val="center"/>
                    <w:rPr>
                      <w:color w:val="auto"/>
                    </w:rPr>
                  </w:pPr>
                  <w:r>
                    <w:rPr>
                      <w:color w:val="auto"/>
                    </w:rPr>
                    <w:t>3000</w:t>
                  </w:r>
                </w:p>
              </w:tc>
              <w:tc>
                <w:tcPr>
                  <w:tcW w:w="2197" w:type="dxa"/>
                  <w:noWrap w:val="0"/>
                  <w:vAlign w:val="center"/>
                </w:tcPr>
                <w:p>
                  <w:pPr>
                    <w:jc w:val="center"/>
                    <w:rPr>
                      <w:color w:val="auto"/>
                    </w:rPr>
                  </w:pPr>
                  <w:r>
                    <w:rPr>
                      <w:color w:val="auto"/>
                    </w:rPr>
                    <w:t xml:space="preserve">0.152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213" w:hRule="atLeast"/>
                <w:jc w:val="center"/>
              </w:trPr>
              <w:tc>
                <w:tcPr>
                  <w:tcW w:w="2146" w:type="dxa"/>
                  <w:noWrap w:val="0"/>
                  <w:vAlign w:val="center"/>
                </w:tcPr>
                <w:p>
                  <w:pPr>
                    <w:jc w:val="center"/>
                    <w:rPr>
                      <w:color w:val="auto"/>
                    </w:rPr>
                  </w:pPr>
                  <w:r>
                    <w:rPr>
                      <w:color w:val="auto"/>
                    </w:rPr>
                    <w:t>1500</w:t>
                  </w:r>
                </w:p>
              </w:tc>
              <w:tc>
                <w:tcPr>
                  <w:tcW w:w="2847" w:type="dxa"/>
                  <w:noWrap w:val="0"/>
                  <w:vAlign w:val="center"/>
                </w:tcPr>
                <w:p>
                  <w:pPr>
                    <w:jc w:val="center"/>
                    <w:rPr>
                      <w:color w:val="auto"/>
                    </w:rPr>
                  </w:pPr>
                  <w:r>
                    <w:rPr>
                      <w:color w:val="auto"/>
                    </w:rPr>
                    <w:t xml:space="preserve">13.371 </w:t>
                  </w:r>
                </w:p>
              </w:tc>
              <w:tc>
                <w:tcPr>
                  <w:tcW w:w="1859" w:type="dxa"/>
                  <w:noWrap w:val="0"/>
                  <w:vAlign w:val="center"/>
                </w:tcPr>
                <w:p>
                  <w:pPr>
                    <w:widowControl/>
                    <w:jc w:val="center"/>
                    <w:rPr>
                      <w:color w:val="auto"/>
                      <w:kern w:val="0"/>
                    </w:rPr>
                  </w:pPr>
                  <w:r>
                    <w:rPr>
                      <w:color w:val="auto"/>
                    </w:rPr>
                    <w:t>4000</w:t>
                  </w:r>
                </w:p>
              </w:tc>
              <w:tc>
                <w:tcPr>
                  <w:tcW w:w="2197" w:type="dxa"/>
                  <w:noWrap w:val="0"/>
                  <w:vAlign w:val="center"/>
                </w:tcPr>
                <w:p>
                  <w:pPr>
                    <w:jc w:val="center"/>
                    <w:rPr>
                      <w:color w:val="auto"/>
                    </w:rPr>
                  </w:pPr>
                  <w:r>
                    <w:rPr>
                      <w:color w:val="auto"/>
                    </w:rPr>
                    <w:t xml:space="preserve">0.146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1600</w:t>
                  </w:r>
                </w:p>
              </w:tc>
              <w:tc>
                <w:tcPr>
                  <w:tcW w:w="2847" w:type="dxa"/>
                  <w:noWrap w:val="0"/>
                  <w:vAlign w:val="center"/>
                </w:tcPr>
                <w:p>
                  <w:pPr>
                    <w:jc w:val="center"/>
                    <w:rPr>
                      <w:color w:val="auto"/>
                    </w:rPr>
                  </w:pPr>
                  <w:r>
                    <w:rPr>
                      <w:color w:val="auto"/>
                    </w:rPr>
                    <w:t xml:space="preserve">13.301 </w:t>
                  </w:r>
                </w:p>
              </w:tc>
              <w:tc>
                <w:tcPr>
                  <w:tcW w:w="1859" w:type="dxa"/>
                  <w:noWrap w:val="0"/>
                  <w:vAlign w:val="center"/>
                </w:tcPr>
                <w:p>
                  <w:pPr>
                    <w:jc w:val="center"/>
                    <w:rPr>
                      <w:color w:val="auto"/>
                    </w:rPr>
                  </w:pPr>
                  <w:r>
                    <w:rPr>
                      <w:color w:val="auto"/>
                    </w:rPr>
                    <w:t>5000</w:t>
                  </w:r>
                </w:p>
              </w:tc>
              <w:tc>
                <w:tcPr>
                  <w:tcW w:w="2197" w:type="dxa"/>
                  <w:noWrap w:val="0"/>
                  <w:vAlign w:val="center"/>
                </w:tcPr>
                <w:p>
                  <w:pPr>
                    <w:jc w:val="center"/>
                    <w:rPr>
                      <w:color w:val="auto"/>
                    </w:rPr>
                  </w:pPr>
                  <w:r>
                    <w:rPr>
                      <w:color w:val="auto"/>
                    </w:rPr>
                    <w:t xml:space="preserve">0.140 </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1700</w:t>
                  </w:r>
                </w:p>
              </w:tc>
              <w:tc>
                <w:tcPr>
                  <w:tcW w:w="2847" w:type="dxa"/>
                  <w:noWrap w:val="0"/>
                  <w:vAlign w:val="center"/>
                </w:tcPr>
                <w:p>
                  <w:pPr>
                    <w:jc w:val="center"/>
                    <w:rPr>
                      <w:color w:val="auto"/>
                    </w:rPr>
                  </w:pPr>
                  <w:r>
                    <w:rPr>
                      <w:color w:val="auto"/>
                    </w:rPr>
                    <w:t xml:space="preserve">13.231 </w:t>
                  </w:r>
                </w:p>
              </w:tc>
              <w:tc>
                <w:tcPr>
                  <w:tcW w:w="1859" w:type="dxa"/>
                  <w:noWrap w:val="0"/>
                  <w:vAlign w:val="top"/>
                </w:tcPr>
                <w:p>
                  <w:pPr>
                    <w:jc w:val="center"/>
                    <w:rPr>
                      <w:b/>
                      <w:bCs/>
                      <w:color w:val="auto"/>
                    </w:rPr>
                  </w:pPr>
                  <w:r>
                    <w:rPr>
                      <w:b/>
                      <w:bCs/>
                      <w:color w:val="auto"/>
                    </w:rPr>
                    <w:t>6000</w:t>
                  </w:r>
                </w:p>
              </w:tc>
              <w:tc>
                <w:tcPr>
                  <w:tcW w:w="2197" w:type="dxa"/>
                  <w:noWrap w:val="0"/>
                  <w:vAlign w:val="top"/>
                </w:tcPr>
                <w:p>
                  <w:pPr>
                    <w:jc w:val="center"/>
                    <w:rPr>
                      <w:b/>
                      <w:bCs/>
                      <w:color w:val="auto"/>
                    </w:rPr>
                  </w:pPr>
                  <w:r>
                    <w:rPr>
                      <w:b/>
                      <w:bCs/>
                      <w:color w:val="auto"/>
                    </w:rPr>
                    <w:t>0.135</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1800</w:t>
                  </w:r>
                </w:p>
              </w:tc>
              <w:tc>
                <w:tcPr>
                  <w:tcW w:w="2847" w:type="dxa"/>
                  <w:noWrap w:val="0"/>
                  <w:vAlign w:val="center"/>
                </w:tcPr>
                <w:p>
                  <w:pPr>
                    <w:jc w:val="center"/>
                    <w:rPr>
                      <w:color w:val="auto"/>
                    </w:rPr>
                  </w:pPr>
                  <w:r>
                    <w:rPr>
                      <w:color w:val="auto"/>
                    </w:rPr>
                    <w:t xml:space="preserve">13.162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1900</w:t>
                  </w:r>
                </w:p>
              </w:tc>
              <w:tc>
                <w:tcPr>
                  <w:tcW w:w="2847" w:type="dxa"/>
                  <w:noWrap w:val="0"/>
                  <w:vAlign w:val="center"/>
                </w:tcPr>
                <w:p>
                  <w:pPr>
                    <w:jc w:val="center"/>
                    <w:rPr>
                      <w:color w:val="auto"/>
                    </w:rPr>
                  </w:pPr>
                  <w:r>
                    <w:rPr>
                      <w:color w:val="auto"/>
                    </w:rPr>
                    <w:t xml:space="preserve">13.093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2146" w:type="dxa"/>
                  <w:noWrap w:val="0"/>
                  <w:vAlign w:val="center"/>
                </w:tcPr>
                <w:p>
                  <w:pPr>
                    <w:jc w:val="center"/>
                    <w:rPr>
                      <w:color w:val="auto"/>
                    </w:rPr>
                  </w:pPr>
                  <w:r>
                    <w:rPr>
                      <w:color w:val="auto"/>
                    </w:rPr>
                    <w:t>2000</w:t>
                  </w:r>
                </w:p>
              </w:tc>
              <w:tc>
                <w:tcPr>
                  <w:tcW w:w="2847" w:type="dxa"/>
                  <w:noWrap w:val="0"/>
                  <w:vAlign w:val="center"/>
                </w:tcPr>
                <w:p>
                  <w:pPr>
                    <w:jc w:val="center"/>
                    <w:rPr>
                      <w:color w:val="auto"/>
                    </w:rPr>
                  </w:pPr>
                  <w:r>
                    <w:rPr>
                      <w:color w:val="auto"/>
                    </w:rPr>
                    <w:t xml:space="preserve">13.024 </w:t>
                  </w:r>
                </w:p>
              </w:tc>
              <w:tc>
                <w:tcPr>
                  <w:tcW w:w="1859" w:type="dxa"/>
                  <w:noWrap w:val="0"/>
                  <w:vAlign w:val="center"/>
                </w:tcPr>
                <w:p>
                  <w:pPr>
                    <w:widowControl/>
                    <w:adjustRightInd w:val="0"/>
                    <w:snapToGrid w:val="0"/>
                    <w:jc w:val="center"/>
                    <w:textAlignment w:val="center"/>
                    <w:rPr>
                      <w:color w:val="auto"/>
                      <w:kern w:val="0"/>
                      <w:sz w:val="21"/>
                      <w:szCs w:val="21"/>
                      <w:lang w:bidi="ar"/>
                    </w:rPr>
                  </w:pPr>
                </w:p>
              </w:tc>
              <w:tc>
                <w:tcPr>
                  <w:tcW w:w="2197" w:type="dxa"/>
                  <w:noWrap w:val="0"/>
                  <w:vAlign w:val="center"/>
                </w:tcPr>
                <w:p>
                  <w:pPr>
                    <w:widowControl/>
                    <w:adjustRightInd w:val="0"/>
                    <w:snapToGrid w:val="0"/>
                    <w:jc w:val="center"/>
                    <w:textAlignment w:val="center"/>
                    <w:rPr>
                      <w:color w:val="auto"/>
                      <w:kern w:val="0"/>
                      <w:sz w:val="21"/>
                      <w:szCs w:val="21"/>
                      <w:lang w:bidi="ar"/>
                    </w:rPr>
                  </w:pPr>
                </w:p>
              </w:tc>
            </w:tr>
          </w:tbl>
          <w:p>
            <w:pPr>
              <w:widowControl/>
              <w:adjustRightInd w:val="0"/>
              <w:snapToGrid w:val="0"/>
              <w:spacing w:line="360" w:lineRule="auto"/>
              <w:ind w:firstLine="480" w:firstLineChars="200"/>
              <w:jc w:val="left"/>
              <w:rPr>
                <w:color w:val="auto"/>
              </w:rPr>
            </w:pPr>
            <w:r>
              <w:rPr>
                <w:color w:val="auto"/>
              </w:rPr>
              <w:t>根据上表分析，经预测，本项目在废水正常排放时，COD在排污口下游200m恢复到背景浓度，NH</w:t>
            </w:r>
            <w:r>
              <w:rPr>
                <w:color w:val="auto"/>
                <w:vertAlign w:val="subscript"/>
              </w:rPr>
              <w:t>3</w:t>
            </w:r>
            <w:r>
              <w:rPr>
                <w:color w:val="auto"/>
              </w:rPr>
              <w:t>-N在排污口下游2500m恢复到背景浓度；预测河段NH</w:t>
            </w:r>
            <w:r>
              <w:rPr>
                <w:color w:val="auto"/>
                <w:vertAlign w:val="subscript"/>
              </w:rPr>
              <w:t>3</w:t>
            </w:r>
            <w:r>
              <w:rPr>
                <w:color w:val="auto"/>
              </w:rPr>
              <w:t>-N、COD浓度均符合</w:t>
            </w:r>
            <w:r>
              <w:rPr>
                <w:color w:val="auto"/>
                <w:kern w:val="0"/>
                <w:lang w:bidi="ar"/>
              </w:rPr>
              <w:t>III类水质标准。随着本项目的正常运营，桐花村河段背景值将在原来的基础上继续得到改善，水环境容量逐渐增大。</w:t>
            </w:r>
          </w:p>
          <w:p>
            <w:pPr>
              <w:adjustRightInd w:val="0"/>
              <w:snapToGrid w:val="0"/>
              <w:spacing w:line="360" w:lineRule="auto"/>
              <w:ind w:firstLine="480" w:firstLineChars="200"/>
              <w:jc w:val="left"/>
              <w:rPr>
                <w:color w:val="auto"/>
              </w:rPr>
            </w:pPr>
            <w:r>
              <w:rPr>
                <w:color w:val="auto"/>
              </w:rPr>
              <w:t>本项目在</w:t>
            </w:r>
            <w:r>
              <w:rPr>
                <w:color w:val="auto"/>
                <w:lang w:val="en-GB"/>
              </w:rPr>
              <w:t>非正常排放</w:t>
            </w:r>
            <w:r>
              <w:rPr>
                <w:color w:val="auto"/>
              </w:rPr>
              <w:t>时，COD在排污口下游700m恢复到背景浓度，NH</w:t>
            </w:r>
            <w:r>
              <w:rPr>
                <w:color w:val="auto"/>
                <w:vertAlign w:val="subscript"/>
              </w:rPr>
              <w:t>3</w:t>
            </w:r>
            <w:r>
              <w:rPr>
                <w:color w:val="auto"/>
              </w:rPr>
              <w:t>-N在排污口下游6000m恢复到背景浓度。污水直排不仅不能实现减排目标，还会导致本项目受纳水体水质持续污染，水质超标情况不能得到改善。</w:t>
            </w:r>
          </w:p>
          <w:p>
            <w:pPr>
              <w:widowControl/>
              <w:adjustRightInd w:val="0"/>
              <w:snapToGrid w:val="0"/>
              <w:spacing w:line="360" w:lineRule="auto"/>
              <w:ind w:firstLine="480" w:firstLineChars="200"/>
              <w:jc w:val="left"/>
              <w:rPr>
                <w:color w:val="auto"/>
              </w:rPr>
            </w:pPr>
            <w:r>
              <w:rPr>
                <w:color w:val="auto"/>
                <w:kern w:val="0"/>
                <w:lang w:bidi="ar"/>
              </w:rPr>
              <w:t>（7）水环境影响分析</w:t>
            </w:r>
          </w:p>
          <w:p>
            <w:pPr>
              <w:widowControl/>
              <w:adjustRightInd w:val="0"/>
              <w:snapToGrid w:val="0"/>
              <w:spacing w:line="360" w:lineRule="auto"/>
              <w:ind w:firstLine="480" w:firstLineChars="200"/>
              <w:jc w:val="left"/>
              <w:rPr>
                <w:color w:val="auto"/>
                <w:kern w:val="0"/>
                <w:lang w:bidi="ar"/>
              </w:rPr>
            </w:pPr>
            <w:r>
              <w:rPr>
                <w:color w:val="auto"/>
                <w:kern w:val="0"/>
                <w:lang w:bidi="ar"/>
              </w:rPr>
              <w:t>综上所述，本项目正常工况排放的废水中COD、NH</w:t>
            </w:r>
            <w:r>
              <w:rPr>
                <w:color w:val="auto"/>
                <w:kern w:val="0"/>
                <w:sz w:val="16"/>
                <w:szCs w:val="16"/>
                <w:lang w:bidi="ar"/>
              </w:rPr>
              <w:t>3</w:t>
            </w:r>
            <w:r>
              <w:rPr>
                <w:color w:val="auto"/>
                <w:kern w:val="0"/>
                <w:lang w:bidi="ar"/>
              </w:rPr>
              <w:t>-N对河流的贡献值小，桐花村水质满足III类水域水质标准，污水处理站的建成实现减排COD：5.256t/a，NH</w:t>
            </w:r>
            <w:r>
              <w:rPr>
                <w:color w:val="auto"/>
                <w:kern w:val="0"/>
                <w:sz w:val="16"/>
                <w:szCs w:val="16"/>
                <w:lang w:bidi="ar"/>
              </w:rPr>
              <w:t>3</w:t>
            </w:r>
            <w:r>
              <w:rPr>
                <w:color w:val="auto"/>
                <w:kern w:val="0"/>
                <w:lang w:bidi="ar"/>
              </w:rPr>
              <w:t>-N：0.2682t/a，水域水质进一步改善，河流背景值也继续好转。事故外排的废水对水环境的影响较大，河流水质会持续受到污染，不能达到III类水域水质标准。因此，污水处理站设计应有相应措施，加强对污水处理设施的管理，杜绝事故性排放。</w:t>
            </w:r>
          </w:p>
          <w:p>
            <w:pPr>
              <w:adjustRightInd w:val="0"/>
              <w:snapToGrid w:val="0"/>
              <w:spacing w:line="360" w:lineRule="auto"/>
              <w:jc w:val="center"/>
              <w:rPr>
                <w:rFonts w:eastAsia="黑体"/>
                <w:bCs/>
                <w:color w:val="auto"/>
              </w:rPr>
            </w:pPr>
            <w:r>
              <w:rPr>
                <w:rFonts w:eastAsia="黑体"/>
                <w:bCs/>
                <w:color w:val="auto"/>
              </w:rPr>
              <w:t>表7-23  废水类别、污染物及污染治理设施信息表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47"/>
              <w:gridCol w:w="870"/>
              <w:gridCol w:w="807"/>
              <w:gridCol w:w="636"/>
              <w:gridCol w:w="682"/>
              <w:gridCol w:w="700"/>
              <w:gridCol w:w="1470"/>
              <w:gridCol w:w="706"/>
              <w:gridCol w:w="872"/>
              <w:gridCol w:w="142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序号</w:t>
                  </w:r>
                </w:p>
              </w:tc>
              <w:tc>
                <w:tcPr>
                  <w:tcW w:w="447"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废水类别a</w:t>
                  </w:r>
                </w:p>
              </w:tc>
              <w:tc>
                <w:tcPr>
                  <w:tcW w:w="870"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污染物种类b</w:t>
                  </w:r>
                </w:p>
              </w:tc>
              <w:tc>
                <w:tcPr>
                  <w:tcW w:w="807"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排放去向c</w:t>
                  </w:r>
                </w:p>
              </w:tc>
              <w:tc>
                <w:tcPr>
                  <w:tcW w:w="636"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排放规律d</w:t>
                  </w:r>
                </w:p>
              </w:tc>
              <w:tc>
                <w:tcPr>
                  <w:tcW w:w="2852" w:type="dxa"/>
                  <w:gridSpan w:val="3"/>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污染治理设施</w:t>
                  </w:r>
                </w:p>
              </w:tc>
              <w:tc>
                <w:tcPr>
                  <w:tcW w:w="706"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排放口编号f</w:t>
                  </w:r>
                </w:p>
              </w:tc>
              <w:tc>
                <w:tcPr>
                  <w:tcW w:w="872"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排放口设置是否符合要求g</w:t>
                  </w:r>
                </w:p>
              </w:tc>
              <w:tc>
                <w:tcPr>
                  <w:tcW w:w="1426"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排放口类型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Merge w:val="continue"/>
                  <w:noWrap w:val="0"/>
                  <w:vAlign w:val="center"/>
                </w:tcPr>
                <w:p>
                  <w:pPr>
                    <w:pStyle w:val="72"/>
                    <w:snapToGrid w:val="0"/>
                    <w:jc w:val="center"/>
                    <w:rPr>
                      <w:rFonts w:ascii="Times New Roman" w:cs="Times New Roman"/>
                      <w:color w:val="auto"/>
                      <w:sz w:val="21"/>
                      <w:szCs w:val="21"/>
                    </w:rPr>
                  </w:pPr>
                </w:p>
              </w:tc>
              <w:tc>
                <w:tcPr>
                  <w:tcW w:w="447" w:type="dxa"/>
                  <w:vMerge w:val="continue"/>
                  <w:noWrap w:val="0"/>
                  <w:vAlign w:val="center"/>
                </w:tcPr>
                <w:p>
                  <w:pPr>
                    <w:pStyle w:val="72"/>
                    <w:snapToGrid w:val="0"/>
                    <w:jc w:val="center"/>
                    <w:rPr>
                      <w:rFonts w:ascii="Times New Roman" w:cs="Times New Roman"/>
                      <w:color w:val="auto"/>
                      <w:sz w:val="21"/>
                      <w:szCs w:val="21"/>
                    </w:rPr>
                  </w:pPr>
                </w:p>
              </w:tc>
              <w:tc>
                <w:tcPr>
                  <w:tcW w:w="870" w:type="dxa"/>
                  <w:vMerge w:val="continue"/>
                  <w:noWrap w:val="0"/>
                  <w:vAlign w:val="center"/>
                </w:tcPr>
                <w:p>
                  <w:pPr>
                    <w:pStyle w:val="72"/>
                    <w:snapToGrid w:val="0"/>
                    <w:jc w:val="center"/>
                    <w:rPr>
                      <w:rFonts w:ascii="Times New Roman" w:cs="Times New Roman"/>
                      <w:color w:val="auto"/>
                      <w:sz w:val="21"/>
                      <w:szCs w:val="21"/>
                    </w:rPr>
                  </w:pPr>
                </w:p>
              </w:tc>
              <w:tc>
                <w:tcPr>
                  <w:tcW w:w="807" w:type="dxa"/>
                  <w:vMerge w:val="continue"/>
                  <w:noWrap w:val="0"/>
                  <w:vAlign w:val="center"/>
                </w:tcPr>
                <w:p>
                  <w:pPr>
                    <w:pStyle w:val="72"/>
                    <w:snapToGrid w:val="0"/>
                    <w:jc w:val="center"/>
                    <w:rPr>
                      <w:rFonts w:ascii="Times New Roman" w:cs="Times New Roman"/>
                      <w:color w:val="auto"/>
                      <w:sz w:val="21"/>
                      <w:szCs w:val="21"/>
                    </w:rPr>
                  </w:pPr>
                </w:p>
              </w:tc>
              <w:tc>
                <w:tcPr>
                  <w:tcW w:w="636" w:type="dxa"/>
                  <w:vMerge w:val="continue"/>
                  <w:noWrap w:val="0"/>
                  <w:vAlign w:val="center"/>
                </w:tcPr>
                <w:p>
                  <w:pPr>
                    <w:pStyle w:val="72"/>
                    <w:snapToGrid w:val="0"/>
                    <w:jc w:val="center"/>
                    <w:rPr>
                      <w:rFonts w:ascii="Times New Roman" w:cs="Times New Roman"/>
                      <w:color w:val="auto"/>
                      <w:sz w:val="21"/>
                      <w:szCs w:val="21"/>
                    </w:rPr>
                  </w:pPr>
                </w:p>
              </w:tc>
              <w:tc>
                <w:tcPr>
                  <w:tcW w:w="682"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污染治理设施编号</w:t>
                  </w:r>
                </w:p>
              </w:tc>
              <w:tc>
                <w:tcPr>
                  <w:tcW w:w="700"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污染治理设施名称e</w:t>
                  </w:r>
                </w:p>
              </w:tc>
              <w:tc>
                <w:tcPr>
                  <w:tcW w:w="1470"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污染治理设施工艺</w:t>
                  </w:r>
                </w:p>
              </w:tc>
              <w:tc>
                <w:tcPr>
                  <w:tcW w:w="706" w:type="dxa"/>
                  <w:vMerge w:val="continue"/>
                  <w:noWrap w:val="0"/>
                  <w:vAlign w:val="center"/>
                </w:tcPr>
                <w:p>
                  <w:pPr>
                    <w:pStyle w:val="72"/>
                    <w:snapToGrid w:val="0"/>
                    <w:jc w:val="center"/>
                    <w:rPr>
                      <w:rFonts w:ascii="Times New Roman" w:cs="Times New Roman"/>
                      <w:color w:val="auto"/>
                      <w:sz w:val="21"/>
                      <w:szCs w:val="21"/>
                    </w:rPr>
                  </w:pPr>
                </w:p>
              </w:tc>
              <w:tc>
                <w:tcPr>
                  <w:tcW w:w="872" w:type="dxa"/>
                  <w:vMerge w:val="continue"/>
                  <w:noWrap w:val="0"/>
                  <w:vAlign w:val="center"/>
                </w:tcPr>
                <w:p>
                  <w:pPr>
                    <w:pStyle w:val="72"/>
                    <w:snapToGrid w:val="0"/>
                    <w:jc w:val="center"/>
                    <w:rPr>
                      <w:rFonts w:ascii="Times New Roman" w:cs="Times New Roman"/>
                      <w:color w:val="auto"/>
                      <w:sz w:val="21"/>
                      <w:szCs w:val="21"/>
                    </w:rPr>
                  </w:pPr>
                </w:p>
              </w:tc>
              <w:tc>
                <w:tcPr>
                  <w:tcW w:w="1426" w:type="dxa"/>
                  <w:vMerge w:val="continue"/>
                  <w:noWrap w:val="0"/>
                  <w:vAlign w:val="center"/>
                </w:tcPr>
                <w:p>
                  <w:pPr>
                    <w:pStyle w:val="72"/>
                    <w:snapToGrid w:val="0"/>
                    <w:jc w:val="center"/>
                    <w:rPr>
                      <w:rFonts w:asci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1</w:t>
                  </w:r>
                </w:p>
              </w:tc>
              <w:tc>
                <w:tcPr>
                  <w:tcW w:w="447"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生活污水</w:t>
                  </w:r>
                </w:p>
              </w:tc>
              <w:tc>
                <w:tcPr>
                  <w:tcW w:w="870"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COD、NH</w:t>
                  </w:r>
                  <w:r>
                    <w:rPr>
                      <w:rFonts w:ascii="Times New Roman" w:cs="Times New Roman"/>
                      <w:color w:val="auto"/>
                      <w:sz w:val="21"/>
                      <w:szCs w:val="21"/>
                      <w:vertAlign w:val="subscript"/>
                    </w:rPr>
                    <w:t>3</w:t>
                  </w:r>
                  <w:r>
                    <w:rPr>
                      <w:rFonts w:ascii="Times New Roman" w:cs="Times New Roman"/>
                      <w:color w:val="auto"/>
                      <w:sz w:val="21"/>
                      <w:szCs w:val="21"/>
                    </w:rPr>
                    <w:t>-N</w:t>
                  </w:r>
                </w:p>
              </w:tc>
              <w:tc>
                <w:tcPr>
                  <w:tcW w:w="807"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直接进入江河、湖、库等水环境</w:t>
                  </w:r>
                </w:p>
              </w:tc>
              <w:tc>
                <w:tcPr>
                  <w:tcW w:w="63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包括连续排放，流量稳定</w:t>
                  </w:r>
                </w:p>
              </w:tc>
              <w:tc>
                <w:tcPr>
                  <w:tcW w:w="682" w:type="dxa"/>
                  <w:noWrap w:val="0"/>
                  <w:vAlign w:val="center"/>
                </w:tcPr>
                <w:p>
                  <w:pPr>
                    <w:pStyle w:val="72"/>
                    <w:snapToGrid w:val="0"/>
                    <w:jc w:val="center"/>
                    <w:rPr>
                      <w:rFonts w:ascii="Times New Roman" w:cs="Times New Roman"/>
                      <w:color w:val="auto"/>
                      <w:sz w:val="21"/>
                      <w:szCs w:val="21"/>
                    </w:rPr>
                  </w:pPr>
                  <w:r>
                    <w:rPr>
                      <w:rFonts w:hint="eastAsia" w:ascii="Times New Roman" w:cs="Times New Roman"/>
                      <w:color w:val="auto"/>
                      <w:sz w:val="21"/>
                      <w:szCs w:val="21"/>
                    </w:rPr>
                    <w:t>/</w:t>
                  </w:r>
                </w:p>
              </w:tc>
              <w:tc>
                <w:tcPr>
                  <w:tcW w:w="700"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生活污水处理系统</w:t>
                  </w:r>
                </w:p>
              </w:tc>
              <w:tc>
                <w:tcPr>
                  <w:tcW w:w="1470" w:type="dxa"/>
                  <w:noWrap w:val="0"/>
                  <w:vAlign w:val="center"/>
                </w:tcPr>
                <w:p>
                  <w:pPr>
                    <w:pStyle w:val="72"/>
                    <w:snapToGrid w:val="0"/>
                    <w:jc w:val="center"/>
                    <w:rPr>
                      <w:rFonts w:hint="eastAsia" w:ascii="Times New Roman" w:eastAsia="宋体" w:cs="Times New Roman"/>
                      <w:color w:val="auto"/>
                      <w:sz w:val="21"/>
                      <w:szCs w:val="21"/>
                      <w:lang w:val="en-US" w:eastAsia="zh-CN"/>
                    </w:rPr>
                  </w:pPr>
                  <w:r>
                    <w:rPr>
                      <w:rFonts w:ascii="Times New Roman" w:cs="Times New Roman"/>
                      <w:color w:val="auto"/>
                      <w:sz w:val="21"/>
                      <w:szCs w:val="21"/>
                      <w:highlight w:val="none"/>
                    </w:rPr>
                    <w:t>预处理+</w:t>
                  </w:r>
                  <w:r>
                    <w:rPr>
                      <w:rFonts w:hint="eastAsia" w:ascii="Times New Roman" w:cs="Times New Roman"/>
                      <w:color w:val="auto"/>
                      <w:sz w:val="21"/>
                      <w:szCs w:val="21"/>
                      <w:highlight w:val="none"/>
                      <w:lang w:val="en-US" w:eastAsia="zh-CN"/>
                    </w:rPr>
                    <w:t>A/O+</w:t>
                  </w:r>
                  <w:r>
                    <w:rPr>
                      <w:rFonts w:ascii="Times New Roman" w:cs="Times New Roman"/>
                      <w:color w:val="auto"/>
                      <w:sz w:val="21"/>
                      <w:szCs w:val="21"/>
                      <w:highlight w:val="none"/>
                    </w:rPr>
                    <w:t>MBR</w:t>
                  </w:r>
                  <w:r>
                    <w:rPr>
                      <w:rFonts w:hint="eastAsia" w:ascii="Times New Roman" w:cs="Times New Roman"/>
                      <w:color w:val="auto"/>
                      <w:sz w:val="21"/>
                      <w:szCs w:val="21"/>
                      <w:highlight w:val="none"/>
                      <w:lang w:eastAsia="zh-CN"/>
                    </w:rPr>
                    <w:t>膜生化</w:t>
                  </w:r>
                </w:p>
              </w:tc>
              <w:tc>
                <w:tcPr>
                  <w:tcW w:w="706" w:type="dxa"/>
                  <w:noWrap w:val="0"/>
                  <w:vAlign w:val="center"/>
                </w:tcPr>
                <w:p>
                  <w:pPr>
                    <w:pStyle w:val="72"/>
                    <w:snapToGrid w:val="0"/>
                    <w:jc w:val="center"/>
                    <w:rPr>
                      <w:rFonts w:ascii="Times New Roman" w:cs="Times New Roman"/>
                      <w:color w:val="auto"/>
                      <w:sz w:val="21"/>
                      <w:szCs w:val="21"/>
                    </w:rPr>
                  </w:pPr>
                  <w:r>
                    <w:rPr>
                      <w:rFonts w:hint="eastAsia" w:ascii="Times New Roman" w:cs="Times New Roman"/>
                      <w:color w:val="auto"/>
                      <w:sz w:val="21"/>
                      <w:szCs w:val="21"/>
                    </w:rPr>
                    <w:t>/</w:t>
                  </w:r>
                </w:p>
              </w:tc>
              <w:tc>
                <w:tcPr>
                  <w:tcW w:w="872"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sym w:font="Wingdings 2" w:char="0052"/>
                  </w:r>
                  <w:r>
                    <w:rPr>
                      <w:rFonts w:ascii="Times New Roman" w:cs="Times New Roman"/>
                      <w:color w:val="auto"/>
                      <w:sz w:val="21"/>
                      <w:szCs w:val="21"/>
                    </w:rPr>
                    <w:t>是</w:t>
                  </w:r>
                </w:p>
                <w:p>
                  <w:pPr>
                    <w:pStyle w:val="72"/>
                    <w:snapToGrid w:val="0"/>
                    <w:jc w:val="center"/>
                    <w:rPr>
                      <w:rFonts w:ascii="Times New Roman" w:cs="Times New Roman"/>
                      <w:color w:val="auto"/>
                      <w:sz w:val="21"/>
                      <w:szCs w:val="21"/>
                    </w:rPr>
                  </w:pPr>
                  <w:r>
                    <w:rPr>
                      <w:rFonts w:ascii="Times New Roman" w:cs="Times New Roman"/>
                      <w:color w:val="auto"/>
                      <w:sz w:val="21"/>
                      <w:szCs w:val="21"/>
                    </w:rPr>
                    <w:sym w:font="Wingdings 2" w:char="00A3"/>
                  </w:r>
                  <w:r>
                    <w:rPr>
                      <w:rFonts w:ascii="Times New Roman" w:cs="Times New Roman"/>
                      <w:color w:val="auto"/>
                      <w:sz w:val="21"/>
                      <w:szCs w:val="21"/>
                    </w:rPr>
                    <w:t>否</w:t>
                  </w:r>
                </w:p>
              </w:tc>
              <w:tc>
                <w:tcPr>
                  <w:tcW w:w="1426" w:type="dxa"/>
                  <w:noWrap w:val="0"/>
                  <w:vAlign w:val="center"/>
                </w:tcPr>
                <w:p>
                  <w:pPr>
                    <w:pStyle w:val="72"/>
                    <w:snapToGrid w:val="0"/>
                    <w:jc w:val="both"/>
                    <w:rPr>
                      <w:rFonts w:ascii="Times New Roman" w:cs="Times New Roman"/>
                      <w:color w:val="auto"/>
                      <w:sz w:val="21"/>
                      <w:szCs w:val="21"/>
                    </w:rPr>
                  </w:pPr>
                  <w:r>
                    <w:rPr>
                      <w:rFonts w:ascii="Times New Roman" w:cs="Times New Roman"/>
                      <w:color w:val="auto"/>
                      <w:sz w:val="21"/>
                      <w:szCs w:val="21"/>
                    </w:rPr>
                    <w:sym w:font="Wingdings 2" w:char="0052"/>
                  </w:r>
                  <w:r>
                    <w:rPr>
                      <w:rFonts w:ascii="Times New Roman" w:cs="Times New Roman"/>
                      <w:color w:val="auto"/>
                      <w:sz w:val="21"/>
                      <w:szCs w:val="21"/>
                    </w:rPr>
                    <w:t>企业总排</w:t>
                  </w:r>
                </w:p>
                <w:p>
                  <w:pPr>
                    <w:pStyle w:val="72"/>
                    <w:snapToGrid w:val="0"/>
                    <w:jc w:val="both"/>
                    <w:rPr>
                      <w:rFonts w:ascii="Times New Roman" w:cs="Times New Roman"/>
                      <w:color w:val="auto"/>
                      <w:sz w:val="21"/>
                      <w:szCs w:val="21"/>
                    </w:rPr>
                  </w:pPr>
                  <w:r>
                    <w:rPr>
                      <w:rFonts w:ascii="Times New Roman" w:cs="Times New Roman"/>
                      <w:color w:val="auto"/>
                      <w:sz w:val="21"/>
                      <w:szCs w:val="21"/>
                    </w:rPr>
                    <w:sym w:font="Wingdings 2" w:char="00A3"/>
                  </w:r>
                  <w:r>
                    <w:rPr>
                      <w:rFonts w:ascii="Times New Roman" w:cs="Times New Roman"/>
                      <w:color w:val="auto"/>
                      <w:sz w:val="21"/>
                      <w:szCs w:val="21"/>
                    </w:rPr>
                    <w:t>雨水排放</w:t>
                  </w:r>
                </w:p>
                <w:p>
                  <w:pPr>
                    <w:pStyle w:val="72"/>
                    <w:snapToGrid w:val="0"/>
                    <w:jc w:val="both"/>
                    <w:rPr>
                      <w:rFonts w:ascii="Times New Roman" w:cs="Times New Roman"/>
                      <w:color w:val="auto"/>
                      <w:sz w:val="21"/>
                      <w:szCs w:val="21"/>
                    </w:rPr>
                  </w:pPr>
                  <w:r>
                    <w:rPr>
                      <w:rFonts w:ascii="Times New Roman" w:cs="Times New Roman"/>
                      <w:color w:val="auto"/>
                      <w:sz w:val="21"/>
                      <w:szCs w:val="21"/>
                    </w:rPr>
                    <w:sym w:font="Wingdings 2" w:char="00A3"/>
                  </w:r>
                  <w:r>
                    <w:rPr>
                      <w:rFonts w:ascii="Times New Roman" w:cs="Times New Roman"/>
                      <w:color w:val="auto"/>
                      <w:sz w:val="21"/>
                      <w:szCs w:val="21"/>
                    </w:rPr>
                    <w:t>清净下水排放</w:t>
                  </w:r>
                </w:p>
                <w:p>
                  <w:pPr>
                    <w:pStyle w:val="72"/>
                    <w:snapToGrid w:val="0"/>
                    <w:rPr>
                      <w:rFonts w:ascii="Times New Roman" w:cs="Times New Roman"/>
                      <w:color w:val="auto"/>
                      <w:sz w:val="21"/>
                      <w:szCs w:val="21"/>
                    </w:rPr>
                  </w:pPr>
                  <w:r>
                    <w:rPr>
                      <w:rFonts w:ascii="Times New Roman" w:cs="Times New Roman"/>
                      <w:color w:val="auto"/>
                      <w:sz w:val="21"/>
                      <w:szCs w:val="21"/>
                    </w:rPr>
                    <w:sym w:font="Wingdings 2" w:char="00A3"/>
                  </w:r>
                  <w:r>
                    <w:rPr>
                      <w:rFonts w:ascii="Times New Roman" w:cs="Times New Roman"/>
                      <w:color w:val="auto"/>
                      <w:sz w:val="21"/>
                      <w:szCs w:val="21"/>
                    </w:rPr>
                    <w:t>温排水排放</w:t>
                  </w:r>
                </w:p>
                <w:p>
                  <w:pPr>
                    <w:pStyle w:val="72"/>
                    <w:snapToGrid w:val="0"/>
                    <w:rPr>
                      <w:rFonts w:ascii="Times New Roman" w:cs="Times New Roman"/>
                      <w:color w:val="auto"/>
                      <w:sz w:val="21"/>
                      <w:szCs w:val="21"/>
                    </w:rPr>
                  </w:pPr>
                  <w:r>
                    <w:rPr>
                      <w:rFonts w:ascii="Times New Roman" w:cs="Times New Roman"/>
                      <w:color w:val="auto"/>
                      <w:sz w:val="21"/>
                      <w:szCs w:val="21"/>
                    </w:rPr>
                    <w:sym w:font="Wingdings 2" w:char="00A3"/>
                  </w:r>
                  <w:r>
                    <w:rPr>
                      <w:rFonts w:ascii="Times New Roman" w:cs="Times New Roman"/>
                      <w:color w:val="auto"/>
                      <w:sz w:val="21"/>
                      <w:szCs w:val="21"/>
                    </w:rPr>
                    <w:t>车间或车间处理设施排放</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9043" w:type="dxa"/>
                  <w:gridSpan w:val="11"/>
                  <w:noWrap w:val="0"/>
                  <w:vAlign w:val="center"/>
                </w:tcPr>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a指产生废水的工艺、工序，或废水类型的名称。</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b指产生的主要污染物类型，以相应排放标准中确定的污染因子为准。</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c包括不外排；排至厂内综合污水处理站；直接进入海域；直接进入江河、湖、库等水环境；进入城市下水道(再入江河、湖、库) ；进入城市下水道(再入沿海海域) ；进入城市污水处理厂；直接进入污灌农田；进入地渗或蒸发地；进入其他单位；工业废水集中处理厂；其他(包括回用等)。对于工艺、工序产生的废水，“不外排"指全部在工序内部循环使用，“排至厂内综合污水处理站”指工序废水经处理后排至综合处理站。对于综合污水处理站，“不外排”指全厂废水经处理后全部回用不排放。</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d包括连续排放，流量稳定；连续排放，流量不稳定，但有周期性规律；连续排放，流量不稳定，但有规律，且不属于周期性规律；连续排放，流量不稳定，属于冲击型排放；连续排放，流量不稳定且无规律，但不属于冲击型排放：间断排放，排放期间流量稳定：间断排放，排放期间流量不稳定，但有周期性规律；间断排放，排放期间流量不稳定，但有规律，且不属于非周期性规律；间断排放，排放期间流量不稳定，属于冲击型排放；间断排放，排放期间流量不稳定且无规律，但不属于冲击型排放。</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e指主要污水处理设施名称，如“综合污水处理站”“生活污水处理系统”等。</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f排放口编号可按地方环境管理部门]现有编号进行填写或由企业根据国家相关规范进行编制。</w:t>
                  </w:r>
                </w:p>
                <w:p>
                  <w:pPr>
                    <w:pStyle w:val="72"/>
                    <w:snapToGrid w:val="0"/>
                    <w:ind w:firstLine="420" w:firstLineChars="200"/>
                    <w:jc w:val="both"/>
                    <w:rPr>
                      <w:rFonts w:ascii="Times New Roman" w:cs="Times New Roman"/>
                      <w:color w:val="auto"/>
                      <w:sz w:val="21"/>
                      <w:szCs w:val="21"/>
                    </w:rPr>
                  </w:pPr>
                  <w:r>
                    <w:rPr>
                      <w:rFonts w:ascii="Times New Roman" w:cs="Times New Roman"/>
                      <w:color w:val="auto"/>
                      <w:sz w:val="21"/>
                      <w:szCs w:val="21"/>
                    </w:rPr>
                    <w:t>g指排放口设置是否符合排放口规范化整治技术要求等相关文件的规定。</w:t>
                  </w:r>
                </w:p>
              </w:tc>
            </w:tr>
          </w:tbl>
          <w:p>
            <w:pPr>
              <w:adjustRightInd w:val="0"/>
              <w:snapToGrid w:val="0"/>
              <w:spacing w:line="360" w:lineRule="auto"/>
              <w:jc w:val="center"/>
              <w:rPr>
                <w:rFonts w:eastAsia="黑体"/>
                <w:bCs/>
                <w:color w:val="auto"/>
              </w:rPr>
            </w:pPr>
            <w:r>
              <w:rPr>
                <w:rFonts w:eastAsia="黑体"/>
                <w:bCs/>
                <w:color w:val="auto"/>
              </w:rPr>
              <w:t>表7-24  废水污染物排放执行标准表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042"/>
              <w:gridCol w:w="1406"/>
              <w:gridCol w:w="3679"/>
              <w:gridCol w:w="218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序号</w:t>
                  </w:r>
                </w:p>
              </w:tc>
              <w:tc>
                <w:tcPr>
                  <w:tcW w:w="1042"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排放口编号</w:t>
                  </w:r>
                </w:p>
              </w:tc>
              <w:tc>
                <w:tcPr>
                  <w:tcW w:w="1406" w:type="dxa"/>
                  <w:vMerge w:val="restart"/>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污染物种类</w:t>
                  </w:r>
                </w:p>
              </w:tc>
              <w:tc>
                <w:tcPr>
                  <w:tcW w:w="5865" w:type="dxa"/>
                  <w:gridSpan w:val="2"/>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国家或地方污染物排放标准及其他按规定商定的排放协议a</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vMerge w:val="continue"/>
                  <w:noWrap w:val="0"/>
                  <w:vAlign w:val="center"/>
                </w:tcPr>
                <w:p>
                  <w:pPr>
                    <w:pStyle w:val="72"/>
                    <w:snapToGrid w:val="0"/>
                    <w:jc w:val="center"/>
                    <w:rPr>
                      <w:rFonts w:ascii="Times New Roman" w:cs="Times New Roman"/>
                      <w:color w:val="auto"/>
                      <w:sz w:val="21"/>
                      <w:szCs w:val="21"/>
                    </w:rPr>
                  </w:pPr>
                </w:p>
              </w:tc>
              <w:tc>
                <w:tcPr>
                  <w:tcW w:w="1042" w:type="dxa"/>
                  <w:vMerge w:val="continue"/>
                  <w:noWrap w:val="0"/>
                  <w:vAlign w:val="center"/>
                </w:tcPr>
                <w:p>
                  <w:pPr>
                    <w:pStyle w:val="72"/>
                    <w:snapToGrid w:val="0"/>
                    <w:jc w:val="center"/>
                    <w:rPr>
                      <w:rFonts w:ascii="Times New Roman" w:cs="Times New Roman"/>
                      <w:color w:val="auto"/>
                      <w:sz w:val="21"/>
                      <w:szCs w:val="21"/>
                    </w:rPr>
                  </w:pPr>
                </w:p>
              </w:tc>
              <w:tc>
                <w:tcPr>
                  <w:tcW w:w="1406" w:type="dxa"/>
                  <w:vMerge w:val="continue"/>
                  <w:noWrap w:val="0"/>
                  <w:vAlign w:val="center"/>
                </w:tcPr>
                <w:p>
                  <w:pPr>
                    <w:pStyle w:val="72"/>
                    <w:snapToGrid w:val="0"/>
                    <w:jc w:val="center"/>
                    <w:rPr>
                      <w:rFonts w:ascii="Times New Roman" w:cs="Times New Roman"/>
                      <w:color w:val="auto"/>
                      <w:sz w:val="21"/>
                      <w:szCs w:val="21"/>
                    </w:rPr>
                  </w:pPr>
                </w:p>
              </w:tc>
              <w:tc>
                <w:tcPr>
                  <w:tcW w:w="3679"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名称</w:t>
                  </w:r>
                </w:p>
              </w:tc>
              <w:tc>
                <w:tcPr>
                  <w:tcW w:w="218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浓度限值（mg/L）</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1</w:t>
                  </w:r>
                </w:p>
              </w:tc>
              <w:tc>
                <w:tcPr>
                  <w:tcW w:w="1042"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w:t>
                  </w:r>
                </w:p>
              </w:tc>
              <w:tc>
                <w:tcPr>
                  <w:tcW w:w="140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COD、NH</w:t>
                  </w:r>
                  <w:r>
                    <w:rPr>
                      <w:rFonts w:ascii="Times New Roman" w:cs="Times New Roman"/>
                      <w:color w:val="auto"/>
                      <w:sz w:val="21"/>
                      <w:szCs w:val="21"/>
                      <w:vertAlign w:val="subscript"/>
                    </w:rPr>
                    <w:t>3</w:t>
                  </w:r>
                  <w:r>
                    <w:rPr>
                      <w:rFonts w:ascii="Times New Roman" w:cs="Times New Roman"/>
                      <w:color w:val="auto"/>
                      <w:sz w:val="21"/>
                      <w:szCs w:val="21"/>
                    </w:rPr>
                    <w:t>-N</w:t>
                  </w:r>
                </w:p>
              </w:tc>
              <w:tc>
                <w:tcPr>
                  <w:tcW w:w="3679" w:type="dxa"/>
                  <w:noWrap w:val="0"/>
                  <w:vAlign w:val="center"/>
                </w:tcPr>
                <w:p>
                  <w:pPr>
                    <w:pStyle w:val="4"/>
                    <w:keepNext w:val="0"/>
                    <w:widowControl/>
                    <w:adjustRightInd w:val="0"/>
                    <w:snapToGrid w:val="0"/>
                    <w:spacing w:line="240" w:lineRule="auto"/>
                    <w:ind w:left="0" w:leftChars="0" w:firstLine="0" w:firstLineChars="0"/>
                    <w:jc w:val="left"/>
                    <w:outlineLvl w:val="0"/>
                    <w:rPr>
                      <w:b w:val="0"/>
                      <w:bCs w:val="0"/>
                      <w:color w:val="auto"/>
                      <w:sz w:val="21"/>
                      <w:szCs w:val="21"/>
                      <w:lang w:val="en-US" w:eastAsia="zh-CN"/>
                    </w:rPr>
                  </w:pPr>
                  <w:r>
                    <w:rPr>
                      <w:b w:val="0"/>
                      <w:bCs w:val="0"/>
                      <w:color w:val="auto"/>
                      <w:sz w:val="21"/>
                      <w:szCs w:val="21"/>
                      <w:lang w:val="en-US" w:eastAsia="zh-CN"/>
                    </w:rPr>
                    <w:t>《农村生活污水处理设施水污染物排放标准》（DB51/ 2626-2019）一级标准</w:t>
                  </w:r>
                </w:p>
              </w:tc>
              <w:tc>
                <w:tcPr>
                  <w:tcW w:w="218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COD：60</w:t>
                  </w:r>
                </w:p>
                <w:p>
                  <w:pPr>
                    <w:pStyle w:val="72"/>
                    <w:snapToGrid w:val="0"/>
                    <w:jc w:val="center"/>
                    <w:rPr>
                      <w:rFonts w:ascii="Times New Roman" w:cs="Times New Roman"/>
                      <w:color w:val="auto"/>
                      <w:sz w:val="21"/>
                      <w:szCs w:val="21"/>
                    </w:rPr>
                  </w:pPr>
                  <w:r>
                    <w:rPr>
                      <w:rFonts w:ascii="Times New Roman" w:cs="Times New Roman"/>
                      <w:color w:val="auto"/>
                      <w:sz w:val="21"/>
                      <w:szCs w:val="21"/>
                    </w:rPr>
                    <w:t>NH</w:t>
                  </w:r>
                  <w:r>
                    <w:rPr>
                      <w:rFonts w:ascii="Times New Roman" w:cs="Times New Roman"/>
                      <w:color w:val="auto"/>
                      <w:sz w:val="21"/>
                      <w:szCs w:val="21"/>
                      <w:vertAlign w:val="subscript"/>
                    </w:rPr>
                    <w:t>3</w:t>
                  </w:r>
                  <w:r>
                    <w:rPr>
                      <w:rFonts w:ascii="Times New Roman" w:cs="Times New Roman"/>
                      <w:color w:val="auto"/>
                      <w:sz w:val="21"/>
                      <w:szCs w:val="21"/>
                    </w:rPr>
                    <w:t>-N：8</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9049" w:type="dxa"/>
                  <w:gridSpan w:val="5"/>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a指对应排放口须执行的国家或地方污染物排放标准以及其他按规定商定建设项目水污染物排放控制要求的协议，据此确定的排放浓度限值。</w:t>
                  </w:r>
                </w:p>
              </w:tc>
            </w:tr>
          </w:tbl>
          <w:p>
            <w:pPr>
              <w:adjustRightInd w:val="0"/>
              <w:snapToGrid w:val="0"/>
              <w:spacing w:line="360" w:lineRule="auto"/>
              <w:jc w:val="center"/>
              <w:rPr>
                <w:rFonts w:eastAsia="黑体"/>
                <w:bCs/>
                <w:color w:val="auto"/>
              </w:rPr>
            </w:pPr>
            <w:r>
              <w:rPr>
                <w:rFonts w:eastAsia="黑体"/>
                <w:bCs/>
                <w:color w:val="auto"/>
              </w:rPr>
              <w:t>表7-25  废水污染物排放信息表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327"/>
              <w:gridCol w:w="1375"/>
              <w:gridCol w:w="2675"/>
              <w:gridCol w:w="1508"/>
              <w:gridCol w:w="1508"/>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noWrap w:val="0"/>
                  <w:vAlign w:val="center"/>
                </w:tcPr>
                <w:p>
                  <w:pPr>
                    <w:pStyle w:val="72"/>
                    <w:snapToGrid w:val="0"/>
                    <w:jc w:val="center"/>
                    <w:rPr>
                      <w:rFonts w:ascii="Times New Roman" w:cs="Times New Roman"/>
                      <w:color w:val="auto"/>
                      <w:sz w:val="21"/>
                      <w:szCs w:val="21"/>
                    </w:rPr>
                  </w:pPr>
                  <w:r>
                    <w:rPr>
                      <w:rFonts w:ascii="Times New Roman" w:cs="Times New Roman"/>
                      <w:b/>
                      <w:bCs/>
                      <w:color w:val="auto"/>
                      <w:sz w:val="21"/>
                      <w:szCs w:val="21"/>
                    </w:rPr>
                    <w:t>序号</w:t>
                  </w:r>
                </w:p>
              </w:tc>
              <w:tc>
                <w:tcPr>
                  <w:tcW w:w="1327" w:type="dxa"/>
                  <w:noWrap w:val="0"/>
                  <w:vAlign w:val="center"/>
                </w:tcPr>
                <w:p>
                  <w:pPr>
                    <w:pStyle w:val="72"/>
                    <w:snapToGrid w:val="0"/>
                    <w:jc w:val="center"/>
                    <w:rPr>
                      <w:rFonts w:ascii="Times New Roman" w:cs="Times New Roman"/>
                      <w:color w:val="auto"/>
                      <w:sz w:val="21"/>
                      <w:szCs w:val="21"/>
                    </w:rPr>
                  </w:pPr>
                  <w:r>
                    <w:rPr>
                      <w:rFonts w:ascii="Times New Roman" w:cs="Times New Roman"/>
                      <w:b/>
                      <w:bCs/>
                      <w:color w:val="auto"/>
                      <w:sz w:val="21"/>
                      <w:szCs w:val="21"/>
                    </w:rPr>
                    <w:t>排放口编号</w:t>
                  </w:r>
                </w:p>
              </w:tc>
              <w:tc>
                <w:tcPr>
                  <w:tcW w:w="1375" w:type="dxa"/>
                  <w:noWrap w:val="0"/>
                  <w:vAlign w:val="center"/>
                </w:tcPr>
                <w:p>
                  <w:pPr>
                    <w:pStyle w:val="72"/>
                    <w:snapToGrid w:val="0"/>
                    <w:jc w:val="center"/>
                    <w:rPr>
                      <w:rFonts w:ascii="Times New Roman" w:cs="Times New Roman"/>
                      <w:color w:val="auto"/>
                      <w:sz w:val="21"/>
                      <w:szCs w:val="21"/>
                    </w:rPr>
                  </w:pPr>
                  <w:r>
                    <w:rPr>
                      <w:rFonts w:ascii="Times New Roman" w:cs="Times New Roman"/>
                      <w:b/>
                      <w:bCs/>
                      <w:color w:val="auto"/>
                      <w:sz w:val="21"/>
                      <w:szCs w:val="21"/>
                    </w:rPr>
                    <w:t>污染物种类</w:t>
                  </w:r>
                </w:p>
              </w:tc>
              <w:tc>
                <w:tcPr>
                  <w:tcW w:w="2675" w:type="dxa"/>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排放浓度（mg/L）</w:t>
                  </w:r>
                </w:p>
              </w:tc>
              <w:tc>
                <w:tcPr>
                  <w:tcW w:w="1508" w:type="dxa"/>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日排放量（t/d）</w:t>
                  </w:r>
                </w:p>
              </w:tc>
              <w:tc>
                <w:tcPr>
                  <w:tcW w:w="1508" w:type="dxa"/>
                  <w:noWrap w:val="0"/>
                  <w:vAlign w:val="center"/>
                </w:tcPr>
                <w:p>
                  <w:pPr>
                    <w:pStyle w:val="72"/>
                    <w:snapToGrid w:val="0"/>
                    <w:jc w:val="center"/>
                    <w:rPr>
                      <w:rFonts w:ascii="Times New Roman" w:cs="Times New Roman"/>
                      <w:b/>
                      <w:bCs/>
                      <w:color w:val="auto"/>
                      <w:sz w:val="21"/>
                      <w:szCs w:val="21"/>
                    </w:rPr>
                  </w:pPr>
                  <w:r>
                    <w:rPr>
                      <w:rFonts w:ascii="Times New Roman" w:cs="Times New Roman"/>
                      <w:b/>
                      <w:bCs/>
                      <w:color w:val="auto"/>
                      <w:sz w:val="21"/>
                      <w:szCs w:val="21"/>
                    </w:rPr>
                    <w:t>年排放量（t/a）</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656"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1</w:t>
                  </w:r>
                </w:p>
              </w:tc>
              <w:tc>
                <w:tcPr>
                  <w:tcW w:w="1327"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w:t>
                  </w:r>
                </w:p>
              </w:tc>
              <w:tc>
                <w:tcPr>
                  <w:tcW w:w="1375"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COD、NH</w:t>
                  </w:r>
                  <w:r>
                    <w:rPr>
                      <w:rFonts w:ascii="Times New Roman" w:cs="Times New Roman"/>
                      <w:color w:val="auto"/>
                      <w:sz w:val="21"/>
                      <w:szCs w:val="21"/>
                      <w:vertAlign w:val="subscript"/>
                    </w:rPr>
                    <w:t>3</w:t>
                  </w:r>
                  <w:r>
                    <w:rPr>
                      <w:rFonts w:ascii="Times New Roman" w:cs="Times New Roman"/>
                      <w:color w:val="auto"/>
                      <w:sz w:val="21"/>
                      <w:szCs w:val="21"/>
                    </w:rPr>
                    <w:t>-N</w:t>
                  </w:r>
                </w:p>
              </w:tc>
              <w:tc>
                <w:tcPr>
                  <w:tcW w:w="2675"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COD：60</w:t>
                  </w:r>
                </w:p>
                <w:p>
                  <w:pPr>
                    <w:pStyle w:val="72"/>
                    <w:snapToGrid w:val="0"/>
                    <w:jc w:val="center"/>
                    <w:rPr>
                      <w:rFonts w:ascii="Times New Roman" w:cs="Times New Roman"/>
                      <w:color w:val="auto"/>
                      <w:sz w:val="21"/>
                      <w:szCs w:val="21"/>
                    </w:rPr>
                  </w:pPr>
                  <w:r>
                    <w:rPr>
                      <w:rFonts w:ascii="Times New Roman" w:cs="Times New Roman"/>
                      <w:color w:val="auto"/>
                      <w:sz w:val="21"/>
                      <w:szCs w:val="21"/>
                    </w:rPr>
                    <w:t>NH</w:t>
                  </w:r>
                  <w:r>
                    <w:rPr>
                      <w:rFonts w:ascii="Times New Roman" w:cs="Times New Roman"/>
                      <w:color w:val="auto"/>
                      <w:sz w:val="21"/>
                      <w:szCs w:val="21"/>
                      <w:vertAlign w:val="subscript"/>
                    </w:rPr>
                    <w:t>3</w:t>
                  </w:r>
                  <w:r>
                    <w:rPr>
                      <w:rFonts w:ascii="Times New Roman" w:cs="Times New Roman"/>
                      <w:color w:val="auto"/>
                      <w:sz w:val="21"/>
                      <w:szCs w:val="21"/>
                    </w:rPr>
                    <w:t>-N：8</w:t>
                  </w:r>
                </w:p>
              </w:tc>
              <w:tc>
                <w:tcPr>
                  <w:tcW w:w="1508"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60</w:t>
                  </w:r>
                </w:p>
              </w:tc>
              <w:tc>
                <w:tcPr>
                  <w:tcW w:w="1508"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21900</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gridSpan w:val="2"/>
                  <w:vMerge w:val="restart"/>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全厂排放口合计</w:t>
                  </w:r>
                </w:p>
              </w:tc>
              <w:tc>
                <w:tcPr>
                  <w:tcW w:w="5558" w:type="dxa"/>
                  <w:gridSpan w:val="3"/>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COD</w:t>
                  </w:r>
                </w:p>
              </w:tc>
              <w:tc>
                <w:tcPr>
                  <w:tcW w:w="1508"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1.314</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983" w:type="dxa"/>
                  <w:gridSpan w:val="2"/>
                  <w:vMerge w:val="continue"/>
                  <w:noWrap w:val="0"/>
                  <w:vAlign w:val="center"/>
                </w:tcPr>
                <w:p>
                  <w:pPr>
                    <w:pStyle w:val="72"/>
                    <w:snapToGrid w:val="0"/>
                    <w:jc w:val="center"/>
                    <w:rPr>
                      <w:rFonts w:ascii="Times New Roman" w:cs="Times New Roman"/>
                      <w:color w:val="auto"/>
                      <w:sz w:val="21"/>
                      <w:szCs w:val="21"/>
                    </w:rPr>
                  </w:pPr>
                </w:p>
              </w:tc>
              <w:tc>
                <w:tcPr>
                  <w:tcW w:w="5558" w:type="dxa"/>
                  <w:gridSpan w:val="3"/>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NH</w:t>
                  </w:r>
                  <w:r>
                    <w:rPr>
                      <w:rFonts w:ascii="Times New Roman" w:cs="Times New Roman"/>
                      <w:color w:val="auto"/>
                      <w:sz w:val="21"/>
                      <w:szCs w:val="21"/>
                      <w:vertAlign w:val="subscript"/>
                    </w:rPr>
                    <w:t>3</w:t>
                  </w:r>
                  <w:r>
                    <w:rPr>
                      <w:rFonts w:ascii="Times New Roman" w:cs="Times New Roman"/>
                      <w:color w:val="auto"/>
                      <w:sz w:val="21"/>
                      <w:szCs w:val="21"/>
                    </w:rPr>
                    <w:t>-N</w:t>
                  </w:r>
                </w:p>
              </w:tc>
              <w:tc>
                <w:tcPr>
                  <w:tcW w:w="1508" w:type="dxa"/>
                  <w:noWrap w:val="0"/>
                  <w:vAlign w:val="center"/>
                </w:tcPr>
                <w:p>
                  <w:pPr>
                    <w:pStyle w:val="72"/>
                    <w:snapToGrid w:val="0"/>
                    <w:jc w:val="center"/>
                    <w:rPr>
                      <w:rFonts w:ascii="Times New Roman" w:cs="Times New Roman"/>
                      <w:color w:val="auto"/>
                      <w:sz w:val="21"/>
                      <w:szCs w:val="21"/>
                    </w:rPr>
                  </w:pPr>
                  <w:r>
                    <w:rPr>
                      <w:rFonts w:ascii="Times New Roman" w:cs="Times New Roman"/>
                      <w:color w:val="auto"/>
                      <w:sz w:val="21"/>
                      <w:szCs w:val="21"/>
                    </w:rPr>
                    <w:t>0.1752</w:t>
                  </w:r>
                </w:p>
              </w:tc>
            </w:tr>
          </w:tbl>
          <w:p>
            <w:pPr>
              <w:widowControl/>
              <w:adjustRightInd w:val="0"/>
              <w:snapToGrid w:val="0"/>
              <w:spacing w:line="360" w:lineRule="auto"/>
              <w:ind w:firstLine="482" w:firstLineChars="200"/>
              <w:jc w:val="left"/>
              <w:rPr>
                <w:b/>
                <w:bCs/>
                <w:color w:val="auto"/>
              </w:rPr>
            </w:pPr>
            <w:r>
              <w:rPr>
                <w:b/>
                <w:bCs/>
                <w:color w:val="auto"/>
                <w:kern w:val="0"/>
                <w:lang w:bidi="ar"/>
              </w:rPr>
              <w:t>2、污水排口设置合理性分析</w:t>
            </w:r>
          </w:p>
          <w:p>
            <w:pPr>
              <w:widowControl/>
              <w:adjustRightInd w:val="0"/>
              <w:snapToGrid w:val="0"/>
              <w:spacing w:line="360" w:lineRule="auto"/>
              <w:ind w:firstLine="480" w:firstLineChars="200"/>
              <w:jc w:val="left"/>
              <w:rPr>
                <w:color w:val="auto"/>
              </w:rPr>
            </w:pPr>
            <w:r>
              <w:rPr>
                <w:color w:val="auto"/>
                <w:kern w:val="0"/>
                <w:lang w:bidi="ar"/>
              </w:rPr>
              <w:t>根据场址地理位置特点，合理进行平面布置，在满足工艺的情况下，将污水处理站</w:t>
            </w:r>
          </w:p>
          <w:p>
            <w:pPr>
              <w:widowControl/>
              <w:adjustRightInd w:val="0"/>
              <w:snapToGrid w:val="0"/>
              <w:spacing w:line="360" w:lineRule="auto"/>
              <w:jc w:val="left"/>
              <w:rPr>
                <w:color w:val="auto"/>
              </w:rPr>
            </w:pPr>
            <w:r>
              <w:rPr>
                <w:color w:val="auto"/>
                <w:kern w:val="0"/>
                <w:lang w:bidi="ar"/>
              </w:rPr>
              <w:t>尾水排放口设置在项目厂区南面的官料河右岸，尾水可就近排放排入河流，减少管道建铺设量。项目河道标高低于污水处理站，故营运期处理后尾水可通过重力自流进入河流，同时在排水口处设置防倒灌措施，避免洪水期间河水倒灌进入污水处理站内。不会改变官料河水环境功能区划，不会恶化河水水质，项目的实施可减少排入河流的污染物量，对河流的水环境产生的影响小。</w:t>
            </w:r>
          </w:p>
          <w:p>
            <w:pPr>
              <w:widowControl/>
              <w:adjustRightInd w:val="0"/>
              <w:snapToGrid w:val="0"/>
              <w:spacing w:line="360" w:lineRule="auto"/>
              <w:ind w:firstLine="480" w:firstLineChars="200"/>
              <w:jc w:val="left"/>
              <w:rPr>
                <w:color w:val="auto"/>
              </w:rPr>
            </w:pPr>
            <w:r>
              <w:rPr>
                <w:color w:val="auto"/>
                <w:kern w:val="0"/>
                <w:lang w:bidi="ar"/>
              </w:rPr>
              <w:t>为了更好地保护水环境，官料河水环境质量评价标准执行《地表水环境质量标准》（GB3838-2002）的Ⅲ类标准。入河排污口位置符合项目所在地总体规划，达标排放后对水功能区的影响甚微，污水处理工程修建后对下游用水户是正效益，排污口的位置和排放方式基本合理。排污河段无通航功能，且无码头，不存在其他用水户的制约因素。且根据本次评价工程分析，排污口的设置对地表水环境影响较小。</w:t>
            </w:r>
          </w:p>
          <w:p>
            <w:pPr>
              <w:widowControl/>
              <w:adjustRightInd w:val="0"/>
              <w:snapToGrid w:val="0"/>
              <w:spacing w:line="360" w:lineRule="auto"/>
              <w:ind w:firstLine="480" w:firstLineChars="200"/>
              <w:jc w:val="left"/>
              <w:rPr>
                <w:color w:val="auto"/>
              </w:rPr>
            </w:pPr>
            <w:r>
              <w:rPr>
                <w:color w:val="auto"/>
                <w:kern w:val="0"/>
                <w:lang w:bidi="ar"/>
              </w:rPr>
              <w:t>本次环评要求：排污口设置应取得当地水行政部门同意方可在此设置排污口，若</w:t>
            </w:r>
          </w:p>
          <w:p>
            <w:pPr>
              <w:widowControl/>
              <w:adjustRightInd w:val="0"/>
              <w:snapToGrid w:val="0"/>
              <w:spacing w:line="360" w:lineRule="auto"/>
              <w:jc w:val="left"/>
              <w:rPr>
                <w:color w:val="auto"/>
              </w:rPr>
            </w:pPr>
            <w:r>
              <w:rPr>
                <w:color w:val="auto"/>
                <w:kern w:val="0"/>
                <w:lang w:bidi="ar"/>
              </w:rPr>
              <w:t>排污口位置发生变化，应经论证后报当地生态环境局同意方可实施。因此建设单位在采取一系列措施，并在运营期加强管理监督后，从环境角度而言，尾水排放口设置较为合理。</w:t>
            </w:r>
          </w:p>
          <w:p>
            <w:pPr>
              <w:widowControl/>
              <w:adjustRightInd w:val="0"/>
              <w:snapToGrid w:val="0"/>
              <w:spacing w:line="360" w:lineRule="auto"/>
              <w:ind w:firstLine="480" w:firstLineChars="200"/>
              <w:jc w:val="left"/>
              <w:rPr>
                <w:color w:val="auto"/>
              </w:rPr>
            </w:pPr>
            <w:r>
              <w:rPr>
                <w:color w:val="auto"/>
                <w:kern w:val="0"/>
                <w:lang w:bidi="ar"/>
              </w:rPr>
              <w:t>因此，排污口的位置是基本合理的。</w:t>
            </w:r>
          </w:p>
          <w:p>
            <w:pPr>
              <w:widowControl/>
              <w:adjustRightInd w:val="0"/>
              <w:snapToGrid w:val="0"/>
              <w:spacing w:line="360" w:lineRule="auto"/>
              <w:ind w:firstLine="482" w:firstLineChars="200"/>
              <w:jc w:val="left"/>
              <w:rPr>
                <w:b/>
                <w:color w:val="auto"/>
                <w:kern w:val="0"/>
                <w:lang w:bidi="ar"/>
              </w:rPr>
            </w:pPr>
            <w:r>
              <w:rPr>
                <w:b/>
                <w:color w:val="auto"/>
                <w:kern w:val="0"/>
                <w:lang w:bidi="ar"/>
              </w:rPr>
              <w:t>本项目营运期应加强管理，确保各处理设施正常运行，处理尾水达标排放。</w:t>
            </w:r>
          </w:p>
          <w:p>
            <w:pPr>
              <w:pStyle w:val="7"/>
              <w:spacing w:before="0" w:after="0"/>
              <w:ind w:firstLine="482" w:firstLineChars="200"/>
              <w:jc w:val="both"/>
              <w:outlineLvl w:val="3"/>
              <w:rPr>
                <w:rFonts w:ascii="Times New Roman" w:hAnsi="Times New Roman"/>
                <w:bCs/>
                <w:color w:val="auto"/>
              </w:rPr>
            </w:pPr>
            <w:bookmarkStart w:id="8" w:name="_Toc31642"/>
            <w:bookmarkStart w:id="9" w:name="_Toc9309"/>
            <w:r>
              <w:rPr>
                <w:rFonts w:ascii="Times New Roman" w:hAnsi="Times New Roman"/>
                <w:bCs/>
                <w:color w:val="auto"/>
              </w:rPr>
              <w:t>排污口规范化措施</w:t>
            </w:r>
            <w:bookmarkEnd w:id="8"/>
            <w:bookmarkEnd w:id="9"/>
            <w:r>
              <w:rPr>
                <w:rFonts w:ascii="Times New Roman" w:hAnsi="Times New Roman"/>
                <w:bCs/>
                <w:color w:val="auto"/>
              </w:rPr>
              <w:t>：</w:t>
            </w:r>
          </w:p>
          <w:p>
            <w:pPr>
              <w:pStyle w:val="2"/>
              <w:adjustRightInd w:val="0"/>
              <w:snapToGrid w:val="0"/>
              <w:spacing w:after="0" w:line="360" w:lineRule="auto"/>
              <w:ind w:left="0" w:leftChars="0" w:firstLine="480"/>
              <w:rPr>
                <w:rFonts w:hint="default" w:ascii="Times New Roman" w:hAnsi="Times New Roman"/>
                <w:color w:val="auto"/>
                <w:sz w:val="24"/>
                <w:szCs w:val="32"/>
              </w:rPr>
            </w:pPr>
            <w:r>
              <w:rPr>
                <w:rFonts w:hint="default" w:ascii="Times New Roman" w:hAnsi="Times New Roman"/>
                <w:color w:val="auto"/>
                <w:sz w:val="24"/>
                <w:szCs w:val="32"/>
              </w:rPr>
              <w:t>1）排污口规范化管理的基本原则</w:t>
            </w:r>
          </w:p>
          <w:p>
            <w:pPr>
              <w:pStyle w:val="36"/>
              <w:snapToGrid w:val="0"/>
              <w:ind w:firstLine="480" w:firstLineChars="200"/>
              <w:rPr>
                <w:color w:val="auto"/>
              </w:rPr>
            </w:pPr>
            <w:r>
              <w:rPr>
                <w:color w:val="auto"/>
              </w:rPr>
              <w:t>①向环境排放污染物的排污口必须规范化，应符合“一明显、二合理、三便于的要求”，即环保标志明显，排污口设置合理、排污去向合理，便于采集、便于监测计算、便于公众参与监督。</w:t>
            </w:r>
          </w:p>
          <w:p>
            <w:pPr>
              <w:pStyle w:val="36"/>
              <w:snapToGrid w:val="0"/>
              <w:ind w:firstLine="480" w:firstLineChars="200"/>
              <w:rPr>
                <w:color w:val="auto"/>
              </w:rPr>
            </w:pPr>
            <w:r>
              <w:rPr>
                <w:color w:val="auto"/>
              </w:rPr>
              <w:t>②考虑列入总量控制指标的污染物中排放的COD、NH</w:t>
            </w:r>
            <w:r>
              <w:rPr>
                <w:color w:val="auto"/>
                <w:vertAlign w:val="subscript"/>
              </w:rPr>
              <w:t>3</w:t>
            </w:r>
            <w:r>
              <w:rPr>
                <w:color w:val="auto"/>
              </w:rPr>
              <w:t>-N、TP、TN排放口为管理重点。</w:t>
            </w:r>
          </w:p>
          <w:p>
            <w:pPr>
              <w:pStyle w:val="36"/>
              <w:snapToGrid w:val="0"/>
              <w:ind w:firstLine="480" w:firstLineChars="200"/>
              <w:rPr>
                <w:color w:val="auto"/>
              </w:rPr>
            </w:pPr>
            <w:r>
              <w:rPr>
                <w:color w:val="auto"/>
              </w:rPr>
              <w:t>③规范化排污口，应对项目雨、污排污口进行区别。</w:t>
            </w:r>
          </w:p>
          <w:p>
            <w:pPr>
              <w:widowControl/>
              <w:adjustRightInd w:val="0"/>
              <w:snapToGrid w:val="0"/>
              <w:spacing w:line="360" w:lineRule="auto"/>
              <w:ind w:firstLine="480" w:firstLineChars="200"/>
              <w:rPr>
                <w:color w:val="auto"/>
              </w:rPr>
            </w:pPr>
            <w:r>
              <w:rPr>
                <w:color w:val="auto"/>
              </w:rPr>
              <w:t>2）排污口的技术要求</w:t>
            </w:r>
          </w:p>
          <w:p>
            <w:pPr>
              <w:pStyle w:val="36"/>
              <w:snapToGrid w:val="0"/>
              <w:ind w:firstLine="480" w:firstLineChars="200"/>
              <w:rPr>
                <w:color w:val="auto"/>
              </w:rPr>
            </w:pPr>
            <w:r>
              <w:rPr>
                <w:color w:val="auto"/>
              </w:rPr>
              <w:t>①排污口的位置必须合理确定，按《排污口规范化建设》（环监[1996]470号）文件要求进行规范化管理。</w:t>
            </w:r>
          </w:p>
          <w:p>
            <w:pPr>
              <w:pStyle w:val="36"/>
              <w:snapToGrid w:val="0"/>
              <w:ind w:firstLine="480" w:firstLineChars="200"/>
              <w:rPr>
                <w:color w:val="auto"/>
              </w:rPr>
            </w:pPr>
            <w:r>
              <w:rPr>
                <w:color w:val="auto"/>
              </w:rPr>
              <w:t>②排放污染物的采样点设置应按《污染源监测技术规范》要求设置。</w:t>
            </w:r>
          </w:p>
          <w:p>
            <w:pPr>
              <w:pStyle w:val="36"/>
              <w:snapToGrid w:val="0"/>
              <w:ind w:firstLine="480" w:firstLineChars="200"/>
              <w:rPr>
                <w:color w:val="auto"/>
              </w:rPr>
            </w:pPr>
            <w:r>
              <w:rPr>
                <w:color w:val="auto"/>
              </w:rPr>
              <w:t>③设置规范的污水测量流量流速的测流段。</w:t>
            </w:r>
          </w:p>
          <w:p>
            <w:pPr>
              <w:pStyle w:val="36"/>
              <w:snapToGrid w:val="0"/>
              <w:ind w:firstLine="480" w:firstLineChars="200"/>
              <w:rPr>
                <w:color w:val="auto"/>
              </w:rPr>
            </w:pPr>
            <w:r>
              <w:rPr>
                <w:color w:val="auto"/>
              </w:rPr>
              <w:t>④污水排放口应安装流量计。</w:t>
            </w:r>
          </w:p>
          <w:p>
            <w:pPr>
              <w:pStyle w:val="36"/>
              <w:snapToGrid w:val="0"/>
              <w:ind w:firstLine="480" w:firstLineChars="200"/>
              <w:rPr>
                <w:color w:val="auto"/>
              </w:rPr>
            </w:pPr>
            <w:r>
              <w:rPr>
                <w:color w:val="auto"/>
              </w:rPr>
              <w:t>⑤排污口应设置明渠加管道入河的方式，便于人民群众的监督。</w:t>
            </w:r>
          </w:p>
          <w:p>
            <w:pPr>
              <w:widowControl/>
              <w:adjustRightInd w:val="0"/>
              <w:snapToGrid w:val="0"/>
              <w:spacing w:line="360" w:lineRule="auto"/>
              <w:ind w:firstLine="480" w:firstLineChars="200"/>
              <w:rPr>
                <w:color w:val="auto"/>
              </w:rPr>
            </w:pPr>
            <w:r>
              <w:rPr>
                <w:color w:val="auto"/>
              </w:rPr>
              <w:t>3）排污口立标管理</w:t>
            </w:r>
          </w:p>
          <w:p>
            <w:pPr>
              <w:pStyle w:val="36"/>
              <w:snapToGrid w:val="0"/>
              <w:ind w:firstLine="480" w:firstLineChars="200"/>
              <w:rPr>
                <w:color w:val="auto"/>
              </w:rPr>
            </w:pPr>
            <w:r>
              <w:rPr>
                <w:color w:val="auto"/>
              </w:rPr>
              <w:t>①企业污染物排放口的标志，应按国家《环境保护图形标志排放口》（15562.1-1995）及《环境保护图形标志固体废物贮存（处置）场》（15562.2-1995）的规定，设置国家生态环境部统一制作的环境保护图形标志牌。</w:t>
            </w:r>
          </w:p>
          <w:p>
            <w:pPr>
              <w:pStyle w:val="36"/>
              <w:snapToGrid w:val="0"/>
              <w:ind w:firstLine="480" w:firstLineChars="200"/>
              <w:rPr>
                <w:color w:val="auto"/>
              </w:rPr>
            </w:pPr>
            <w:r>
              <w:rPr>
                <w:color w:val="auto"/>
              </w:rPr>
              <w:t>②污染物排放口的环保图形标志牌应设置在靠近采样点的醒目处，标志牌设置高度为其上缘距地面2m。</w:t>
            </w:r>
          </w:p>
          <w:p>
            <w:pPr>
              <w:pStyle w:val="2"/>
              <w:ind w:left="480"/>
              <w:rPr>
                <w:rFonts w:hint="default" w:ascii="Times New Roman" w:hAnsi="Times New Roman"/>
                <w:color w:val="auto"/>
              </w:rPr>
            </w:pPr>
            <w:r>
              <w:rPr>
                <w:rFonts w:hint="default" w:ascii="Times New Roman" w:hAnsi="Times New Roman"/>
                <w:color w:val="auto"/>
              </w:rPr>
              <w:drawing>
                <wp:inline distT="0" distB="0" distL="114300" distR="114300">
                  <wp:extent cx="4142740" cy="2409825"/>
                  <wp:effectExtent l="0" t="0" r="10160" b="9525"/>
                  <wp:docPr id="11" name="图片 53" descr="QQ图片2019102313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3" descr="QQ图片20191023132557"/>
                          <pic:cNvPicPr>
                            <a:picLocks noChangeAspect="1"/>
                          </pic:cNvPicPr>
                        </pic:nvPicPr>
                        <pic:blipFill>
                          <a:blip r:embed="rId47"/>
                          <a:stretch>
                            <a:fillRect/>
                          </a:stretch>
                        </pic:blipFill>
                        <pic:spPr>
                          <a:xfrm>
                            <a:off x="0" y="0"/>
                            <a:ext cx="4142740" cy="2409825"/>
                          </a:xfrm>
                          <a:prstGeom prst="rect">
                            <a:avLst/>
                          </a:prstGeom>
                          <a:noFill/>
                          <a:ln>
                            <a:noFill/>
                          </a:ln>
                        </pic:spPr>
                      </pic:pic>
                    </a:graphicData>
                  </a:graphic>
                </wp:inline>
              </w:drawing>
            </w:r>
          </w:p>
          <w:p>
            <w:pPr>
              <w:widowControl/>
              <w:adjustRightInd w:val="0"/>
              <w:snapToGrid w:val="0"/>
              <w:spacing w:line="360" w:lineRule="auto"/>
              <w:jc w:val="center"/>
              <w:rPr>
                <w:rFonts w:eastAsia="黑体"/>
                <w:color w:val="auto"/>
              </w:rPr>
            </w:pPr>
            <w:r>
              <w:rPr>
                <w:rFonts w:eastAsia="黑体"/>
                <w:color w:val="auto"/>
              </w:rPr>
              <w:t>图7-1  雨水排放口示意图</w:t>
            </w:r>
          </w:p>
          <w:p>
            <w:pPr>
              <w:widowControl/>
              <w:adjustRightInd w:val="0"/>
              <w:snapToGrid w:val="0"/>
              <w:spacing w:line="360" w:lineRule="auto"/>
              <w:jc w:val="center"/>
              <w:rPr>
                <w:color w:val="auto"/>
              </w:rPr>
            </w:pPr>
            <w:r>
              <w:rPr>
                <w:color w:val="auto"/>
              </w:rPr>
              <w:drawing>
                <wp:inline distT="0" distB="0" distL="114300" distR="114300">
                  <wp:extent cx="4162425" cy="2409825"/>
                  <wp:effectExtent l="0" t="0" r="9525" b="9525"/>
                  <wp:docPr id="12" name="图片 55" descr="QQ图片2019102313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5" descr="QQ图片20191023133003"/>
                          <pic:cNvPicPr>
                            <a:picLocks noChangeAspect="1"/>
                          </pic:cNvPicPr>
                        </pic:nvPicPr>
                        <pic:blipFill>
                          <a:blip r:embed="rId48"/>
                          <a:stretch>
                            <a:fillRect/>
                          </a:stretch>
                        </pic:blipFill>
                        <pic:spPr>
                          <a:xfrm>
                            <a:off x="0" y="0"/>
                            <a:ext cx="4162425" cy="2409825"/>
                          </a:xfrm>
                          <a:prstGeom prst="rect">
                            <a:avLst/>
                          </a:prstGeom>
                          <a:noFill/>
                          <a:ln>
                            <a:noFill/>
                          </a:ln>
                        </pic:spPr>
                      </pic:pic>
                    </a:graphicData>
                  </a:graphic>
                </wp:inline>
              </w:drawing>
            </w:r>
          </w:p>
          <w:p>
            <w:pPr>
              <w:widowControl/>
              <w:adjustRightInd w:val="0"/>
              <w:snapToGrid w:val="0"/>
              <w:spacing w:line="360" w:lineRule="auto"/>
              <w:jc w:val="center"/>
              <w:rPr>
                <w:rFonts w:eastAsia="黑体"/>
                <w:color w:val="auto"/>
              </w:rPr>
            </w:pPr>
            <w:r>
              <w:rPr>
                <w:rFonts w:eastAsia="黑体"/>
                <w:color w:val="auto"/>
              </w:rPr>
              <w:t>图7-2  污水排放口示意图</w:t>
            </w:r>
          </w:p>
          <w:p>
            <w:pPr>
              <w:widowControl/>
              <w:adjustRightInd w:val="0"/>
              <w:snapToGrid w:val="0"/>
              <w:spacing w:line="360" w:lineRule="auto"/>
              <w:ind w:firstLine="480" w:firstLineChars="200"/>
              <w:rPr>
                <w:color w:val="auto"/>
              </w:rPr>
            </w:pPr>
            <w:r>
              <w:rPr>
                <w:color w:val="auto"/>
              </w:rPr>
              <w:t>4）排污口建档管理</w:t>
            </w:r>
          </w:p>
          <w:p>
            <w:pPr>
              <w:widowControl/>
              <w:adjustRightInd w:val="0"/>
              <w:snapToGrid w:val="0"/>
              <w:spacing w:line="360" w:lineRule="auto"/>
              <w:ind w:firstLine="480" w:firstLineChars="200"/>
              <w:rPr>
                <w:color w:val="auto"/>
              </w:rPr>
            </w:pPr>
            <w:r>
              <w:rPr>
                <w:color w:val="auto"/>
              </w:rPr>
              <w:t>①要求使用生态环境部统一印刷的《中华人民共和国规范化排污口标志登记证》，并按要求填写有关内容。</w:t>
            </w:r>
          </w:p>
          <w:p>
            <w:pPr>
              <w:widowControl/>
              <w:adjustRightInd w:val="0"/>
              <w:snapToGrid w:val="0"/>
              <w:spacing w:line="360" w:lineRule="auto"/>
              <w:ind w:firstLine="480" w:firstLineChars="200"/>
              <w:rPr>
                <w:b/>
                <w:bCs/>
                <w:color w:val="auto"/>
                <w:kern w:val="0"/>
                <w:lang w:bidi="ar"/>
              </w:rPr>
            </w:pPr>
            <w:r>
              <w:rPr>
                <w:color w:val="auto"/>
              </w:rPr>
              <w:t>②根据排污口管理档案内容要求，项目建成后，应将主要污染物种类、数量、浓度、排放去向、达标情况及设施运行情况记录于档案。</w:t>
            </w:r>
          </w:p>
          <w:p>
            <w:pPr>
              <w:widowControl/>
              <w:adjustRightInd w:val="0"/>
              <w:snapToGrid w:val="0"/>
              <w:spacing w:line="360" w:lineRule="auto"/>
              <w:ind w:firstLine="482" w:firstLineChars="200"/>
              <w:jc w:val="left"/>
              <w:rPr>
                <w:b/>
                <w:bCs/>
                <w:color w:val="auto"/>
              </w:rPr>
            </w:pPr>
            <w:r>
              <w:rPr>
                <w:b/>
                <w:bCs/>
                <w:color w:val="auto"/>
                <w:kern w:val="0"/>
                <w:lang w:bidi="ar"/>
              </w:rPr>
              <w:t>3、环境正效应</w:t>
            </w:r>
          </w:p>
          <w:p>
            <w:pPr>
              <w:widowControl/>
              <w:adjustRightInd w:val="0"/>
              <w:snapToGrid w:val="0"/>
              <w:spacing w:line="360" w:lineRule="auto"/>
              <w:ind w:firstLine="480" w:firstLineChars="200"/>
              <w:jc w:val="left"/>
              <w:rPr>
                <w:color w:val="auto"/>
              </w:rPr>
            </w:pPr>
            <w:r>
              <w:rPr>
                <w:color w:val="auto"/>
                <w:kern w:val="0"/>
                <w:lang w:bidi="ar"/>
              </w:rPr>
              <w:t>本工程运营后，将桐花村区域污水集中收集处理达标后排放，区域内生活污水</w:t>
            </w:r>
          </w:p>
          <w:p>
            <w:pPr>
              <w:widowControl/>
              <w:adjustRightInd w:val="0"/>
              <w:snapToGrid w:val="0"/>
              <w:spacing w:line="360" w:lineRule="auto"/>
              <w:jc w:val="left"/>
              <w:rPr>
                <w:color w:val="auto"/>
              </w:rPr>
            </w:pPr>
            <w:r>
              <w:rPr>
                <w:color w:val="auto"/>
                <w:kern w:val="0"/>
                <w:lang w:bidi="ar"/>
              </w:rPr>
              <w:t>将得到有效地收集和处理，彻底改善以往污水未经处理直接排放的不良局面。本项目属</w:t>
            </w:r>
          </w:p>
          <w:p>
            <w:pPr>
              <w:widowControl/>
              <w:adjustRightInd w:val="0"/>
              <w:snapToGrid w:val="0"/>
              <w:spacing w:line="360" w:lineRule="auto"/>
              <w:jc w:val="left"/>
              <w:rPr>
                <w:color w:val="auto"/>
              </w:rPr>
            </w:pPr>
            <w:r>
              <w:rPr>
                <w:color w:val="auto"/>
                <w:kern w:val="0"/>
                <w:lang w:bidi="ar"/>
              </w:rPr>
              <w:t>于项目所在地基础设施项目，主要目的为服务于社会，建成后，将增加项目所在地污水</w:t>
            </w:r>
          </w:p>
          <w:p>
            <w:pPr>
              <w:widowControl/>
              <w:adjustRightInd w:val="0"/>
              <w:snapToGrid w:val="0"/>
              <w:spacing w:line="360" w:lineRule="auto"/>
              <w:jc w:val="left"/>
              <w:rPr>
                <w:color w:val="auto"/>
              </w:rPr>
            </w:pPr>
            <w:r>
              <w:rPr>
                <w:color w:val="auto"/>
                <w:kern w:val="0"/>
                <w:lang w:bidi="ar"/>
              </w:rPr>
              <w:t>60m</w:t>
            </w:r>
            <w:r>
              <w:rPr>
                <w:color w:val="auto"/>
                <w:kern w:val="0"/>
                <w:vertAlign w:val="superscript"/>
                <w:lang w:bidi="ar"/>
              </w:rPr>
              <w:t>3</w:t>
            </w:r>
            <w:r>
              <w:rPr>
                <w:color w:val="auto"/>
                <w:kern w:val="0"/>
                <w:lang w:bidi="ar"/>
              </w:rPr>
              <w:t>/d的处理能力，将明显改善农村生活污水收集设施和处理设施，有效改善河流水</w:t>
            </w:r>
          </w:p>
          <w:p>
            <w:pPr>
              <w:widowControl/>
              <w:adjustRightInd w:val="0"/>
              <w:snapToGrid w:val="0"/>
              <w:spacing w:line="360" w:lineRule="auto"/>
              <w:jc w:val="left"/>
              <w:rPr>
                <w:color w:val="auto"/>
              </w:rPr>
            </w:pPr>
            <w:r>
              <w:rPr>
                <w:color w:val="auto"/>
                <w:kern w:val="0"/>
                <w:lang w:bidi="ar"/>
              </w:rPr>
              <w:t>域环境，实现以点带面，建立良好的定点示范工程，实现项目所在地的可持续发展，进</w:t>
            </w:r>
          </w:p>
          <w:p>
            <w:pPr>
              <w:widowControl/>
              <w:adjustRightInd w:val="0"/>
              <w:snapToGrid w:val="0"/>
              <w:spacing w:line="360" w:lineRule="auto"/>
              <w:jc w:val="left"/>
              <w:rPr>
                <w:color w:val="auto"/>
              </w:rPr>
            </w:pPr>
            <w:r>
              <w:rPr>
                <w:color w:val="auto"/>
                <w:kern w:val="0"/>
                <w:lang w:bidi="ar"/>
              </w:rPr>
              <w:t>一步提高当地居民生产和生活质量。</w:t>
            </w:r>
          </w:p>
          <w:p>
            <w:pPr>
              <w:widowControl/>
              <w:adjustRightInd w:val="0"/>
              <w:snapToGrid w:val="0"/>
              <w:spacing w:line="360" w:lineRule="auto"/>
              <w:ind w:firstLine="482" w:firstLineChars="200"/>
              <w:jc w:val="left"/>
              <w:rPr>
                <w:b/>
                <w:bCs/>
                <w:color w:val="auto"/>
              </w:rPr>
            </w:pPr>
            <w:r>
              <w:rPr>
                <w:b/>
                <w:bCs/>
                <w:color w:val="auto"/>
                <w:kern w:val="0"/>
                <w:lang w:bidi="ar"/>
              </w:rPr>
              <w:t>本项目的建设，对项目所在地地表水环境的改善有正效益影响，可减少的排放量</w:t>
            </w:r>
          </w:p>
          <w:p>
            <w:pPr>
              <w:widowControl/>
              <w:adjustRightInd w:val="0"/>
              <w:snapToGrid w:val="0"/>
              <w:spacing w:line="360" w:lineRule="auto"/>
              <w:jc w:val="left"/>
              <w:rPr>
                <w:b/>
                <w:bCs/>
                <w:color w:val="auto"/>
              </w:rPr>
            </w:pPr>
            <w:r>
              <w:rPr>
                <w:b/>
                <w:bCs/>
                <w:color w:val="auto"/>
                <w:kern w:val="0"/>
                <w:lang w:bidi="ar"/>
              </w:rPr>
              <w:t>COD</w:t>
            </w:r>
            <w:r>
              <w:rPr>
                <w:b/>
                <w:bCs/>
                <w:color w:val="auto"/>
                <w:kern w:val="0"/>
                <w:sz w:val="16"/>
                <w:szCs w:val="16"/>
                <w:lang w:bidi="ar"/>
              </w:rPr>
              <w:t>Cr</w:t>
            </w:r>
            <w:r>
              <w:rPr>
                <w:b/>
                <w:bCs/>
                <w:color w:val="auto"/>
                <w:kern w:val="0"/>
                <w:lang w:bidi="ar"/>
              </w:rPr>
              <w:t>：5.256t/a，BOD</w:t>
            </w:r>
            <w:r>
              <w:rPr>
                <w:b/>
                <w:bCs/>
                <w:color w:val="auto"/>
                <w:kern w:val="0"/>
                <w:sz w:val="16"/>
                <w:szCs w:val="16"/>
                <w:lang w:bidi="ar"/>
              </w:rPr>
              <w:t>5</w:t>
            </w:r>
            <w:r>
              <w:rPr>
                <w:b/>
                <w:bCs/>
                <w:color w:val="auto"/>
                <w:kern w:val="0"/>
                <w:lang w:bidi="ar"/>
              </w:rPr>
              <w:t>：3.066t/a，NH</w:t>
            </w:r>
            <w:r>
              <w:rPr>
                <w:b/>
                <w:bCs/>
                <w:color w:val="auto"/>
                <w:kern w:val="0"/>
                <w:sz w:val="16"/>
                <w:szCs w:val="16"/>
                <w:lang w:bidi="ar"/>
              </w:rPr>
              <w:t>3</w:t>
            </w:r>
            <w:r>
              <w:rPr>
                <w:b/>
                <w:bCs/>
                <w:color w:val="auto"/>
                <w:kern w:val="0"/>
                <w:lang w:bidi="ar"/>
              </w:rPr>
              <w:t>-N：0.2628t/a，TP：0.05475t/a，TN：0.219t/a，SS：2.847t/a。</w:t>
            </w:r>
          </w:p>
          <w:p>
            <w:pPr>
              <w:widowControl/>
              <w:adjustRightInd w:val="0"/>
              <w:snapToGrid w:val="0"/>
              <w:spacing w:line="360" w:lineRule="auto"/>
              <w:ind w:firstLine="482" w:firstLineChars="200"/>
              <w:jc w:val="left"/>
              <w:rPr>
                <w:b/>
                <w:bCs/>
                <w:color w:val="auto"/>
              </w:rPr>
            </w:pPr>
            <w:r>
              <w:rPr>
                <w:b/>
                <w:bCs/>
                <w:color w:val="auto"/>
                <w:kern w:val="0"/>
                <w:lang w:bidi="ar"/>
              </w:rPr>
              <w:t>4、洪水冲刷对本项目场站的影响</w:t>
            </w:r>
          </w:p>
          <w:p>
            <w:pPr>
              <w:widowControl/>
              <w:adjustRightInd w:val="0"/>
              <w:snapToGrid w:val="0"/>
              <w:spacing w:line="360" w:lineRule="auto"/>
              <w:ind w:firstLine="480" w:firstLineChars="200"/>
              <w:jc w:val="left"/>
              <w:rPr>
                <w:color w:val="auto"/>
              </w:rPr>
            </w:pPr>
            <w:r>
              <w:rPr>
                <w:color w:val="auto"/>
                <w:kern w:val="0"/>
                <w:lang w:bidi="ar"/>
              </w:rPr>
              <w:t>官料河水量较大，但暴雨和洪水不会威胁废水处理站安全，污水处理站区域地理位置相较于官料河水位较高，周围行洪河道较多，发生洪灾的可能性极小。</w:t>
            </w:r>
          </w:p>
          <w:p>
            <w:pPr>
              <w:widowControl/>
              <w:adjustRightInd w:val="0"/>
              <w:snapToGrid w:val="0"/>
              <w:spacing w:line="360" w:lineRule="auto"/>
              <w:ind w:firstLine="480" w:firstLineChars="200"/>
              <w:jc w:val="left"/>
              <w:rPr>
                <w:color w:val="auto"/>
              </w:rPr>
            </w:pPr>
            <w:r>
              <w:rPr>
                <w:color w:val="auto"/>
                <w:kern w:val="0"/>
                <w:lang w:bidi="ar"/>
              </w:rPr>
              <w:t>本项目入河排污口为管道自流，岸边敷设，连续排放。环评建议，建设单位修建入</w:t>
            </w:r>
          </w:p>
          <w:p>
            <w:pPr>
              <w:widowControl/>
              <w:adjustRightInd w:val="0"/>
              <w:snapToGrid w:val="0"/>
              <w:spacing w:line="360" w:lineRule="auto"/>
              <w:jc w:val="left"/>
              <w:rPr>
                <w:color w:val="auto"/>
              </w:rPr>
            </w:pPr>
            <w:r>
              <w:rPr>
                <w:color w:val="auto"/>
                <w:kern w:val="0"/>
                <w:lang w:bidi="ar"/>
              </w:rPr>
              <w:t>河排污明管时，管底高程高于二十年一遇洪水位，并在排污口设置切断阀，汛期采用泵</w:t>
            </w:r>
          </w:p>
          <w:p>
            <w:pPr>
              <w:widowControl/>
              <w:adjustRightInd w:val="0"/>
              <w:snapToGrid w:val="0"/>
              <w:spacing w:line="360" w:lineRule="auto"/>
              <w:jc w:val="left"/>
              <w:rPr>
                <w:color w:val="auto"/>
              </w:rPr>
            </w:pPr>
            <w:r>
              <w:rPr>
                <w:color w:val="auto"/>
                <w:kern w:val="0"/>
                <w:lang w:bidi="ar"/>
              </w:rPr>
              <w:t>抽排方式排入河沟，防止河水倒灌，同时加强汛期的预警系统，保证汛期防洪安全。</w:t>
            </w:r>
          </w:p>
          <w:p>
            <w:pPr>
              <w:widowControl/>
              <w:adjustRightInd w:val="0"/>
              <w:snapToGrid w:val="0"/>
              <w:spacing w:line="360" w:lineRule="auto"/>
              <w:ind w:firstLine="480" w:firstLineChars="200"/>
              <w:jc w:val="left"/>
              <w:rPr>
                <w:color w:val="auto"/>
              </w:rPr>
            </w:pPr>
            <w:r>
              <w:rPr>
                <w:color w:val="auto"/>
                <w:kern w:val="0"/>
                <w:lang w:bidi="ar"/>
              </w:rPr>
              <w:t>本项目的建设不占用河道，对河道行洪影响较小。在采取以上防洪措施后，汛期洪</w:t>
            </w:r>
          </w:p>
          <w:p>
            <w:pPr>
              <w:widowControl/>
              <w:adjustRightInd w:val="0"/>
              <w:snapToGrid w:val="0"/>
              <w:spacing w:line="360" w:lineRule="auto"/>
              <w:jc w:val="left"/>
              <w:rPr>
                <w:color w:val="auto"/>
              </w:rPr>
            </w:pPr>
            <w:r>
              <w:rPr>
                <w:color w:val="auto"/>
                <w:kern w:val="0"/>
                <w:lang w:bidi="ar"/>
              </w:rPr>
              <w:t>水对场站的影响较小。</w:t>
            </w:r>
          </w:p>
          <w:p>
            <w:pPr>
              <w:pStyle w:val="3"/>
              <w:adjustRightInd w:val="0"/>
              <w:snapToGrid w:val="0"/>
              <w:spacing w:line="360" w:lineRule="auto"/>
              <w:ind w:firstLine="482" w:firstLineChars="200"/>
              <w:rPr>
                <w:rFonts w:hint="default" w:ascii="Times New Roman" w:hAnsi="Times New Roman"/>
                <w:b/>
                <w:bCs/>
                <w:color w:val="auto"/>
                <w:kern w:val="2"/>
                <w:szCs w:val="20"/>
              </w:rPr>
            </w:pPr>
            <w:r>
              <w:rPr>
                <w:rFonts w:hint="default" w:ascii="Times New Roman" w:hAnsi="Times New Roman"/>
                <w:b/>
                <w:bCs/>
                <w:color w:val="auto"/>
                <w:kern w:val="2"/>
                <w:szCs w:val="20"/>
              </w:rPr>
              <w:t>2.3噪声环境影响分析及其防治措施</w:t>
            </w:r>
          </w:p>
          <w:p>
            <w:pPr>
              <w:tabs>
                <w:tab w:val="left" w:pos="462"/>
              </w:tabs>
              <w:adjustRightInd w:val="0"/>
              <w:snapToGrid w:val="0"/>
              <w:spacing w:line="360" w:lineRule="auto"/>
              <w:ind w:firstLine="482" w:firstLineChars="200"/>
              <w:rPr>
                <w:b/>
                <w:bCs/>
                <w:color w:val="auto"/>
              </w:rPr>
            </w:pPr>
            <w:r>
              <w:rPr>
                <w:b/>
                <w:bCs/>
                <w:color w:val="auto"/>
              </w:rPr>
              <w:t>1.影响分析</w:t>
            </w:r>
          </w:p>
          <w:p>
            <w:pPr>
              <w:widowControl/>
              <w:adjustRightInd w:val="0"/>
              <w:snapToGrid w:val="0"/>
              <w:spacing w:line="360" w:lineRule="auto"/>
              <w:ind w:firstLine="480" w:firstLineChars="200"/>
              <w:rPr>
                <w:rFonts w:eastAsia="黑体"/>
                <w:color w:val="auto"/>
              </w:rPr>
            </w:pPr>
            <w:r>
              <w:rPr>
                <w:color w:val="auto"/>
              </w:rPr>
              <w:t>本项目主要噪声来源于传动机械工作时产生的噪声，主要噪声源有：粗细格栅机、污水提升泵、鼓风机等，根据类似设备噪声强度调查，主要的机械设备噪声值见表7-26。</w:t>
            </w:r>
          </w:p>
          <w:p>
            <w:pPr>
              <w:widowControl/>
              <w:adjustRightInd w:val="0"/>
              <w:snapToGrid w:val="0"/>
              <w:spacing w:line="360" w:lineRule="auto"/>
              <w:jc w:val="center"/>
              <w:rPr>
                <w:rFonts w:eastAsia="黑体"/>
                <w:color w:val="auto"/>
              </w:rPr>
            </w:pPr>
            <w:r>
              <w:rPr>
                <w:rFonts w:eastAsia="黑体"/>
                <w:color w:val="auto"/>
              </w:rPr>
              <w:t>表7-26  项目噪声源强及防治措施一览表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677"/>
              <w:gridCol w:w="1542"/>
              <w:gridCol w:w="1571"/>
              <w:gridCol w:w="917"/>
              <w:gridCol w:w="1306"/>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734" w:type="dxa"/>
                  <w:noWrap w:val="0"/>
                  <w:vAlign w:val="center"/>
                </w:tcPr>
                <w:p>
                  <w:pPr>
                    <w:pStyle w:val="79"/>
                    <w:rPr>
                      <w:b/>
                      <w:bCs/>
                      <w:color w:val="auto"/>
                      <w:szCs w:val="21"/>
                    </w:rPr>
                  </w:pPr>
                  <w:r>
                    <w:rPr>
                      <w:b/>
                      <w:bCs/>
                      <w:color w:val="auto"/>
                      <w:szCs w:val="21"/>
                    </w:rPr>
                    <w:t>序号</w:t>
                  </w:r>
                </w:p>
              </w:tc>
              <w:tc>
                <w:tcPr>
                  <w:tcW w:w="1677" w:type="dxa"/>
                  <w:noWrap w:val="0"/>
                  <w:vAlign w:val="center"/>
                </w:tcPr>
                <w:p>
                  <w:pPr>
                    <w:pStyle w:val="79"/>
                    <w:rPr>
                      <w:b/>
                      <w:bCs/>
                      <w:color w:val="auto"/>
                      <w:szCs w:val="21"/>
                    </w:rPr>
                  </w:pPr>
                  <w:r>
                    <w:rPr>
                      <w:b/>
                      <w:bCs/>
                      <w:color w:val="auto"/>
                      <w:szCs w:val="21"/>
                    </w:rPr>
                    <w:t>设备名称</w:t>
                  </w:r>
                </w:p>
              </w:tc>
              <w:tc>
                <w:tcPr>
                  <w:tcW w:w="1542" w:type="dxa"/>
                  <w:noWrap w:val="0"/>
                  <w:vAlign w:val="center"/>
                </w:tcPr>
                <w:p>
                  <w:pPr>
                    <w:pStyle w:val="79"/>
                    <w:rPr>
                      <w:b/>
                      <w:bCs/>
                      <w:color w:val="auto"/>
                      <w:szCs w:val="21"/>
                    </w:rPr>
                  </w:pPr>
                  <w:r>
                    <w:rPr>
                      <w:b/>
                      <w:bCs/>
                      <w:color w:val="auto"/>
                      <w:szCs w:val="21"/>
                    </w:rPr>
                    <w:t>数量</w:t>
                  </w:r>
                </w:p>
              </w:tc>
              <w:tc>
                <w:tcPr>
                  <w:tcW w:w="1571" w:type="dxa"/>
                  <w:noWrap w:val="0"/>
                  <w:vAlign w:val="center"/>
                </w:tcPr>
                <w:p>
                  <w:pPr>
                    <w:pStyle w:val="79"/>
                    <w:rPr>
                      <w:b/>
                      <w:bCs/>
                      <w:color w:val="auto"/>
                      <w:szCs w:val="21"/>
                    </w:rPr>
                  </w:pPr>
                  <w:r>
                    <w:rPr>
                      <w:b/>
                      <w:bCs/>
                      <w:color w:val="auto"/>
                      <w:szCs w:val="21"/>
                    </w:rPr>
                    <w:t>源强（dB（A））</w:t>
                  </w:r>
                </w:p>
              </w:tc>
              <w:tc>
                <w:tcPr>
                  <w:tcW w:w="917" w:type="dxa"/>
                  <w:noWrap w:val="0"/>
                  <w:vAlign w:val="center"/>
                </w:tcPr>
                <w:p>
                  <w:pPr>
                    <w:pStyle w:val="79"/>
                    <w:rPr>
                      <w:b/>
                      <w:bCs/>
                      <w:color w:val="auto"/>
                      <w:szCs w:val="21"/>
                    </w:rPr>
                  </w:pPr>
                  <w:r>
                    <w:rPr>
                      <w:b/>
                      <w:bCs/>
                      <w:color w:val="auto"/>
                      <w:szCs w:val="21"/>
                    </w:rPr>
                    <w:t>备注</w:t>
                  </w:r>
                </w:p>
              </w:tc>
              <w:tc>
                <w:tcPr>
                  <w:tcW w:w="1306" w:type="dxa"/>
                  <w:noWrap w:val="0"/>
                  <w:vAlign w:val="center"/>
                </w:tcPr>
                <w:p>
                  <w:pPr>
                    <w:pStyle w:val="79"/>
                    <w:rPr>
                      <w:b/>
                      <w:bCs/>
                      <w:color w:val="auto"/>
                      <w:szCs w:val="21"/>
                    </w:rPr>
                  </w:pPr>
                  <w:r>
                    <w:rPr>
                      <w:b/>
                      <w:bCs/>
                      <w:color w:val="auto"/>
                      <w:szCs w:val="21"/>
                    </w:rPr>
                    <w:t>防治措施</w:t>
                  </w:r>
                </w:p>
              </w:tc>
              <w:tc>
                <w:tcPr>
                  <w:tcW w:w="1313" w:type="dxa"/>
                  <w:noWrap w:val="0"/>
                  <w:vAlign w:val="top"/>
                </w:tcPr>
                <w:p>
                  <w:pPr>
                    <w:pStyle w:val="79"/>
                    <w:rPr>
                      <w:b/>
                      <w:bCs/>
                      <w:color w:val="auto"/>
                      <w:szCs w:val="21"/>
                    </w:rPr>
                  </w:pPr>
                  <w:r>
                    <w:rPr>
                      <w:b/>
                      <w:bCs/>
                      <w:color w:val="auto"/>
                      <w:szCs w:val="21"/>
                    </w:rPr>
                    <w:t>源强（dB（A））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4" w:type="dxa"/>
                  <w:noWrap w:val="0"/>
                  <w:vAlign w:val="center"/>
                </w:tcPr>
                <w:p>
                  <w:pPr>
                    <w:widowControl/>
                    <w:adjustRightInd w:val="0"/>
                    <w:snapToGrid w:val="0"/>
                    <w:jc w:val="center"/>
                    <w:rPr>
                      <w:rFonts w:hint="eastAsia"/>
                      <w:color w:val="auto"/>
                      <w:sz w:val="21"/>
                      <w:szCs w:val="21"/>
                    </w:rPr>
                  </w:pPr>
                  <w:r>
                    <w:rPr>
                      <w:rFonts w:hint="eastAsia"/>
                      <w:bCs/>
                      <w:color w:val="auto"/>
                      <w:sz w:val="21"/>
                      <w:szCs w:val="21"/>
                    </w:rPr>
                    <w:t>1</w:t>
                  </w:r>
                </w:p>
              </w:tc>
              <w:tc>
                <w:tcPr>
                  <w:tcW w:w="1677" w:type="dxa"/>
                  <w:noWrap w:val="0"/>
                  <w:vAlign w:val="center"/>
                </w:tcPr>
                <w:p>
                  <w:pPr>
                    <w:widowControl/>
                    <w:adjustRightInd w:val="0"/>
                    <w:snapToGrid w:val="0"/>
                    <w:jc w:val="center"/>
                    <w:rPr>
                      <w:color w:val="auto"/>
                      <w:sz w:val="21"/>
                      <w:szCs w:val="21"/>
                    </w:rPr>
                  </w:pPr>
                  <w:r>
                    <w:rPr>
                      <w:bCs/>
                      <w:color w:val="auto"/>
                      <w:sz w:val="21"/>
                      <w:szCs w:val="21"/>
                    </w:rPr>
                    <w:t>污水提升泵</w:t>
                  </w:r>
                </w:p>
              </w:tc>
              <w:tc>
                <w:tcPr>
                  <w:tcW w:w="1542" w:type="dxa"/>
                  <w:noWrap w:val="0"/>
                  <w:vAlign w:val="center"/>
                </w:tcPr>
                <w:p>
                  <w:pPr>
                    <w:jc w:val="center"/>
                    <w:rPr>
                      <w:color w:val="auto"/>
                      <w:sz w:val="21"/>
                      <w:szCs w:val="21"/>
                    </w:rPr>
                  </w:pPr>
                  <w:r>
                    <w:rPr>
                      <w:bCs/>
                      <w:color w:val="auto"/>
                      <w:sz w:val="21"/>
                      <w:szCs w:val="21"/>
                    </w:rPr>
                    <w:t>2（1用1备）</w:t>
                  </w:r>
                </w:p>
              </w:tc>
              <w:tc>
                <w:tcPr>
                  <w:tcW w:w="1571" w:type="dxa"/>
                  <w:noWrap w:val="0"/>
                  <w:vAlign w:val="center"/>
                </w:tcPr>
                <w:p>
                  <w:pPr>
                    <w:widowControl/>
                    <w:adjustRightInd w:val="0"/>
                    <w:snapToGrid w:val="0"/>
                    <w:jc w:val="center"/>
                    <w:rPr>
                      <w:rFonts w:hint="eastAsia"/>
                      <w:color w:val="auto"/>
                      <w:sz w:val="21"/>
                      <w:szCs w:val="21"/>
                    </w:rPr>
                  </w:pPr>
                  <w:r>
                    <w:rPr>
                      <w:rFonts w:hint="eastAsia"/>
                      <w:bCs/>
                      <w:color w:val="auto"/>
                      <w:sz w:val="21"/>
                      <w:szCs w:val="21"/>
                    </w:rPr>
                    <w:t>65</w:t>
                  </w:r>
                </w:p>
              </w:tc>
              <w:tc>
                <w:tcPr>
                  <w:tcW w:w="917" w:type="dxa"/>
                  <w:noWrap w:val="0"/>
                  <w:vAlign w:val="center"/>
                </w:tcPr>
                <w:p>
                  <w:pPr>
                    <w:widowControl/>
                    <w:adjustRightInd w:val="0"/>
                    <w:snapToGrid w:val="0"/>
                    <w:jc w:val="center"/>
                    <w:rPr>
                      <w:color w:val="auto"/>
                      <w:sz w:val="21"/>
                      <w:szCs w:val="21"/>
                    </w:rPr>
                  </w:pPr>
                  <w:r>
                    <w:rPr>
                      <w:color w:val="auto"/>
                      <w:sz w:val="21"/>
                      <w:szCs w:val="21"/>
                    </w:rPr>
                    <w:t>连续</w:t>
                  </w:r>
                </w:p>
              </w:tc>
              <w:tc>
                <w:tcPr>
                  <w:tcW w:w="1306" w:type="dxa"/>
                  <w:noWrap w:val="0"/>
                  <w:vAlign w:val="center"/>
                </w:tcPr>
                <w:p>
                  <w:pPr>
                    <w:pStyle w:val="79"/>
                    <w:rPr>
                      <w:color w:val="auto"/>
                      <w:szCs w:val="21"/>
                    </w:rPr>
                  </w:pPr>
                  <w:r>
                    <w:rPr>
                      <w:color w:val="auto"/>
                      <w:szCs w:val="21"/>
                    </w:rPr>
                    <w:t>基础减振、消声、隔声</w:t>
                  </w:r>
                </w:p>
              </w:tc>
              <w:tc>
                <w:tcPr>
                  <w:tcW w:w="1313" w:type="dxa"/>
                  <w:noWrap w:val="0"/>
                  <w:vAlign w:val="center"/>
                </w:tcPr>
                <w:p>
                  <w:pPr>
                    <w:pStyle w:val="79"/>
                    <w:rPr>
                      <w:rFonts w:hint="eastAsia"/>
                      <w:color w:val="auto"/>
                      <w:szCs w:val="21"/>
                    </w:rPr>
                  </w:pPr>
                  <w:r>
                    <w:rPr>
                      <w:rFonts w:hint="eastAsia"/>
                      <w:color w:val="auto"/>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4" w:type="dxa"/>
                  <w:noWrap w:val="0"/>
                  <w:vAlign w:val="center"/>
                </w:tcPr>
                <w:p>
                  <w:pPr>
                    <w:widowControl/>
                    <w:adjustRightInd w:val="0"/>
                    <w:snapToGrid w:val="0"/>
                    <w:jc w:val="center"/>
                    <w:rPr>
                      <w:rFonts w:hint="eastAsia"/>
                      <w:color w:val="auto"/>
                      <w:sz w:val="21"/>
                      <w:szCs w:val="21"/>
                    </w:rPr>
                  </w:pPr>
                  <w:r>
                    <w:rPr>
                      <w:rFonts w:hint="eastAsia"/>
                      <w:bCs/>
                      <w:color w:val="auto"/>
                      <w:sz w:val="21"/>
                      <w:szCs w:val="21"/>
                    </w:rPr>
                    <w:t>2</w:t>
                  </w:r>
                </w:p>
              </w:tc>
              <w:tc>
                <w:tcPr>
                  <w:tcW w:w="1677" w:type="dxa"/>
                  <w:noWrap w:val="0"/>
                  <w:vAlign w:val="center"/>
                </w:tcPr>
                <w:p>
                  <w:pPr>
                    <w:widowControl/>
                    <w:adjustRightInd w:val="0"/>
                    <w:snapToGrid w:val="0"/>
                    <w:jc w:val="center"/>
                    <w:rPr>
                      <w:color w:val="auto"/>
                      <w:sz w:val="21"/>
                      <w:szCs w:val="21"/>
                    </w:rPr>
                  </w:pPr>
                  <w:r>
                    <w:rPr>
                      <w:color w:val="auto"/>
                      <w:sz w:val="21"/>
                      <w:szCs w:val="21"/>
                    </w:rPr>
                    <w:t>鼓风机</w:t>
                  </w:r>
                </w:p>
              </w:tc>
              <w:tc>
                <w:tcPr>
                  <w:tcW w:w="1542" w:type="dxa"/>
                  <w:noWrap w:val="0"/>
                  <w:vAlign w:val="center"/>
                </w:tcPr>
                <w:p>
                  <w:pPr>
                    <w:jc w:val="center"/>
                    <w:rPr>
                      <w:color w:val="auto"/>
                      <w:sz w:val="21"/>
                      <w:szCs w:val="21"/>
                    </w:rPr>
                  </w:pPr>
                  <w:r>
                    <w:rPr>
                      <w:bCs/>
                      <w:color w:val="auto"/>
                      <w:sz w:val="21"/>
                      <w:szCs w:val="21"/>
                    </w:rPr>
                    <w:t>2（1用1备）</w:t>
                  </w:r>
                </w:p>
              </w:tc>
              <w:tc>
                <w:tcPr>
                  <w:tcW w:w="1571" w:type="dxa"/>
                  <w:noWrap w:val="0"/>
                  <w:vAlign w:val="center"/>
                </w:tcPr>
                <w:p>
                  <w:pPr>
                    <w:widowControl/>
                    <w:adjustRightInd w:val="0"/>
                    <w:snapToGrid w:val="0"/>
                    <w:jc w:val="center"/>
                    <w:rPr>
                      <w:color w:val="auto"/>
                      <w:sz w:val="21"/>
                      <w:szCs w:val="21"/>
                    </w:rPr>
                  </w:pPr>
                  <w:r>
                    <w:rPr>
                      <w:rFonts w:hint="eastAsia"/>
                      <w:bCs/>
                      <w:color w:val="auto"/>
                      <w:sz w:val="21"/>
                      <w:szCs w:val="21"/>
                    </w:rPr>
                    <w:t>8</w:t>
                  </w:r>
                  <w:r>
                    <w:rPr>
                      <w:bCs/>
                      <w:color w:val="auto"/>
                      <w:sz w:val="21"/>
                      <w:szCs w:val="21"/>
                    </w:rPr>
                    <w:t>5</w:t>
                  </w:r>
                </w:p>
              </w:tc>
              <w:tc>
                <w:tcPr>
                  <w:tcW w:w="917" w:type="dxa"/>
                  <w:noWrap w:val="0"/>
                  <w:vAlign w:val="center"/>
                </w:tcPr>
                <w:p>
                  <w:pPr>
                    <w:widowControl/>
                    <w:adjustRightInd w:val="0"/>
                    <w:snapToGrid w:val="0"/>
                    <w:jc w:val="center"/>
                    <w:rPr>
                      <w:color w:val="auto"/>
                      <w:sz w:val="21"/>
                      <w:szCs w:val="21"/>
                    </w:rPr>
                  </w:pPr>
                  <w:r>
                    <w:rPr>
                      <w:color w:val="auto"/>
                      <w:sz w:val="21"/>
                      <w:szCs w:val="21"/>
                    </w:rPr>
                    <w:t>连续</w:t>
                  </w:r>
                </w:p>
              </w:tc>
              <w:tc>
                <w:tcPr>
                  <w:tcW w:w="1306" w:type="dxa"/>
                  <w:noWrap w:val="0"/>
                  <w:vAlign w:val="center"/>
                </w:tcPr>
                <w:p>
                  <w:pPr>
                    <w:pStyle w:val="79"/>
                    <w:rPr>
                      <w:color w:val="auto"/>
                      <w:szCs w:val="21"/>
                    </w:rPr>
                  </w:pPr>
                  <w:r>
                    <w:rPr>
                      <w:color w:val="auto"/>
                      <w:szCs w:val="21"/>
                    </w:rPr>
                    <w:t>加装隔音罩消声、隔声</w:t>
                  </w:r>
                </w:p>
              </w:tc>
              <w:tc>
                <w:tcPr>
                  <w:tcW w:w="1313" w:type="dxa"/>
                  <w:noWrap w:val="0"/>
                  <w:vAlign w:val="center"/>
                </w:tcPr>
                <w:p>
                  <w:pPr>
                    <w:pStyle w:val="79"/>
                    <w:rPr>
                      <w:color w:val="auto"/>
                      <w:szCs w:val="21"/>
                    </w:rPr>
                  </w:pPr>
                  <w:r>
                    <w:rPr>
                      <w:rFonts w:hint="eastAsia"/>
                      <w:color w:val="auto"/>
                      <w:szCs w:val="21"/>
                    </w:rPr>
                    <w:t>6</w:t>
                  </w:r>
                  <w:r>
                    <w:rPr>
                      <w:color w:val="auto"/>
                      <w:szCs w:val="21"/>
                    </w:rPr>
                    <w:t>5</w:t>
                  </w:r>
                </w:p>
              </w:tc>
            </w:tr>
          </w:tbl>
          <w:p>
            <w:pPr>
              <w:adjustRightInd w:val="0"/>
              <w:snapToGrid w:val="0"/>
              <w:spacing w:line="360" w:lineRule="auto"/>
              <w:ind w:firstLine="480" w:firstLineChars="200"/>
              <w:rPr>
                <w:color w:val="auto"/>
              </w:rPr>
            </w:pPr>
            <w:r>
              <w:rPr>
                <w:color w:val="auto"/>
              </w:rPr>
              <w:t>本评价噪声主要贡献为MBR一体化处理设备。评价将一体化处理设备作为一个等效声源叠加计算出声源等效声压级。经自然衰减贡献值和本底声源叠加，预测是否达标。声源声压级叠加公式如下：</w:t>
            </w:r>
          </w:p>
          <w:p>
            <w:pPr>
              <w:adjustRightInd w:val="0"/>
              <w:snapToGrid w:val="0"/>
              <w:spacing w:line="360" w:lineRule="auto"/>
              <w:ind w:firstLine="480" w:firstLineChars="200"/>
              <w:jc w:val="center"/>
              <w:rPr>
                <w:color w:val="auto"/>
              </w:rPr>
            </w:pPr>
            <w:r>
              <w:rPr>
                <w:color w:val="auto"/>
                <w:position w:val="-30"/>
              </w:rPr>
              <w:object>
                <v:shape id="_x0000_i1052" o:spt="75" type="#_x0000_t75" style="height:48.05pt;width:120.6pt;" o:ole="t" filled="f" o:preferrelative="t" stroked="f" coordsize="21600,21600">
                  <v:path/>
                  <v:fill on="f" focussize="0,0"/>
                  <v:stroke on="f"/>
                  <v:imagedata r:id="rId50" embosscolor="#FFFFFF" o:title=""/>
                  <o:lock v:ext="edit" grouping="f" rotation="f" text="f" aspectratio="t"/>
                  <w10:wrap type="none"/>
                  <w10:anchorlock/>
                </v:shape>
                <o:OLEObject Type="Embed" ProgID="Equation.3" ShapeID="_x0000_i1052" DrawAspect="Content" ObjectID="_1468075741" r:id="rId49">
                  <o:LockedField>false</o:LockedField>
                </o:OLEObject>
              </w:object>
            </w:r>
          </w:p>
          <w:p>
            <w:pPr>
              <w:adjustRightInd w:val="0"/>
              <w:snapToGrid w:val="0"/>
              <w:spacing w:line="360" w:lineRule="auto"/>
              <w:ind w:firstLine="480" w:firstLineChars="200"/>
              <w:rPr>
                <w:color w:val="auto"/>
              </w:rPr>
            </w:pPr>
            <w:r>
              <w:rPr>
                <w:color w:val="auto"/>
              </w:rPr>
              <w:t>式中：Lp——n个声源叠加声压级，dB（A）；</w:t>
            </w:r>
          </w:p>
          <w:p>
            <w:pPr>
              <w:adjustRightInd w:val="0"/>
              <w:snapToGrid w:val="0"/>
              <w:spacing w:line="360" w:lineRule="auto"/>
              <w:ind w:firstLine="1200" w:firstLineChars="500"/>
              <w:rPr>
                <w:color w:val="auto"/>
              </w:rPr>
            </w:pPr>
            <w:r>
              <w:rPr>
                <w:color w:val="auto"/>
              </w:rPr>
              <w:t>Li——声源i的等效声压级，dB（A）；</w:t>
            </w:r>
          </w:p>
          <w:p>
            <w:pPr>
              <w:adjustRightInd w:val="0"/>
              <w:snapToGrid w:val="0"/>
              <w:spacing w:line="360" w:lineRule="auto"/>
              <w:ind w:firstLine="1200" w:firstLineChars="500"/>
              <w:rPr>
                <w:color w:val="auto"/>
              </w:rPr>
            </w:pPr>
            <w:r>
              <w:rPr>
                <w:color w:val="auto"/>
              </w:rPr>
              <w:t>n——声源数量。</w:t>
            </w:r>
          </w:p>
          <w:p>
            <w:pPr>
              <w:adjustRightInd w:val="0"/>
              <w:snapToGrid w:val="0"/>
              <w:spacing w:line="360" w:lineRule="auto"/>
              <w:ind w:firstLine="480" w:firstLineChars="200"/>
              <w:rPr>
                <w:color w:val="auto"/>
              </w:rPr>
            </w:pPr>
            <w:r>
              <w:rPr>
                <w:color w:val="auto"/>
              </w:rPr>
              <w:t>经计算，将工作区作为一个整体声源处理后等效声级为78dB（A）。本次评价噪声衰减采用无指向性点源几何发散衰减基本公式计算厂界贡献值，基本公式如下：</w:t>
            </w:r>
          </w:p>
          <w:p>
            <w:pPr>
              <w:adjustRightInd w:val="0"/>
              <w:snapToGrid w:val="0"/>
              <w:spacing w:line="360" w:lineRule="auto"/>
              <w:ind w:firstLine="480" w:firstLineChars="200"/>
              <w:jc w:val="center"/>
              <w:rPr>
                <w:color w:val="auto"/>
              </w:rPr>
            </w:pPr>
            <w:r>
              <w:rPr>
                <w:color w:val="auto"/>
              </w:rPr>
              <w:t>Lr=Lr</w:t>
            </w:r>
            <w:r>
              <w:rPr>
                <w:color w:val="auto"/>
                <w:vertAlign w:val="subscript"/>
              </w:rPr>
              <w:t>0</w:t>
            </w:r>
            <w:r>
              <w:rPr>
                <w:color w:val="auto"/>
              </w:rPr>
              <w:t>-20lg（r/r</w:t>
            </w:r>
            <w:r>
              <w:rPr>
                <w:color w:val="auto"/>
                <w:vertAlign w:val="subscript"/>
              </w:rPr>
              <w:t>0</w:t>
            </w:r>
            <w:r>
              <w:rPr>
                <w:color w:val="auto"/>
              </w:rPr>
              <w:t>）</w:t>
            </w:r>
          </w:p>
          <w:p>
            <w:pPr>
              <w:adjustRightInd w:val="0"/>
              <w:snapToGrid w:val="0"/>
              <w:spacing w:line="360" w:lineRule="auto"/>
              <w:ind w:firstLine="480" w:firstLineChars="200"/>
              <w:rPr>
                <w:color w:val="auto"/>
              </w:rPr>
            </w:pPr>
            <w:r>
              <w:rPr>
                <w:color w:val="auto"/>
              </w:rPr>
              <w:t>式中：Lr——r处声级，dB（A）；</w:t>
            </w:r>
          </w:p>
          <w:p>
            <w:pPr>
              <w:adjustRightInd w:val="0"/>
              <w:snapToGrid w:val="0"/>
              <w:spacing w:line="360" w:lineRule="auto"/>
              <w:ind w:firstLine="480" w:firstLineChars="200"/>
              <w:rPr>
                <w:color w:val="auto"/>
              </w:rPr>
            </w:pPr>
            <w:r>
              <w:rPr>
                <w:color w:val="auto"/>
              </w:rPr>
              <w:t xml:space="preserve">      Lr</w:t>
            </w:r>
            <w:r>
              <w:rPr>
                <w:color w:val="auto"/>
                <w:vertAlign w:val="subscript"/>
              </w:rPr>
              <w:t>0</w:t>
            </w:r>
            <w:r>
              <w:rPr>
                <w:color w:val="auto"/>
              </w:rPr>
              <w:t>——r</w:t>
            </w:r>
            <w:r>
              <w:rPr>
                <w:color w:val="auto"/>
                <w:vertAlign w:val="subscript"/>
              </w:rPr>
              <w:t>0</w:t>
            </w:r>
            <w:r>
              <w:rPr>
                <w:color w:val="auto"/>
              </w:rPr>
              <w:t>处声级，dB（A）。</w:t>
            </w:r>
          </w:p>
          <w:p>
            <w:pPr>
              <w:adjustRightInd w:val="0"/>
              <w:snapToGrid w:val="0"/>
              <w:spacing w:line="360" w:lineRule="auto"/>
              <w:ind w:firstLine="480" w:firstLineChars="200"/>
              <w:rPr>
                <w:color w:val="auto"/>
              </w:rPr>
            </w:pPr>
            <w:r>
              <w:rPr>
                <w:color w:val="auto"/>
              </w:rPr>
              <w:t xml:space="preserve">      r——点声源至受声点的距离</w:t>
            </w:r>
          </w:p>
          <w:p>
            <w:pPr>
              <w:adjustRightInd w:val="0"/>
              <w:snapToGrid w:val="0"/>
              <w:spacing w:line="360" w:lineRule="auto"/>
              <w:ind w:firstLine="480" w:firstLineChars="200"/>
              <w:rPr>
                <w:color w:val="auto"/>
              </w:rPr>
            </w:pPr>
            <w:r>
              <w:rPr>
                <w:color w:val="auto"/>
              </w:rPr>
              <w:t>项目噪声对敏感点预测如下表：</w:t>
            </w:r>
          </w:p>
          <w:p>
            <w:pPr>
              <w:adjustRightInd w:val="0"/>
              <w:snapToGrid w:val="0"/>
              <w:spacing w:line="360" w:lineRule="auto"/>
              <w:jc w:val="center"/>
              <w:rPr>
                <w:b/>
                <w:color w:val="auto"/>
              </w:rPr>
            </w:pPr>
            <w:r>
              <w:rPr>
                <w:b/>
                <w:color w:val="auto"/>
              </w:rPr>
              <w:t>表7-27  噪声影响值预测表  单位：dB(A)</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84"/>
              <w:gridCol w:w="2140"/>
              <w:gridCol w:w="1125"/>
              <w:gridCol w:w="1089"/>
              <w:gridCol w:w="28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noWrap w:val="0"/>
                  <w:vAlign w:val="center"/>
                </w:tcPr>
                <w:p>
                  <w:pPr>
                    <w:adjustRightInd w:val="0"/>
                    <w:snapToGrid w:val="0"/>
                    <w:jc w:val="center"/>
                    <w:rPr>
                      <w:b/>
                      <w:color w:val="auto"/>
                      <w:szCs w:val="21"/>
                    </w:rPr>
                  </w:pPr>
                  <w:r>
                    <w:rPr>
                      <w:b/>
                      <w:color w:val="auto"/>
                      <w:sz w:val="21"/>
                      <w:szCs w:val="21"/>
                    </w:rPr>
                    <w:t>测点位置</w:t>
                  </w:r>
                </w:p>
              </w:tc>
              <w:tc>
                <w:tcPr>
                  <w:tcW w:w="2140" w:type="dxa"/>
                  <w:noWrap w:val="0"/>
                  <w:vAlign w:val="center"/>
                </w:tcPr>
                <w:p>
                  <w:pPr>
                    <w:adjustRightInd w:val="0"/>
                    <w:snapToGrid w:val="0"/>
                    <w:jc w:val="center"/>
                    <w:rPr>
                      <w:color w:val="auto"/>
                      <w:szCs w:val="21"/>
                    </w:rPr>
                  </w:pPr>
                  <w:r>
                    <w:rPr>
                      <w:b/>
                      <w:color w:val="auto"/>
                      <w:sz w:val="21"/>
                      <w:szCs w:val="21"/>
                    </w:rPr>
                    <w:t>设备噪声预测值</w:t>
                  </w:r>
                </w:p>
              </w:tc>
              <w:tc>
                <w:tcPr>
                  <w:tcW w:w="1125" w:type="dxa"/>
                  <w:noWrap w:val="0"/>
                  <w:vAlign w:val="center"/>
                </w:tcPr>
                <w:p>
                  <w:pPr>
                    <w:adjustRightInd w:val="0"/>
                    <w:snapToGrid w:val="0"/>
                    <w:jc w:val="center"/>
                    <w:rPr>
                      <w:b/>
                      <w:color w:val="auto"/>
                      <w:szCs w:val="21"/>
                    </w:rPr>
                  </w:pPr>
                  <w:r>
                    <w:rPr>
                      <w:b/>
                      <w:color w:val="auto"/>
                      <w:sz w:val="21"/>
                      <w:szCs w:val="21"/>
                    </w:rPr>
                    <w:t>距离（m）</w:t>
                  </w:r>
                </w:p>
              </w:tc>
              <w:tc>
                <w:tcPr>
                  <w:tcW w:w="1089" w:type="dxa"/>
                  <w:noWrap w:val="0"/>
                  <w:vAlign w:val="center"/>
                </w:tcPr>
                <w:p>
                  <w:pPr>
                    <w:adjustRightInd w:val="0"/>
                    <w:snapToGrid w:val="0"/>
                    <w:jc w:val="center"/>
                    <w:rPr>
                      <w:b/>
                      <w:color w:val="auto"/>
                      <w:szCs w:val="21"/>
                    </w:rPr>
                  </w:pPr>
                  <w:r>
                    <w:rPr>
                      <w:b/>
                      <w:color w:val="auto"/>
                      <w:sz w:val="21"/>
                      <w:szCs w:val="21"/>
                    </w:rPr>
                    <w:t>预测结果</w:t>
                  </w:r>
                </w:p>
              </w:tc>
              <w:tc>
                <w:tcPr>
                  <w:tcW w:w="2835" w:type="dxa"/>
                  <w:noWrap w:val="0"/>
                  <w:vAlign w:val="center"/>
                </w:tcPr>
                <w:p>
                  <w:pPr>
                    <w:adjustRightInd w:val="0"/>
                    <w:snapToGrid w:val="0"/>
                    <w:jc w:val="center"/>
                    <w:rPr>
                      <w:b/>
                      <w:color w:val="auto"/>
                      <w:szCs w:val="21"/>
                    </w:rPr>
                  </w:pPr>
                  <w:r>
                    <w:rPr>
                      <w:b/>
                      <w:color w:val="auto"/>
                      <w:sz w:val="21"/>
                      <w:szCs w:val="21"/>
                    </w:rPr>
                    <w:t>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noWrap w:val="0"/>
                  <w:vAlign w:val="center"/>
                </w:tcPr>
                <w:p>
                  <w:pPr>
                    <w:adjustRightInd w:val="0"/>
                    <w:snapToGrid w:val="0"/>
                    <w:jc w:val="center"/>
                    <w:rPr>
                      <w:color w:val="auto"/>
                      <w:szCs w:val="21"/>
                    </w:rPr>
                  </w:pPr>
                  <w:r>
                    <w:rPr>
                      <w:color w:val="auto"/>
                      <w:sz w:val="21"/>
                      <w:szCs w:val="21"/>
                    </w:rPr>
                    <w:t>厂界北</w:t>
                  </w:r>
                </w:p>
              </w:tc>
              <w:tc>
                <w:tcPr>
                  <w:tcW w:w="2140" w:type="dxa"/>
                  <w:vMerge w:val="restart"/>
                  <w:noWrap w:val="0"/>
                  <w:vAlign w:val="center"/>
                </w:tcPr>
                <w:p>
                  <w:pPr>
                    <w:adjustRightInd w:val="0"/>
                    <w:snapToGrid w:val="0"/>
                    <w:jc w:val="center"/>
                    <w:rPr>
                      <w:rFonts w:hint="eastAsia"/>
                      <w:color w:val="auto"/>
                      <w:szCs w:val="21"/>
                    </w:rPr>
                  </w:pPr>
                  <w:r>
                    <w:rPr>
                      <w:rFonts w:hint="eastAsia"/>
                      <w:color w:val="auto"/>
                      <w:szCs w:val="21"/>
                    </w:rPr>
                    <w:t>6</w:t>
                  </w:r>
                  <w:r>
                    <w:rPr>
                      <w:color w:val="auto"/>
                      <w:szCs w:val="21"/>
                    </w:rPr>
                    <w:t>5.</w:t>
                  </w:r>
                  <w:r>
                    <w:rPr>
                      <w:rFonts w:hint="eastAsia"/>
                      <w:color w:val="auto"/>
                      <w:szCs w:val="21"/>
                    </w:rPr>
                    <w:t>17</w:t>
                  </w:r>
                </w:p>
              </w:tc>
              <w:tc>
                <w:tcPr>
                  <w:tcW w:w="1125" w:type="dxa"/>
                  <w:noWrap w:val="0"/>
                  <w:vAlign w:val="center"/>
                </w:tcPr>
                <w:p>
                  <w:pPr>
                    <w:adjustRightInd w:val="0"/>
                    <w:snapToGrid w:val="0"/>
                    <w:jc w:val="center"/>
                    <w:rPr>
                      <w:color w:val="auto"/>
                      <w:szCs w:val="21"/>
                    </w:rPr>
                  </w:pPr>
                  <w:r>
                    <w:rPr>
                      <w:color w:val="auto"/>
                      <w:szCs w:val="21"/>
                    </w:rPr>
                    <w:t>7</w:t>
                  </w:r>
                </w:p>
              </w:tc>
              <w:tc>
                <w:tcPr>
                  <w:tcW w:w="1089" w:type="dxa"/>
                  <w:noWrap w:val="0"/>
                  <w:vAlign w:val="center"/>
                </w:tcPr>
                <w:p>
                  <w:pPr>
                    <w:pStyle w:val="14"/>
                    <w:adjustRightInd w:val="0"/>
                    <w:snapToGrid w:val="0"/>
                    <w:jc w:val="center"/>
                    <w:rPr>
                      <w:rFonts w:hint="eastAsia" w:ascii="Times New Roman" w:hAnsi="Times New Roman"/>
                      <w:color w:val="auto"/>
                    </w:rPr>
                  </w:pPr>
                  <w:r>
                    <w:rPr>
                      <w:rFonts w:hint="eastAsia" w:ascii="Times New Roman" w:hAnsi="Times New Roman"/>
                      <w:color w:val="auto"/>
                    </w:rPr>
                    <w:t>48.2</w:t>
                  </w:r>
                </w:p>
              </w:tc>
              <w:tc>
                <w:tcPr>
                  <w:tcW w:w="2835" w:type="dxa"/>
                  <w:vMerge w:val="restart"/>
                  <w:noWrap w:val="0"/>
                  <w:vAlign w:val="center"/>
                </w:tcPr>
                <w:p>
                  <w:pPr>
                    <w:tabs>
                      <w:tab w:val="left" w:pos="3600"/>
                      <w:tab w:val="left" w:pos="4320"/>
                    </w:tabs>
                    <w:adjustRightInd w:val="0"/>
                    <w:snapToGrid w:val="0"/>
                    <w:jc w:val="center"/>
                    <w:rPr>
                      <w:color w:val="auto"/>
                      <w:szCs w:val="21"/>
                    </w:rPr>
                  </w:pPr>
                  <w:r>
                    <w:rPr>
                      <w:color w:val="auto"/>
                      <w:sz w:val="21"/>
                      <w:szCs w:val="21"/>
                    </w:rPr>
                    <w:t>《工业企业厂界环境噪声排放标准》2类标准：昼间60dB(</w:t>
                  </w:r>
                  <w:r>
                    <w:rPr>
                      <w:bCs/>
                      <w:color w:val="auto"/>
                      <w:sz w:val="21"/>
                      <w:szCs w:val="21"/>
                    </w:rPr>
                    <w:t>A)、夜间50dB(A)。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noWrap w:val="0"/>
                  <w:vAlign w:val="center"/>
                </w:tcPr>
                <w:p>
                  <w:pPr>
                    <w:adjustRightInd w:val="0"/>
                    <w:snapToGrid w:val="0"/>
                    <w:jc w:val="center"/>
                    <w:rPr>
                      <w:color w:val="auto"/>
                      <w:szCs w:val="21"/>
                    </w:rPr>
                  </w:pPr>
                  <w:r>
                    <w:rPr>
                      <w:color w:val="auto"/>
                      <w:sz w:val="21"/>
                      <w:szCs w:val="21"/>
                    </w:rPr>
                    <w:t>厂界东</w:t>
                  </w:r>
                </w:p>
              </w:tc>
              <w:tc>
                <w:tcPr>
                  <w:tcW w:w="2140" w:type="dxa"/>
                  <w:vMerge w:val="continue"/>
                  <w:noWrap w:val="0"/>
                  <w:vAlign w:val="center"/>
                </w:tcPr>
                <w:p>
                  <w:pPr>
                    <w:adjustRightInd w:val="0"/>
                    <w:snapToGrid w:val="0"/>
                    <w:jc w:val="center"/>
                    <w:rPr>
                      <w:color w:val="auto"/>
                      <w:szCs w:val="21"/>
                    </w:rPr>
                  </w:pPr>
                </w:p>
              </w:tc>
              <w:tc>
                <w:tcPr>
                  <w:tcW w:w="1125" w:type="dxa"/>
                  <w:noWrap w:val="0"/>
                  <w:vAlign w:val="center"/>
                </w:tcPr>
                <w:p>
                  <w:pPr>
                    <w:adjustRightInd w:val="0"/>
                    <w:snapToGrid w:val="0"/>
                    <w:jc w:val="center"/>
                    <w:rPr>
                      <w:color w:val="auto"/>
                      <w:szCs w:val="21"/>
                    </w:rPr>
                  </w:pPr>
                  <w:r>
                    <w:rPr>
                      <w:color w:val="auto"/>
                      <w:szCs w:val="21"/>
                    </w:rPr>
                    <w:t>8</w:t>
                  </w:r>
                </w:p>
              </w:tc>
              <w:tc>
                <w:tcPr>
                  <w:tcW w:w="1089" w:type="dxa"/>
                  <w:noWrap w:val="0"/>
                  <w:vAlign w:val="center"/>
                </w:tcPr>
                <w:p>
                  <w:pPr>
                    <w:adjustRightInd w:val="0"/>
                    <w:snapToGrid w:val="0"/>
                    <w:jc w:val="center"/>
                    <w:rPr>
                      <w:rFonts w:hint="eastAsia"/>
                      <w:color w:val="auto"/>
                      <w:szCs w:val="21"/>
                    </w:rPr>
                  </w:pPr>
                  <w:r>
                    <w:rPr>
                      <w:rFonts w:hint="eastAsia"/>
                      <w:color w:val="auto"/>
                      <w:szCs w:val="21"/>
                    </w:rPr>
                    <w:t>47.1</w:t>
                  </w:r>
                </w:p>
              </w:tc>
              <w:tc>
                <w:tcPr>
                  <w:tcW w:w="2835" w:type="dxa"/>
                  <w:vMerge w:val="continue"/>
                  <w:noWrap w:val="0"/>
                  <w:vAlign w:val="center"/>
                </w:tcPr>
                <w:p>
                  <w:pPr>
                    <w:tabs>
                      <w:tab w:val="left" w:pos="3600"/>
                      <w:tab w:val="left" w:pos="4320"/>
                    </w:tabs>
                    <w:adjustRightInd w:val="0"/>
                    <w:snapToGrid w:val="0"/>
                    <w:jc w:val="center"/>
                    <w:rPr>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noWrap w:val="0"/>
                  <w:vAlign w:val="center"/>
                </w:tcPr>
                <w:p>
                  <w:pPr>
                    <w:adjustRightInd w:val="0"/>
                    <w:snapToGrid w:val="0"/>
                    <w:jc w:val="center"/>
                    <w:rPr>
                      <w:color w:val="auto"/>
                      <w:szCs w:val="21"/>
                    </w:rPr>
                  </w:pPr>
                  <w:r>
                    <w:rPr>
                      <w:color w:val="auto"/>
                      <w:sz w:val="21"/>
                      <w:szCs w:val="21"/>
                    </w:rPr>
                    <w:t>厂界南</w:t>
                  </w:r>
                </w:p>
              </w:tc>
              <w:tc>
                <w:tcPr>
                  <w:tcW w:w="2140" w:type="dxa"/>
                  <w:vMerge w:val="continue"/>
                  <w:noWrap w:val="0"/>
                  <w:vAlign w:val="center"/>
                </w:tcPr>
                <w:p>
                  <w:pPr>
                    <w:adjustRightInd w:val="0"/>
                    <w:snapToGrid w:val="0"/>
                    <w:jc w:val="center"/>
                    <w:rPr>
                      <w:color w:val="auto"/>
                      <w:szCs w:val="21"/>
                    </w:rPr>
                  </w:pPr>
                </w:p>
              </w:tc>
              <w:tc>
                <w:tcPr>
                  <w:tcW w:w="1125" w:type="dxa"/>
                  <w:noWrap w:val="0"/>
                  <w:vAlign w:val="center"/>
                </w:tcPr>
                <w:p>
                  <w:pPr>
                    <w:adjustRightInd w:val="0"/>
                    <w:snapToGrid w:val="0"/>
                    <w:jc w:val="center"/>
                    <w:rPr>
                      <w:color w:val="auto"/>
                      <w:szCs w:val="21"/>
                    </w:rPr>
                  </w:pPr>
                  <w:r>
                    <w:rPr>
                      <w:color w:val="auto"/>
                      <w:szCs w:val="21"/>
                    </w:rPr>
                    <w:t>8</w:t>
                  </w:r>
                </w:p>
              </w:tc>
              <w:tc>
                <w:tcPr>
                  <w:tcW w:w="1089" w:type="dxa"/>
                  <w:noWrap w:val="0"/>
                  <w:vAlign w:val="center"/>
                </w:tcPr>
                <w:p>
                  <w:pPr>
                    <w:adjustRightInd w:val="0"/>
                    <w:snapToGrid w:val="0"/>
                    <w:jc w:val="center"/>
                    <w:rPr>
                      <w:color w:val="auto"/>
                      <w:szCs w:val="21"/>
                    </w:rPr>
                  </w:pPr>
                  <w:r>
                    <w:rPr>
                      <w:rFonts w:hint="eastAsia"/>
                      <w:color w:val="auto"/>
                      <w:szCs w:val="21"/>
                    </w:rPr>
                    <w:t>47.1</w:t>
                  </w:r>
                </w:p>
              </w:tc>
              <w:tc>
                <w:tcPr>
                  <w:tcW w:w="2835" w:type="dxa"/>
                  <w:vMerge w:val="continue"/>
                  <w:noWrap w:val="0"/>
                  <w:vAlign w:val="center"/>
                </w:tcPr>
                <w:p>
                  <w:pPr>
                    <w:tabs>
                      <w:tab w:val="left" w:pos="3600"/>
                      <w:tab w:val="left" w:pos="4320"/>
                    </w:tabs>
                    <w:adjustRightInd w:val="0"/>
                    <w:snapToGrid w:val="0"/>
                    <w:jc w:val="center"/>
                    <w:rPr>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noWrap w:val="0"/>
                  <w:vAlign w:val="center"/>
                </w:tcPr>
                <w:p>
                  <w:pPr>
                    <w:adjustRightInd w:val="0"/>
                    <w:snapToGrid w:val="0"/>
                    <w:jc w:val="center"/>
                    <w:rPr>
                      <w:color w:val="auto"/>
                      <w:szCs w:val="21"/>
                    </w:rPr>
                  </w:pPr>
                  <w:r>
                    <w:rPr>
                      <w:color w:val="auto"/>
                      <w:sz w:val="21"/>
                      <w:szCs w:val="21"/>
                    </w:rPr>
                    <w:t>厂界西</w:t>
                  </w:r>
                </w:p>
              </w:tc>
              <w:tc>
                <w:tcPr>
                  <w:tcW w:w="2140" w:type="dxa"/>
                  <w:vMerge w:val="continue"/>
                  <w:noWrap w:val="0"/>
                  <w:vAlign w:val="center"/>
                </w:tcPr>
                <w:p>
                  <w:pPr>
                    <w:adjustRightInd w:val="0"/>
                    <w:snapToGrid w:val="0"/>
                    <w:jc w:val="center"/>
                    <w:rPr>
                      <w:color w:val="auto"/>
                      <w:szCs w:val="21"/>
                    </w:rPr>
                  </w:pPr>
                </w:p>
              </w:tc>
              <w:tc>
                <w:tcPr>
                  <w:tcW w:w="1125" w:type="dxa"/>
                  <w:noWrap w:val="0"/>
                  <w:vAlign w:val="center"/>
                </w:tcPr>
                <w:p>
                  <w:pPr>
                    <w:adjustRightInd w:val="0"/>
                    <w:snapToGrid w:val="0"/>
                    <w:jc w:val="center"/>
                    <w:rPr>
                      <w:color w:val="auto"/>
                      <w:szCs w:val="21"/>
                    </w:rPr>
                  </w:pPr>
                  <w:r>
                    <w:rPr>
                      <w:color w:val="auto"/>
                      <w:szCs w:val="21"/>
                    </w:rPr>
                    <w:t>7</w:t>
                  </w:r>
                </w:p>
              </w:tc>
              <w:tc>
                <w:tcPr>
                  <w:tcW w:w="1089" w:type="dxa"/>
                  <w:noWrap w:val="0"/>
                  <w:vAlign w:val="center"/>
                </w:tcPr>
                <w:p>
                  <w:pPr>
                    <w:adjustRightInd w:val="0"/>
                    <w:snapToGrid w:val="0"/>
                    <w:jc w:val="center"/>
                    <w:rPr>
                      <w:rFonts w:hint="eastAsia"/>
                      <w:color w:val="auto"/>
                      <w:szCs w:val="21"/>
                    </w:rPr>
                  </w:pPr>
                  <w:r>
                    <w:rPr>
                      <w:rFonts w:hint="eastAsia"/>
                      <w:color w:val="auto"/>
                      <w:szCs w:val="21"/>
                    </w:rPr>
                    <w:t>48.2</w:t>
                  </w:r>
                </w:p>
              </w:tc>
              <w:tc>
                <w:tcPr>
                  <w:tcW w:w="2835" w:type="dxa"/>
                  <w:vMerge w:val="continue"/>
                  <w:noWrap w:val="0"/>
                  <w:vAlign w:val="center"/>
                </w:tcPr>
                <w:p>
                  <w:pPr>
                    <w:tabs>
                      <w:tab w:val="left" w:pos="3600"/>
                      <w:tab w:val="left" w:pos="4320"/>
                    </w:tabs>
                    <w:adjustRightInd w:val="0"/>
                    <w:snapToGrid w:val="0"/>
                    <w:jc w:val="center"/>
                    <w:rPr>
                      <w:color w:val="auto"/>
                      <w:szCs w:val="21"/>
                    </w:rPr>
                  </w:pPr>
                </w:p>
              </w:tc>
            </w:tr>
          </w:tbl>
          <w:p>
            <w:pPr>
              <w:tabs>
                <w:tab w:val="left" w:pos="462"/>
              </w:tabs>
              <w:adjustRightInd w:val="0"/>
              <w:snapToGrid w:val="0"/>
              <w:spacing w:line="360" w:lineRule="auto"/>
              <w:ind w:firstLine="480" w:firstLineChars="200"/>
              <w:rPr>
                <w:b/>
                <w:bCs/>
                <w:color w:val="auto"/>
              </w:rPr>
            </w:pPr>
            <w:r>
              <w:rPr>
                <w:color w:val="auto"/>
              </w:rPr>
              <w:t>从上表看出，噪声设备在采取有效的减振、消声、隔声等措施并合理布置后，各厂界噪声值在厂界外均能满足《工业企业厂界环境噪声排放标准》（GBl2348-2008）2类标准限值，不会对周边环境造成较大影响，为确保项目产生的噪声做到达标排放，本环评提出以下噪声防治要求：</w:t>
            </w:r>
          </w:p>
          <w:p>
            <w:pPr>
              <w:tabs>
                <w:tab w:val="left" w:pos="462"/>
              </w:tabs>
              <w:adjustRightInd w:val="0"/>
              <w:snapToGrid w:val="0"/>
              <w:spacing w:line="360" w:lineRule="auto"/>
              <w:ind w:firstLine="480" w:firstLineChars="200"/>
              <w:rPr>
                <w:color w:val="auto"/>
              </w:rPr>
            </w:pPr>
            <w:r>
              <w:rPr>
                <w:color w:val="auto"/>
              </w:rPr>
              <w:t>①在设备选型时，应选择噪声值较低的环保型设备，并对此类设备安装隔振装置，设置隔声间。</w:t>
            </w:r>
          </w:p>
          <w:p>
            <w:pPr>
              <w:tabs>
                <w:tab w:val="left" w:pos="462"/>
              </w:tabs>
              <w:adjustRightInd w:val="0"/>
              <w:snapToGrid w:val="0"/>
              <w:spacing w:line="360" w:lineRule="auto"/>
              <w:ind w:firstLine="480" w:firstLineChars="200"/>
              <w:rPr>
                <w:color w:val="auto"/>
              </w:rPr>
            </w:pPr>
            <w:r>
              <w:rPr>
                <w:color w:val="auto"/>
              </w:rPr>
              <w:t>②高噪声设备尽量布置在地下构筑物中，从噪声源及噪声传播途径等方面降低项目运行噪声对厂界环境噪声的影响。</w:t>
            </w:r>
          </w:p>
          <w:p>
            <w:pPr>
              <w:tabs>
                <w:tab w:val="left" w:pos="462"/>
              </w:tabs>
              <w:adjustRightInd w:val="0"/>
              <w:snapToGrid w:val="0"/>
              <w:spacing w:line="360" w:lineRule="auto"/>
              <w:ind w:firstLine="480" w:firstLineChars="200"/>
              <w:rPr>
                <w:color w:val="auto"/>
              </w:rPr>
            </w:pPr>
            <w:r>
              <w:rPr>
                <w:color w:val="auto"/>
              </w:rPr>
              <w:t>③加强管理，提高职工的环保意识教育，提倡文明生产，降低人为噪声。</w:t>
            </w:r>
          </w:p>
          <w:p>
            <w:pPr>
              <w:tabs>
                <w:tab w:val="left" w:pos="462"/>
              </w:tabs>
              <w:adjustRightInd w:val="0"/>
              <w:snapToGrid w:val="0"/>
              <w:spacing w:line="360" w:lineRule="auto"/>
              <w:ind w:firstLine="480" w:firstLineChars="200"/>
              <w:rPr>
                <w:color w:val="auto"/>
              </w:rPr>
            </w:pPr>
            <w:r>
              <w:rPr>
                <w:color w:val="auto"/>
              </w:rPr>
              <w:t>④建立设备定期维护、保养的管理制度，以防止设备故障形成的非正常生产噪声。</w:t>
            </w:r>
          </w:p>
          <w:p>
            <w:pPr>
              <w:tabs>
                <w:tab w:val="left" w:pos="462"/>
              </w:tabs>
              <w:adjustRightInd w:val="0"/>
              <w:snapToGrid w:val="0"/>
              <w:spacing w:line="360" w:lineRule="auto"/>
              <w:ind w:firstLine="480" w:firstLineChars="200"/>
              <w:rPr>
                <w:color w:val="auto"/>
                <w:kern w:val="0"/>
              </w:rPr>
            </w:pPr>
            <w:r>
              <w:rPr>
                <w:color w:val="auto"/>
                <w:kern w:val="0"/>
              </w:rPr>
              <w:t>本项目在落实本次环评提出的以上措施后，厂界噪声能够满足《工业企业厂界环境噪声排放标准》(GB12348-2008)中2类区标准要求，不会降低项目所在地声环境功能类别，对外环境影响较小。</w:t>
            </w:r>
          </w:p>
          <w:p>
            <w:pPr>
              <w:pStyle w:val="3"/>
              <w:adjustRightInd w:val="0"/>
              <w:snapToGrid w:val="0"/>
              <w:spacing w:line="360" w:lineRule="auto"/>
              <w:ind w:firstLine="482" w:firstLineChars="200"/>
              <w:rPr>
                <w:rFonts w:hint="default" w:ascii="Times New Roman" w:hAnsi="Times New Roman"/>
                <w:b/>
                <w:bCs/>
                <w:color w:val="auto"/>
                <w:kern w:val="2"/>
                <w:szCs w:val="20"/>
              </w:rPr>
            </w:pPr>
            <w:r>
              <w:rPr>
                <w:rFonts w:hint="default" w:ascii="Times New Roman" w:hAnsi="Times New Roman"/>
                <w:b/>
                <w:bCs/>
                <w:color w:val="auto"/>
                <w:kern w:val="2"/>
                <w:szCs w:val="20"/>
              </w:rPr>
              <w:t>2.4固体废物环境影响分析</w:t>
            </w:r>
          </w:p>
          <w:p>
            <w:pPr>
              <w:tabs>
                <w:tab w:val="left" w:pos="462"/>
              </w:tabs>
              <w:adjustRightInd w:val="0"/>
              <w:snapToGrid w:val="0"/>
              <w:spacing w:line="360" w:lineRule="auto"/>
              <w:ind w:firstLine="480" w:firstLineChars="200"/>
              <w:rPr>
                <w:snapToGrid w:val="0"/>
                <w:color w:val="auto"/>
                <w:kern w:val="0"/>
              </w:rPr>
            </w:pPr>
            <w:r>
              <w:rPr>
                <w:snapToGrid w:val="0"/>
                <w:color w:val="auto"/>
                <w:kern w:val="0"/>
              </w:rPr>
              <w:t>项目产生的固体废弃物主要是格栅栅渣、污泥</w:t>
            </w:r>
            <w:r>
              <w:rPr>
                <w:rFonts w:hint="eastAsia"/>
                <w:snapToGrid w:val="0"/>
                <w:color w:val="auto"/>
                <w:kern w:val="0"/>
              </w:rPr>
              <w:t>、</w:t>
            </w:r>
            <w:r>
              <w:rPr>
                <w:rFonts w:hint="eastAsia"/>
                <w:color w:val="auto"/>
              </w:rPr>
              <w:t>人工湿地产生的枯枝败叶、废旧填料</w:t>
            </w:r>
            <w:r>
              <w:rPr>
                <w:snapToGrid w:val="0"/>
                <w:color w:val="auto"/>
                <w:kern w:val="0"/>
              </w:rPr>
              <w:t>以及生活垃圾。</w:t>
            </w:r>
          </w:p>
          <w:p>
            <w:pPr>
              <w:tabs>
                <w:tab w:val="left" w:pos="462"/>
              </w:tabs>
              <w:adjustRightInd w:val="0"/>
              <w:snapToGrid w:val="0"/>
              <w:spacing w:line="360" w:lineRule="auto"/>
              <w:ind w:firstLine="480" w:firstLineChars="200"/>
              <w:rPr>
                <w:snapToGrid w:val="0"/>
                <w:color w:val="auto"/>
                <w:kern w:val="0"/>
              </w:rPr>
            </w:pPr>
            <w:r>
              <w:rPr>
                <w:snapToGrid w:val="0"/>
                <w:color w:val="auto"/>
                <w:kern w:val="0"/>
              </w:rPr>
              <w:t>职工生活垃圾产生量0.18t/a，送至环卫部门指定的垃圾存放点后，由环卫部门统一清运。</w:t>
            </w:r>
          </w:p>
          <w:p>
            <w:pPr>
              <w:tabs>
                <w:tab w:val="left" w:pos="462"/>
              </w:tabs>
              <w:adjustRightInd w:val="0"/>
              <w:snapToGrid w:val="0"/>
              <w:spacing w:line="360" w:lineRule="auto"/>
              <w:ind w:firstLine="480" w:firstLineChars="200"/>
              <w:rPr>
                <w:snapToGrid w:val="0"/>
                <w:color w:val="auto"/>
                <w:kern w:val="0"/>
              </w:rPr>
            </w:pPr>
            <w:r>
              <w:rPr>
                <w:snapToGrid w:val="0"/>
                <w:color w:val="auto"/>
                <w:kern w:val="0"/>
              </w:rPr>
              <w:t>格栅渣主要来自污水处理过程中格栅清除出来的垃圾和杂物，产生量共为0.438t/a，由环卫部门统一清运。</w:t>
            </w:r>
          </w:p>
          <w:p>
            <w:pPr>
              <w:pStyle w:val="2"/>
              <w:spacing w:after="0" w:line="360" w:lineRule="auto"/>
              <w:ind w:left="0" w:leftChars="0" w:firstLine="480"/>
              <w:rPr>
                <w:rFonts w:ascii="Times New Roman" w:hAnsi="Times New Roman"/>
                <w:snapToGrid w:val="0"/>
                <w:color w:val="auto"/>
                <w:sz w:val="24"/>
              </w:rPr>
            </w:pPr>
            <w:r>
              <w:rPr>
                <w:rFonts w:ascii="Times New Roman" w:hAnsi="Times New Roman"/>
                <w:snapToGrid w:val="0"/>
                <w:color w:val="auto"/>
                <w:sz w:val="24"/>
              </w:rPr>
              <w:t>人工湿地产生的枯枝败叶</w:t>
            </w:r>
            <w:r>
              <w:rPr>
                <w:rFonts w:hint="default" w:ascii="Times New Roman" w:hAnsi="Times New Roman"/>
                <w:snapToGrid w:val="0"/>
                <w:color w:val="auto"/>
                <w:sz w:val="24"/>
              </w:rPr>
              <w:t>产生量为0.1t/a</w:t>
            </w:r>
            <w:r>
              <w:rPr>
                <w:rFonts w:ascii="Times New Roman" w:hAnsi="Times New Roman"/>
                <w:snapToGrid w:val="0"/>
                <w:color w:val="auto"/>
                <w:sz w:val="24"/>
              </w:rPr>
              <w:t>，收集晒干后交由当地居民用作生物燃料。</w:t>
            </w:r>
          </w:p>
          <w:p>
            <w:pPr>
              <w:pStyle w:val="2"/>
              <w:adjustRightInd w:val="0"/>
              <w:snapToGrid w:val="0"/>
              <w:spacing w:after="0" w:line="360" w:lineRule="auto"/>
              <w:ind w:left="0" w:leftChars="0" w:firstLine="480"/>
              <w:rPr>
                <w:rFonts w:hint="default" w:ascii="Times New Roman" w:hAnsi="Times New Roman"/>
                <w:snapToGrid w:val="0"/>
                <w:color w:val="auto"/>
                <w:sz w:val="24"/>
              </w:rPr>
            </w:pPr>
            <w:r>
              <w:rPr>
                <w:rFonts w:hint="default" w:ascii="Times New Roman" w:hAnsi="Times New Roman"/>
                <w:snapToGrid w:val="0"/>
                <w:color w:val="auto"/>
                <w:sz w:val="24"/>
              </w:rPr>
              <w:t>废旧填料产生量为0.</w:t>
            </w:r>
            <w:r>
              <w:rPr>
                <w:rFonts w:ascii="Times New Roman" w:hAnsi="Times New Roman"/>
                <w:snapToGrid w:val="0"/>
                <w:color w:val="auto"/>
                <w:sz w:val="24"/>
              </w:rPr>
              <w:t>0</w:t>
            </w:r>
            <w:r>
              <w:rPr>
                <w:rFonts w:hint="default" w:ascii="Times New Roman" w:hAnsi="Times New Roman"/>
                <w:snapToGrid w:val="0"/>
                <w:color w:val="auto"/>
                <w:sz w:val="24"/>
              </w:rPr>
              <w:t>5t/a，废旧填料经收集后交由厂家回收处置。</w:t>
            </w:r>
          </w:p>
          <w:p>
            <w:pPr>
              <w:tabs>
                <w:tab w:val="left" w:pos="462"/>
              </w:tabs>
              <w:adjustRightInd w:val="0"/>
              <w:snapToGrid w:val="0"/>
              <w:spacing w:line="360" w:lineRule="auto"/>
              <w:ind w:firstLine="480" w:firstLineChars="200"/>
              <w:rPr>
                <w:snapToGrid w:val="0"/>
                <w:color w:val="auto"/>
                <w:kern w:val="0"/>
              </w:rPr>
            </w:pPr>
            <w:r>
              <w:rPr>
                <w:snapToGrid w:val="0"/>
                <w:color w:val="auto"/>
                <w:kern w:val="0"/>
              </w:rPr>
              <w:t>根据进水水质、处理程度以及污泥产率计算的污泥年产量为0.765t/a。污泥经罐车统一运输至峨边县城市生活污水处理厂处理。</w:t>
            </w:r>
          </w:p>
          <w:p>
            <w:pPr>
              <w:tabs>
                <w:tab w:val="left" w:pos="462"/>
              </w:tabs>
              <w:adjustRightInd w:val="0"/>
              <w:snapToGrid w:val="0"/>
              <w:spacing w:line="360" w:lineRule="auto"/>
              <w:ind w:firstLine="480" w:firstLineChars="200"/>
              <w:rPr>
                <w:snapToGrid w:val="0"/>
                <w:color w:val="auto"/>
                <w:kern w:val="0"/>
              </w:rPr>
            </w:pPr>
            <w:r>
              <w:rPr>
                <w:snapToGrid w:val="0"/>
                <w:color w:val="auto"/>
                <w:kern w:val="0"/>
              </w:rPr>
              <w:t>在采取以上措施，本项目产生的固体废弃物对周围环境产生影响较小。</w:t>
            </w:r>
          </w:p>
          <w:p>
            <w:pPr>
              <w:adjustRightInd w:val="0"/>
              <w:snapToGrid w:val="0"/>
              <w:spacing w:line="360" w:lineRule="auto"/>
              <w:ind w:firstLine="482" w:firstLineChars="200"/>
              <w:rPr>
                <w:b/>
                <w:bCs/>
                <w:color w:val="auto"/>
              </w:rPr>
            </w:pPr>
            <w:r>
              <w:rPr>
                <w:b/>
                <w:bCs/>
                <w:color w:val="auto"/>
              </w:rPr>
              <w:t>2.5地下水环境影响分析</w:t>
            </w:r>
          </w:p>
          <w:p>
            <w:pPr>
              <w:adjustRightInd w:val="0"/>
              <w:snapToGrid w:val="0"/>
              <w:spacing w:line="360" w:lineRule="auto"/>
              <w:ind w:firstLine="480" w:firstLineChars="200"/>
              <w:jc w:val="left"/>
              <w:rPr>
                <w:color w:val="auto"/>
              </w:rPr>
            </w:pPr>
            <w:r>
              <w:rPr>
                <w:bCs/>
                <w:color w:val="auto"/>
              </w:rPr>
              <w:t>根据《环境影响评价技术导则 地下水环境》（HJ610-2016），本项目属于</w:t>
            </w:r>
            <w:r>
              <w:rPr>
                <w:color w:val="auto"/>
              </w:rPr>
              <w:t>10万吨以下生活污水集中处理</w:t>
            </w:r>
            <w:r>
              <w:rPr>
                <w:bCs/>
                <w:color w:val="auto"/>
              </w:rPr>
              <w:t>，属于报告表项目，开展地下水影响三级评价。</w:t>
            </w:r>
          </w:p>
          <w:p>
            <w:pPr>
              <w:adjustRightInd w:val="0"/>
              <w:snapToGrid w:val="0"/>
              <w:spacing w:line="360" w:lineRule="auto"/>
              <w:ind w:firstLine="480" w:firstLineChars="200"/>
              <w:rPr>
                <w:color w:val="auto"/>
              </w:rPr>
            </w:pPr>
            <w:r>
              <w:rPr>
                <w:color w:val="auto"/>
              </w:rPr>
              <w:t>为防止地下水的污染，本项目采取分区防渗的措施。项目对一般防渗区（厂区内道路）以及重点防渗区（格栅渠、调节池、一体化设备）采取相应的污染预防措施的基础上，项目对地下水水质基本不会造成明显影响。</w:t>
            </w:r>
          </w:p>
          <w:p>
            <w:pPr>
              <w:widowControl/>
              <w:adjustRightInd w:val="0"/>
              <w:snapToGrid w:val="0"/>
              <w:spacing w:line="360" w:lineRule="auto"/>
              <w:ind w:firstLine="480" w:firstLineChars="200"/>
              <w:jc w:val="left"/>
              <w:rPr>
                <w:color w:val="auto"/>
              </w:rPr>
            </w:pPr>
            <w:r>
              <w:rPr>
                <w:color w:val="auto"/>
                <w:kern w:val="0"/>
                <w:lang w:bidi="ar"/>
              </w:rPr>
              <w:t>根据调查，项目范围内地下水类型为浅层地下水，但因</w:t>
            </w:r>
            <w:r>
              <w:rPr>
                <w:rFonts w:hint="eastAsia"/>
                <w:color w:val="auto"/>
                <w:kern w:val="0"/>
                <w:lang w:bidi="ar"/>
              </w:rPr>
              <w:t>峨边彝族自治县</w:t>
            </w:r>
            <w:r>
              <w:rPr>
                <w:color w:val="auto"/>
                <w:kern w:val="0"/>
                <w:lang w:bidi="ar"/>
              </w:rPr>
              <w:t xml:space="preserve">属山丘地区，河流切割较深，浅层地下水主要从河川排泄，地表径流基本上包括了浅层地下水。为降低营运期对地下水的影响，建设单位采取如下措施： </w:t>
            </w:r>
          </w:p>
          <w:p>
            <w:pPr>
              <w:widowControl/>
              <w:adjustRightInd w:val="0"/>
              <w:snapToGrid w:val="0"/>
              <w:spacing w:line="360" w:lineRule="auto"/>
              <w:ind w:firstLine="480" w:firstLineChars="200"/>
              <w:jc w:val="left"/>
              <w:rPr>
                <w:color w:val="auto"/>
              </w:rPr>
            </w:pPr>
            <w:r>
              <w:rPr>
                <w:color w:val="auto"/>
                <w:kern w:val="0"/>
                <w:lang w:bidi="ar"/>
              </w:rPr>
              <w:t xml:space="preserve">（1）正常工况 </w:t>
            </w:r>
          </w:p>
          <w:p>
            <w:pPr>
              <w:widowControl/>
              <w:adjustRightInd w:val="0"/>
              <w:snapToGrid w:val="0"/>
              <w:spacing w:line="360" w:lineRule="auto"/>
              <w:ind w:firstLine="480" w:firstLineChars="200"/>
              <w:jc w:val="left"/>
              <w:rPr>
                <w:color w:val="auto"/>
              </w:rPr>
            </w:pPr>
            <w:r>
              <w:rPr>
                <w:color w:val="auto"/>
                <w:kern w:val="0"/>
                <w:lang w:bidi="ar"/>
              </w:rPr>
              <w:t xml:space="preserve">本工程废水排放实行完全分流制。正常工况下，污水处理设施、污水处理站保持正常运行，污水处理站收集的废水经污水处理站处理后，排入官料河。因此，正常工况下对厂区地下水水质的影响较小，可不予考虑。 </w:t>
            </w:r>
          </w:p>
          <w:p>
            <w:pPr>
              <w:widowControl/>
              <w:adjustRightInd w:val="0"/>
              <w:snapToGrid w:val="0"/>
              <w:spacing w:line="360" w:lineRule="auto"/>
              <w:ind w:firstLine="480" w:firstLineChars="200"/>
              <w:jc w:val="left"/>
              <w:rPr>
                <w:color w:val="auto"/>
              </w:rPr>
            </w:pPr>
            <w:r>
              <w:rPr>
                <w:color w:val="auto"/>
                <w:kern w:val="0"/>
                <w:lang w:bidi="ar"/>
              </w:rPr>
              <w:t xml:space="preserve">（2）事故状态由于生产工艺及生产过程的复杂性，导致废水处理过程中有发生“跑、冒、滴、漏” 事故可能，一旦发生事故，尤其是在生化池、污水管网等埋地部位，污废水一旦泄漏难以被发现且浓度较高，污水将会通过包气带渗入至地下水中，从而造成地下水污染，使地下水水质恶化。 </w:t>
            </w:r>
          </w:p>
          <w:p>
            <w:pPr>
              <w:widowControl/>
              <w:adjustRightInd w:val="0"/>
              <w:snapToGrid w:val="0"/>
              <w:spacing w:line="360" w:lineRule="auto"/>
              <w:ind w:firstLine="480" w:firstLineChars="200"/>
              <w:jc w:val="left"/>
              <w:rPr>
                <w:color w:val="auto"/>
              </w:rPr>
            </w:pPr>
            <w:r>
              <w:rPr>
                <w:color w:val="auto"/>
                <w:kern w:val="0"/>
                <w:lang w:bidi="ar"/>
              </w:rPr>
              <w:t xml:space="preserve">本项目应编制应急预案，当发生污染物泄露事故后，必须立即启动应急预案，分析污染事故的发展趋势，并提出下一步预防和防治措施，迅速控制或切断事件灾害链，对污水进行封闭、截流，抽出污水送污水处理厂集中处理，使污染地下水扩散得到有效抑制，最大限度地保护下游地下水水质安全，将损失降到最低限度。此外，污水管网的破裂及时发现，也不会造成长时间的连续泄露。所以在本项目投产后，对厂区污水处理设施和排水管道仍必须采取可靠的防渗防漏措施，防止重大事故或者事故处理不及时污水泄漏对地下水环境造成污染。 </w:t>
            </w:r>
          </w:p>
          <w:p>
            <w:pPr>
              <w:widowControl/>
              <w:adjustRightInd w:val="0"/>
              <w:snapToGrid w:val="0"/>
              <w:spacing w:line="360" w:lineRule="auto"/>
              <w:ind w:firstLine="480" w:firstLineChars="200"/>
              <w:jc w:val="left"/>
              <w:rPr>
                <w:color w:val="auto"/>
              </w:rPr>
            </w:pPr>
            <w:r>
              <w:rPr>
                <w:color w:val="auto"/>
                <w:kern w:val="0"/>
                <w:lang w:bidi="ar"/>
              </w:rPr>
              <w:t xml:space="preserve">①地下水环境保护措施 </w:t>
            </w:r>
          </w:p>
          <w:p>
            <w:pPr>
              <w:widowControl/>
              <w:adjustRightInd w:val="0"/>
              <w:snapToGrid w:val="0"/>
              <w:spacing w:line="360" w:lineRule="auto"/>
              <w:ind w:firstLine="480" w:firstLineChars="200"/>
              <w:jc w:val="left"/>
              <w:rPr>
                <w:color w:val="auto"/>
              </w:rPr>
            </w:pPr>
            <w:r>
              <w:rPr>
                <w:color w:val="auto"/>
                <w:kern w:val="0"/>
                <w:lang w:bidi="ar"/>
              </w:rPr>
              <w:t xml:space="preserve">针对项目可能发生的地下水污染，地下水污染防治措施按照“源头控制、末端防治、污染监控、应急响应”相结合的原则，从污染物的产生、入渗、扩散、应急响应全阶段进行控制。 </w:t>
            </w:r>
          </w:p>
          <w:p>
            <w:pPr>
              <w:widowControl/>
              <w:adjustRightInd w:val="0"/>
              <w:snapToGrid w:val="0"/>
              <w:spacing w:line="360" w:lineRule="auto"/>
              <w:ind w:firstLine="480" w:firstLineChars="200"/>
              <w:jc w:val="left"/>
              <w:rPr>
                <w:color w:val="auto"/>
              </w:rPr>
            </w:pPr>
            <w:r>
              <w:rPr>
                <w:color w:val="auto"/>
                <w:kern w:val="0"/>
                <w:lang w:bidi="ar"/>
              </w:rPr>
              <w:t xml:space="preserve">A.源头控制措施：主要包括在工艺、管道、设备、污水储存及处理构筑物采取相应措施，防止和降低污染物跑、冒、滴、漏，将污染物泄漏的环境风险事故降到最低程度；管线敷设尽量采用“可视化”原则，即管道尽可能地上敷设，做到污染物“早发现、早处理”，减少由于埋地管道泄漏而造成的地下水污染。 </w:t>
            </w:r>
          </w:p>
          <w:p>
            <w:pPr>
              <w:widowControl/>
              <w:adjustRightInd w:val="0"/>
              <w:snapToGrid w:val="0"/>
              <w:spacing w:line="360" w:lineRule="auto"/>
              <w:ind w:firstLine="480" w:firstLineChars="200"/>
              <w:jc w:val="left"/>
              <w:rPr>
                <w:color w:val="auto"/>
              </w:rPr>
            </w:pPr>
            <w:r>
              <w:rPr>
                <w:color w:val="auto"/>
                <w:kern w:val="0"/>
                <w:lang w:bidi="ar"/>
              </w:rPr>
              <w:t xml:space="preserve">B.末端控制措施：主要包括厂内污染区地面的防渗措施和泄漏、渗漏污染物收集措施，即在污染区地面进行防渗处理，防止洒落地面的污染物渗入地下，并把滞留在地面的污染物收集起来，集中送至污水处理站处理；末端控制采取分区防渗，重点污染防治区、一般污染防治区和简单污染区防渗措施有区别的防渗原则。 </w:t>
            </w:r>
          </w:p>
          <w:p>
            <w:pPr>
              <w:widowControl/>
              <w:adjustRightInd w:val="0"/>
              <w:snapToGrid w:val="0"/>
              <w:spacing w:line="360" w:lineRule="auto"/>
              <w:ind w:firstLine="480" w:firstLineChars="200"/>
              <w:jc w:val="left"/>
              <w:rPr>
                <w:color w:val="auto"/>
              </w:rPr>
            </w:pPr>
            <w:r>
              <w:rPr>
                <w:color w:val="auto"/>
                <w:kern w:val="0"/>
                <w:lang w:bidi="ar"/>
              </w:rPr>
              <w:t xml:space="preserve">C.污染监控体系：实施覆盖生产区的地下水污染监控系统，包括建立完善的检测制 度、配备先进的检测仪器和设备、科学、合理设置地下水污染监控井，及时发现污染、及时控制。 </w:t>
            </w:r>
          </w:p>
          <w:p>
            <w:pPr>
              <w:widowControl/>
              <w:adjustRightInd w:val="0"/>
              <w:snapToGrid w:val="0"/>
              <w:spacing w:line="360" w:lineRule="auto"/>
              <w:ind w:firstLine="480" w:firstLineChars="200"/>
              <w:jc w:val="left"/>
              <w:rPr>
                <w:color w:val="auto"/>
              </w:rPr>
            </w:pPr>
            <w:r>
              <w:rPr>
                <w:color w:val="auto"/>
                <w:kern w:val="0"/>
                <w:lang w:bidi="ar"/>
              </w:rPr>
              <w:t xml:space="preserve">D.应急响应措施：包括一旦发现地下水污染事故，立即启动应急预案、采取应急措施控制地下水污染，并使污染得到治理。 </w:t>
            </w:r>
          </w:p>
          <w:p>
            <w:pPr>
              <w:widowControl/>
              <w:adjustRightInd w:val="0"/>
              <w:snapToGrid w:val="0"/>
              <w:spacing w:line="360" w:lineRule="auto"/>
              <w:ind w:firstLine="480" w:firstLineChars="200"/>
              <w:jc w:val="left"/>
              <w:rPr>
                <w:color w:val="auto"/>
                <w:kern w:val="0"/>
                <w:lang w:bidi="ar"/>
              </w:rPr>
            </w:pPr>
            <w:r>
              <w:rPr>
                <w:color w:val="auto"/>
                <w:kern w:val="0"/>
                <w:lang w:bidi="ar"/>
              </w:rPr>
              <w:t>②防治措施</w:t>
            </w:r>
          </w:p>
          <w:p>
            <w:pPr>
              <w:widowControl/>
              <w:adjustRightInd w:val="0"/>
              <w:snapToGrid w:val="0"/>
              <w:spacing w:line="360" w:lineRule="auto"/>
              <w:ind w:firstLine="480" w:firstLineChars="200"/>
              <w:jc w:val="left"/>
              <w:rPr>
                <w:color w:val="auto"/>
              </w:rPr>
            </w:pPr>
            <w:r>
              <w:rPr>
                <w:color w:val="auto"/>
                <w:kern w:val="0"/>
                <w:lang w:bidi="ar"/>
              </w:rPr>
              <w:t xml:space="preserve">A.污水处理站防渗措施 </w:t>
            </w:r>
          </w:p>
          <w:p>
            <w:pPr>
              <w:widowControl/>
              <w:adjustRightInd w:val="0"/>
              <w:snapToGrid w:val="0"/>
              <w:spacing w:line="360" w:lineRule="auto"/>
              <w:ind w:firstLine="480" w:firstLineChars="200"/>
              <w:jc w:val="left"/>
              <w:rPr>
                <w:color w:val="auto"/>
              </w:rPr>
            </w:pPr>
            <w:r>
              <w:rPr>
                <w:color w:val="auto"/>
                <w:kern w:val="0"/>
                <w:lang w:bidi="ar"/>
              </w:rPr>
              <w:t xml:space="preserve">结构措施：水池均采用现浇防渗砼。砼中掺加抗裂防渗外加剂，用以补偿砼的收缩，避免砼温度、干缩引起的开裂，同时提高砼的密实度和抗渗性能，以防水为主。对于大型水池，由于砼量较大，要求连续浇注，尽量少设或不设施工缝。 </w:t>
            </w:r>
          </w:p>
          <w:p>
            <w:pPr>
              <w:widowControl/>
              <w:adjustRightInd w:val="0"/>
              <w:snapToGrid w:val="0"/>
              <w:spacing w:line="360" w:lineRule="auto"/>
              <w:ind w:firstLine="480" w:firstLineChars="200"/>
              <w:jc w:val="left"/>
              <w:rPr>
                <w:color w:val="auto"/>
              </w:rPr>
            </w:pPr>
            <w:r>
              <w:rPr>
                <w:color w:val="auto"/>
                <w:kern w:val="0"/>
                <w:lang w:bidi="ar"/>
              </w:rPr>
              <w:t xml:space="preserve">混凝土的选择：混凝土包括普通砼和防水砼。普通砼指建筑物及构筑物的上部结构使用的砼，其强度等级为C30；防水砼指与水接触的贮水构筑物以及建(构)筑物地面以下的现浇钢筋混凝土，其强度等级为C30，抗渗等级为P8。管道支墩、设备基础以及构筑物内的二次浇筑的素混凝土均采用C20普通混凝土。基础及底板垫层采用 C15普通混凝土。 </w:t>
            </w:r>
          </w:p>
          <w:p>
            <w:pPr>
              <w:widowControl/>
              <w:adjustRightInd w:val="0"/>
              <w:snapToGrid w:val="0"/>
              <w:spacing w:line="360" w:lineRule="auto"/>
              <w:ind w:firstLine="480" w:firstLineChars="200"/>
              <w:jc w:val="left"/>
              <w:rPr>
                <w:color w:val="auto"/>
                <w:kern w:val="0"/>
                <w:lang w:bidi="ar"/>
              </w:rPr>
            </w:pPr>
            <w:r>
              <w:rPr>
                <w:color w:val="auto"/>
                <w:kern w:val="0"/>
                <w:lang w:bidi="ar"/>
              </w:rPr>
              <w:t>分区防渗措施：根据各厂区可能泄漏至地面区域污染物的性质和生产单元的构筑方式，结合本项目总平面布置情况，将本厂区分为重点防治区、一般防治区。</w:t>
            </w:r>
          </w:p>
          <w:p>
            <w:pPr>
              <w:widowControl/>
              <w:adjustRightInd w:val="0"/>
              <w:snapToGrid w:val="0"/>
              <w:spacing w:line="360" w:lineRule="auto"/>
              <w:ind w:firstLine="480" w:firstLineChars="200"/>
              <w:jc w:val="left"/>
              <w:rPr>
                <w:color w:val="auto"/>
                <w:kern w:val="0"/>
                <w:lang w:bidi="ar"/>
              </w:rPr>
            </w:pPr>
            <w:r>
              <w:rPr>
                <w:color w:val="auto"/>
                <w:kern w:val="0"/>
                <w:lang w:bidi="ar"/>
              </w:rPr>
              <w:t>重点防渗区：生化池等面积及长度较大池体，应根据需要设置变形缝或后浇加强带，采用后浇加强带处理时，应采用高标号混凝土并适当掺加外加剂；污水处理构筑物（池）做防腐处理；主要建构筑物混凝土强度等级C30，采用防水混凝土，其抗渗标号不小于P8；各种水池均为现浇钢筋混凝土结构；地下沟道外侧壁及底板采用钢筋混凝土防水地沟做法，P8抗渗混凝土并涂刷防渗涂料，减轻污水管线发生“跑、冒、滴、漏”事故时对地下水的影响。等效粘土防渗层 Mb≥6.0m，K≤1×10</w:t>
            </w:r>
            <w:r>
              <w:rPr>
                <w:color w:val="auto"/>
                <w:kern w:val="0"/>
                <w:vertAlign w:val="superscript"/>
                <w:lang w:bidi="ar"/>
              </w:rPr>
              <w:t>-7</w:t>
            </w:r>
            <w:r>
              <w:rPr>
                <w:color w:val="auto"/>
                <w:kern w:val="0"/>
                <w:lang w:bidi="ar"/>
              </w:rPr>
              <w:t>cm/s。</w:t>
            </w:r>
          </w:p>
          <w:p>
            <w:pPr>
              <w:widowControl/>
              <w:adjustRightInd w:val="0"/>
              <w:snapToGrid w:val="0"/>
              <w:spacing w:line="360" w:lineRule="auto"/>
              <w:ind w:firstLine="480" w:firstLineChars="200"/>
              <w:jc w:val="left"/>
              <w:rPr>
                <w:color w:val="auto"/>
              </w:rPr>
            </w:pPr>
            <w:r>
              <w:rPr>
                <w:color w:val="auto"/>
                <w:kern w:val="0"/>
                <w:lang w:bidi="ar"/>
              </w:rPr>
              <w:t>一般防渗区：包括厂前区，仅产生部分生活污水，经管网进入污水处理区，该区主要采用P6抗渗混凝土进行防渗处理。等效粘土防渗层 Mb≥1.5m，K≤1×10</w:t>
            </w:r>
            <w:r>
              <w:rPr>
                <w:color w:val="auto"/>
                <w:kern w:val="0"/>
                <w:vertAlign w:val="superscript"/>
                <w:lang w:bidi="ar"/>
              </w:rPr>
              <w:t>-7</w:t>
            </w:r>
            <w:r>
              <w:rPr>
                <w:color w:val="auto"/>
                <w:kern w:val="0"/>
                <w:lang w:bidi="ar"/>
              </w:rPr>
              <w:t xml:space="preserve">cm/s。 </w:t>
            </w:r>
          </w:p>
          <w:p>
            <w:pPr>
              <w:widowControl/>
              <w:adjustRightInd w:val="0"/>
              <w:snapToGrid w:val="0"/>
              <w:spacing w:line="360" w:lineRule="auto"/>
              <w:ind w:firstLine="480" w:firstLineChars="200"/>
              <w:jc w:val="left"/>
              <w:rPr>
                <w:color w:val="auto"/>
              </w:rPr>
            </w:pPr>
            <w:r>
              <w:rPr>
                <w:color w:val="auto"/>
                <w:kern w:val="0"/>
                <w:lang w:bidi="ar"/>
              </w:rPr>
              <w:t xml:space="preserve">B.厂外污水管网防渗 </w:t>
            </w:r>
          </w:p>
          <w:p>
            <w:pPr>
              <w:widowControl/>
              <w:adjustRightInd w:val="0"/>
              <w:snapToGrid w:val="0"/>
              <w:spacing w:line="360" w:lineRule="auto"/>
              <w:ind w:firstLine="480" w:firstLineChars="200"/>
              <w:jc w:val="left"/>
              <w:rPr>
                <w:color w:val="auto"/>
              </w:rPr>
            </w:pPr>
            <w:r>
              <w:rPr>
                <w:color w:val="auto"/>
                <w:kern w:val="0"/>
                <w:lang w:bidi="ar"/>
              </w:rPr>
              <w:t xml:space="preserve">配套污水管网以检查井作为防渗重点，按照重点防治区进行防渗处理，可采取P8抗渗混凝土并涂刷防渗涂料。 </w:t>
            </w:r>
          </w:p>
          <w:p>
            <w:pPr>
              <w:spacing w:line="360" w:lineRule="auto"/>
              <w:jc w:val="center"/>
              <w:rPr>
                <w:rFonts w:eastAsia="黑体"/>
                <w:color w:val="auto"/>
              </w:rPr>
            </w:pPr>
            <w:r>
              <w:rPr>
                <w:rFonts w:eastAsia="黑体"/>
                <w:color w:val="auto"/>
              </w:rPr>
              <w:t>表7-28  污水处理站分区防渗区域</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66"/>
              <w:gridCol w:w="63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666" w:type="dxa"/>
                  <w:noWrap w:val="0"/>
                  <w:vAlign w:val="center"/>
                </w:tcPr>
                <w:p>
                  <w:pPr>
                    <w:jc w:val="center"/>
                    <w:rPr>
                      <w:b/>
                      <w:color w:val="auto"/>
                      <w:sz w:val="21"/>
                      <w:szCs w:val="21"/>
                    </w:rPr>
                  </w:pPr>
                  <w:r>
                    <w:rPr>
                      <w:b/>
                      <w:color w:val="auto"/>
                      <w:sz w:val="21"/>
                      <w:szCs w:val="21"/>
                    </w:rPr>
                    <w:t>防渗等级</w:t>
                  </w:r>
                </w:p>
              </w:tc>
              <w:tc>
                <w:tcPr>
                  <w:tcW w:w="6389" w:type="dxa"/>
                  <w:noWrap w:val="0"/>
                  <w:vAlign w:val="center"/>
                </w:tcPr>
                <w:p>
                  <w:pPr>
                    <w:jc w:val="center"/>
                    <w:rPr>
                      <w:b/>
                      <w:color w:val="auto"/>
                      <w:sz w:val="21"/>
                      <w:szCs w:val="21"/>
                    </w:rPr>
                  </w:pPr>
                  <w:r>
                    <w:rPr>
                      <w:b/>
                      <w:color w:val="auto"/>
                      <w:sz w:val="21"/>
                      <w:szCs w:val="21"/>
                    </w:rPr>
                    <w:t>防渗区域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666" w:type="dxa"/>
                  <w:noWrap w:val="0"/>
                  <w:vAlign w:val="center"/>
                </w:tcPr>
                <w:p>
                  <w:pPr>
                    <w:jc w:val="center"/>
                    <w:rPr>
                      <w:bCs/>
                      <w:color w:val="auto"/>
                      <w:sz w:val="21"/>
                      <w:szCs w:val="21"/>
                    </w:rPr>
                  </w:pPr>
                  <w:r>
                    <w:rPr>
                      <w:bCs/>
                      <w:color w:val="auto"/>
                      <w:sz w:val="21"/>
                      <w:szCs w:val="21"/>
                    </w:rPr>
                    <w:t>重点防渗区</w:t>
                  </w:r>
                </w:p>
              </w:tc>
              <w:tc>
                <w:tcPr>
                  <w:tcW w:w="6389" w:type="dxa"/>
                  <w:noWrap w:val="0"/>
                  <w:vAlign w:val="center"/>
                </w:tcPr>
                <w:p>
                  <w:pPr>
                    <w:jc w:val="center"/>
                    <w:rPr>
                      <w:rFonts w:hint="eastAsia"/>
                      <w:bCs/>
                      <w:color w:val="auto"/>
                      <w:sz w:val="21"/>
                      <w:szCs w:val="21"/>
                    </w:rPr>
                  </w:pPr>
                  <w:r>
                    <w:rPr>
                      <w:bCs/>
                      <w:color w:val="auto"/>
                      <w:sz w:val="21"/>
                      <w:szCs w:val="21"/>
                    </w:rPr>
                    <w:t>格栅渠</w:t>
                  </w:r>
                  <w:r>
                    <w:rPr>
                      <w:rFonts w:hint="eastAsia"/>
                      <w:bCs/>
                      <w:color w:val="auto"/>
                      <w:sz w:val="21"/>
                      <w:szCs w:val="21"/>
                    </w:rPr>
                    <w:t>、化粪</w:t>
                  </w:r>
                  <w:r>
                    <w:rPr>
                      <w:bCs/>
                      <w:color w:val="auto"/>
                      <w:sz w:val="21"/>
                      <w:szCs w:val="21"/>
                    </w:rPr>
                    <w:t>池</w:t>
                  </w:r>
                  <w:r>
                    <w:rPr>
                      <w:rFonts w:hint="eastAsia"/>
                      <w:bCs/>
                      <w:color w:val="auto"/>
                      <w:sz w:val="21"/>
                      <w:szCs w:val="21"/>
                    </w:rPr>
                    <w:t>、</w:t>
                  </w:r>
                  <w:r>
                    <w:rPr>
                      <w:bCs/>
                      <w:color w:val="auto"/>
                      <w:sz w:val="21"/>
                      <w:szCs w:val="21"/>
                    </w:rPr>
                    <w:t>MBR一体化设备</w:t>
                  </w:r>
                  <w:r>
                    <w:rPr>
                      <w:rFonts w:hint="eastAsia"/>
                      <w:bCs/>
                      <w:color w:val="auto"/>
                      <w:sz w:val="21"/>
                      <w:szCs w:val="21"/>
                    </w:rPr>
                    <w:t>、人工湿地等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2666" w:type="dxa"/>
                  <w:noWrap w:val="0"/>
                  <w:vAlign w:val="center"/>
                </w:tcPr>
                <w:p>
                  <w:pPr>
                    <w:jc w:val="center"/>
                    <w:rPr>
                      <w:bCs/>
                      <w:color w:val="auto"/>
                      <w:sz w:val="21"/>
                      <w:szCs w:val="21"/>
                    </w:rPr>
                  </w:pPr>
                  <w:r>
                    <w:rPr>
                      <w:bCs/>
                      <w:color w:val="auto"/>
                      <w:sz w:val="21"/>
                      <w:szCs w:val="21"/>
                    </w:rPr>
                    <w:t>一般防渗区</w:t>
                  </w:r>
                </w:p>
              </w:tc>
              <w:tc>
                <w:tcPr>
                  <w:tcW w:w="6389" w:type="dxa"/>
                  <w:noWrap w:val="0"/>
                  <w:vAlign w:val="center"/>
                </w:tcPr>
                <w:p>
                  <w:pPr>
                    <w:jc w:val="center"/>
                    <w:rPr>
                      <w:bCs/>
                      <w:color w:val="auto"/>
                      <w:sz w:val="21"/>
                      <w:szCs w:val="21"/>
                    </w:rPr>
                  </w:pPr>
                  <w:r>
                    <w:rPr>
                      <w:bCs/>
                      <w:color w:val="auto"/>
                      <w:sz w:val="21"/>
                      <w:szCs w:val="21"/>
                    </w:rPr>
                    <w:t>厂区道路</w:t>
                  </w:r>
                </w:p>
              </w:tc>
            </w:tr>
          </w:tbl>
          <w:p>
            <w:pPr>
              <w:pStyle w:val="2"/>
              <w:ind w:left="0" w:leftChars="0" w:firstLine="482"/>
              <w:rPr>
                <w:rFonts w:hint="default" w:ascii="Times New Roman" w:hAnsi="Times New Roman"/>
                <w:b/>
                <w:bCs/>
                <w:color w:val="auto"/>
                <w:sz w:val="24"/>
              </w:rPr>
            </w:pPr>
            <w:r>
              <w:rPr>
                <w:rFonts w:hint="default" w:ascii="Times New Roman" w:hAnsi="Times New Roman"/>
                <w:b/>
                <w:bCs/>
                <w:color w:val="auto"/>
                <w:sz w:val="24"/>
              </w:rPr>
              <w:t>综上所述，在采取上述防渗、防腐处理措施后，本项目对地下水影响较小。</w:t>
            </w:r>
          </w:p>
          <w:p>
            <w:pPr>
              <w:pStyle w:val="2"/>
              <w:ind w:left="0" w:leftChars="0" w:firstLine="482"/>
              <w:rPr>
                <w:rFonts w:hint="default" w:ascii="Times New Roman" w:hAnsi="Times New Roman"/>
                <w:b/>
                <w:bCs/>
                <w:color w:val="auto"/>
                <w:sz w:val="24"/>
              </w:rPr>
            </w:pPr>
            <w:r>
              <w:rPr>
                <w:rFonts w:hint="default" w:ascii="Times New Roman" w:hAnsi="Times New Roman"/>
                <w:b/>
                <w:bCs/>
                <w:color w:val="auto"/>
                <w:sz w:val="24"/>
              </w:rPr>
              <w:t>2.6土壤环境影响分析</w:t>
            </w:r>
          </w:p>
          <w:p>
            <w:pPr>
              <w:adjustRightInd w:val="0"/>
              <w:snapToGrid w:val="0"/>
              <w:spacing w:line="360" w:lineRule="auto"/>
              <w:ind w:firstLine="482"/>
              <w:rPr>
                <w:color w:val="auto"/>
                <w:highlight w:val="red"/>
              </w:rPr>
            </w:pPr>
            <w:r>
              <w:rPr>
                <w:bCs/>
                <w:color w:val="auto"/>
              </w:rPr>
              <w:t>根据《环境影响评价技术导则 土壤环境》（HJ 964-2018）中附录A土壤环境影响评价类别，本项目属于“电力热力燃气及水生产和供应业”中“生活污水处理”，项目类别为Ⅲ类。</w:t>
            </w:r>
            <w:r>
              <w:rPr>
                <w:color w:val="auto"/>
              </w:rPr>
              <w:t>项目主要污染物为营运期产生的</w:t>
            </w:r>
            <w:r>
              <w:rPr>
                <w:bCs/>
                <w:color w:val="auto"/>
              </w:rPr>
              <w:t>氨气、硫化氢、污水</w:t>
            </w:r>
            <w:r>
              <w:rPr>
                <w:color w:val="auto"/>
              </w:rPr>
              <w:t>，参照附录B对项目环境影响进行识别：</w:t>
            </w:r>
          </w:p>
          <w:p>
            <w:pPr>
              <w:adjustRightInd w:val="0"/>
              <w:snapToGrid w:val="0"/>
              <w:spacing w:line="360" w:lineRule="auto"/>
              <w:jc w:val="center"/>
              <w:rPr>
                <w:rFonts w:eastAsia="黑体"/>
                <w:color w:val="auto"/>
              </w:rPr>
            </w:pPr>
            <w:r>
              <w:rPr>
                <w:rFonts w:eastAsia="黑体"/>
                <w:color w:val="auto"/>
              </w:rPr>
              <w:t>表7-29  建设项目土壤环境影响类型与影响途径表</w:t>
            </w:r>
          </w:p>
          <w:tbl>
            <w:tblPr>
              <w:tblStyle w:val="28"/>
              <w:tblW w:w="0" w:type="auto"/>
              <w:tblInd w:w="1"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264"/>
              <w:gridCol w:w="1244"/>
              <w:gridCol w:w="1157"/>
              <w:gridCol w:w="748"/>
              <w:gridCol w:w="769"/>
              <w:gridCol w:w="769"/>
              <w:gridCol w:w="769"/>
              <w:gridCol w:w="748"/>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584" w:type="dxa"/>
                  <w:vMerge w:val="restart"/>
                  <w:noWrap w:val="0"/>
                  <w:vAlign w:val="center"/>
                </w:tcPr>
                <w:p>
                  <w:pPr>
                    <w:pStyle w:val="72"/>
                    <w:jc w:val="center"/>
                    <w:rPr>
                      <w:rFonts w:ascii="Times New Roman" w:cs="Times New Roman"/>
                      <w:b/>
                      <w:bCs/>
                      <w:color w:val="auto"/>
                      <w:sz w:val="21"/>
                      <w:szCs w:val="21"/>
                    </w:rPr>
                  </w:pPr>
                  <w:r>
                    <w:rPr>
                      <w:rFonts w:ascii="Times New Roman" w:cs="Times New Roman"/>
                      <w:b/>
                      <w:bCs/>
                      <w:color w:val="auto"/>
                      <w:sz w:val="21"/>
                      <w:szCs w:val="21"/>
                    </w:rPr>
                    <w:t>不同时段</w:t>
                  </w:r>
                </w:p>
              </w:tc>
              <w:tc>
                <w:tcPr>
                  <w:tcW w:w="4413" w:type="dxa"/>
                  <w:gridSpan w:val="4"/>
                  <w:noWrap w:val="0"/>
                  <w:vAlign w:val="center"/>
                </w:tcPr>
                <w:p>
                  <w:pPr>
                    <w:pStyle w:val="72"/>
                    <w:jc w:val="center"/>
                    <w:rPr>
                      <w:rFonts w:ascii="Times New Roman" w:cs="Times New Roman"/>
                      <w:b/>
                      <w:bCs/>
                      <w:color w:val="auto"/>
                      <w:sz w:val="21"/>
                      <w:szCs w:val="21"/>
                    </w:rPr>
                  </w:pPr>
                  <w:r>
                    <w:rPr>
                      <w:rFonts w:ascii="Times New Roman" w:cs="Times New Roman"/>
                      <w:b/>
                      <w:bCs/>
                      <w:color w:val="auto"/>
                      <w:sz w:val="21"/>
                      <w:szCs w:val="21"/>
                    </w:rPr>
                    <w:t>污染影响型</w:t>
                  </w:r>
                </w:p>
              </w:tc>
              <w:tc>
                <w:tcPr>
                  <w:tcW w:w="3055" w:type="dxa"/>
                  <w:gridSpan w:val="4"/>
                  <w:noWrap w:val="0"/>
                  <w:vAlign w:val="center"/>
                </w:tcPr>
                <w:p>
                  <w:pPr>
                    <w:pStyle w:val="72"/>
                    <w:jc w:val="center"/>
                    <w:rPr>
                      <w:rFonts w:ascii="Times New Roman" w:cs="Times New Roman"/>
                      <w:b/>
                      <w:bCs/>
                      <w:color w:val="auto"/>
                      <w:sz w:val="21"/>
                      <w:szCs w:val="21"/>
                    </w:rPr>
                  </w:pPr>
                  <w:r>
                    <w:rPr>
                      <w:rFonts w:ascii="Times New Roman" w:cs="Times New Roman"/>
                      <w:b/>
                      <w:bCs/>
                      <w:color w:val="auto"/>
                      <w:sz w:val="21"/>
                      <w:szCs w:val="21"/>
                    </w:rPr>
                    <w:t>生态影响型</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584" w:type="dxa"/>
                  <w:vMerge w:val="continue"/>
                  <w:noWrap w:val="0"/>
                  <w:vAlign w:val="center"/>
                </w:tcPr>
                <w:p>
                  <w:pPr>
                    <w:pStyle w:val="72"/>
                    <w:jc w:val="center"/>
                    <w:rPr>
                      <w:rFonts w:ascii="Times New Roman" w:cs="Times New Roman"/>
                      <w:color w:val="auto"/>
                      <w:sz w:val="21"/>
                      <w:szCs w:val="21"/>
                    </w:rPr>
                  </w:pPr>
                </w:p>
              </w:tc>
              <w:tc>
                <w:tcPr>
                  <w:tcW w:w="126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大气沉降</w:t>
                  </w:r>
                </w:p>
              </w:tc>
              <w:tc>
                <w:tcPr>
                  <w:tcW w:w="124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地面漫流</w:t>
                  </w:r>
                </w:p>
              </w:tc>
              <w:tc>
                <w:tcPr>
                  <w:tcW w:w="1157"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垂直入渗</w:t>
                  </w:r>
                </w:p>
              </w:tc>
              <w:tc>
                <w:tcPr>
                  <w:tcW w:w="748"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其他</w:t>
                  </w:r>
                </w:p>
              </w:tc>
              <w:tc>
                <w:tcPr>
                  <w:tcW w:w="769"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盐化</w:t>
                  </w:r>
                </w:p>
              </w:tc>
              <w:tc>
                <w:tcPr>
                  <w:tcW w:w="769"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碱化</w:t>
                  </w:r>
                </w:p>
              </w:tc>
              <w:tc>
                <w:tcPr>
                  <w:tcW w:w="769"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酸化</w:t>
                  </w:r>
                </w:p>
              </w:tc>
              <w:tc>
                <w:tcPr>
                  <w:tcW w:w="748"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其他</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58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建设期</w:t>
                  </w:r>
                </w:p>
              </w:tc>
              <w:tc>
                <w:tcPr>
                  <w:tcW w:w="1264" w:type="dxa"/>
                  <w:noWrap w:val="0"/>
                  <w:vAlign w:val="center"/>
                </w:tcPr>
                <w:p>
                  <w:pPr>
                    <w:pStyle w:val="72"/>
                    <w:jc w:val="center"/>
                    <w:rPr>
                      <w:rFonts w:ascii="Times New Roman" w:cs="Times New Roman"/>
                      <w:color w:val="auto"/>
                      <w:sz w:val="21"/>
                      <w:szCs w:val="21"/>
                    </w:rPr>
                  </w:pPr>
                </w:p>
              </w:tc>
              <w:tc>
                <w:tcPr>
                  <w:tcW w:w="1244" w:type="dxa"/>
                  <w:noWrap w:val="0"/>
                  <w:vAlign w:val="center"/>
                </w:tcPr>
                <w:p>
                  <w:pPr>
                    <w:pStyle w:val="72"/>
                    <w:jc w:val="center"/>
                    <w:rPr>
                      <w:rFonts w:ascii="Times New Roman" w:cs="Times New Roman"/>
                      <w:color w:val="auto"/>
                      <w:sz w:val="21"/>
                      <w:szCs w:val="21"/>
                    </w:rPr>
                  </w:pPr>
                </w:p>
              </w:tc>
              <w:tc>
                <w:tcPr>
                  <w:tcW w:w="1157" w:type="dxa"/>
                  <w:noWrap w:val="0"/>
                  <w:vAlign w:val="center"/>
                </w:tcPr>
                <w:p>
                  <w:pPr>
                    <w:pStyle w:val="72"/>
                    <w:jc w:val="center"/>
                    <w:rPr>
                      <w:rFonts w:ascii="Times New Roman" w:cs="Times New Roman"/>
                      <w:color w:val="auto"/>
                      <w:sz w:val="21"/>
                      <w:szCs w:val="21"/>
                    </w:rPr>
                  </w:pPr>
                </w:p>
              </w:tc>
              <w:tc>
                <w:tcPr>
                  <w:tcW w:w="748"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48" w:type="dxa"/>
                  <w:noWrap w:val="0"/>
                  <w:vAlign w:val="center"/>
                </w:tcPr>
                <w:p>
                  <w:pPr>
                    <w:pStyle w:val="72"/>
                    <w:jc w:val="center"/>
                    <w:rPr>
                      <w:rFonts w:asci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58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运营期</w:t>
                  </w:r>
                </w:p>
              </w:tc>
              <w:tc>
                <w:tcPr>
                  <w:tcW w:w="1264" w:type="dxa"/>
                  <w:noWrap w:val="0"/>
                  <w:vAlign w:val="center"/>
                </w:tcPr>
                <w:p>
                  <w:pPr>
                    <w:pStyle w:val="72"/>
                    <w:jc w:val="center"/>
                    <w:rPr>
                      <w:rFonts w:ascii="Times New Roman" w:cs="Times New Roman"/>
                      <w:color w:val="auto"/>
                      <w:sz w:val="21"/>
                      <w:szCs w:val="21"/>
                    </w:rPr>
                  </w:pPr>
                </w:p>
              </w:tc>
              <w:tc>
                <w:tcPr>
                  <w:tcW w:w="124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w:t>
                  </w:r>
                </w:p>
              </w:tc>
              <w:tc>
                <w:tcPr>
                  <w:tcW w:w="1157"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w:t>
                  </w:r>
                </w:p>
              </w:tc>
              <w:tc>
                <w:tcPr>
                  <w:tcW w:w="748"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48" w:type="dxa"/>
                  <w:noWrap w:val="0"/>
                  <w:vAlign w:val="center"/>
                </w:tcPr>
                <w:p>
                  <w:pPr>
                    <w:pStyle w:val="72"/>
                    <w:jc w:val="center"/>
                    <w:rPr>
                      <w:rFonts w:asci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584" w:type="dxa"/>
                  <w:noWrap w:val="0"/>
                  <w:vAlign w:val="center"/>
                </w:tcPr>
                <w:p>
                  <w:pPr>
                    <w:pStyle w:val="72"/>
                    <w:jc w:val="center"/>
                    <w:rPr>
                      <w:rFonts w:ascii="Times New Roman" w:cs="Times New Roman"/>
                      <w:color w:val="auto"/>
                      <w:sz w:val="21"/>
                      <w:szCs w:val="21"/>
                    </w:rPr>
                  </w:pPr>
                  <w:r>
                    <w:rPr>
                      <w:rFonts w:ascii="Times New Roman" w:cs="Times New Roman"/>
                      <w:color w:val="auto"/>
                      <w:sz w:val="21"/>
                      <w:szCs w:val="21"/>
                    </w:rPr>
                    <w:t>服务期满后</w:t>
                  </w:r>
                </w:p>
              </w:tc>
              <w:tc>
                <w:tcPr>
                  <w:tcW w:w="1264" w:type="dxa"/>
                  <w:noWrap w:val="0"/>
                  <w:vAlign w:val="center"/>
                </w:tcPr>
                <w:p>
                  <w:pPr>
                    <w:pStyle w:val="72"/>
                    <w:jc w:val="center"/>
                    <w:rPr>
                      <w:rFonts w:ascii="Times New Roman" w:cs="Times New Roman"/>
                      <w:color w:val="auto"/>
                      <w:sz w:val="21"/>
                      <w:szCs w:val="21"/>
                    </w:rPr>
                  </w:pPr>
                </w:p>
              </w:tc>
              <w:tc>
                <w:tcPr>
                  <w:tcW w:w="1244" w:type="dxa"/>
                  <w:noWrap w:val="0"/>
                  <w:vAlign w:val="center"/>
                </w:tcPr>
                <w:p>
                  <w:pPr>
                    <w:pStyle w:val="72"/>
                    <w:jc w:val="center"/>
                    <w:rPr>
                      <w:rFonts w:ascii="Times New Roman" w:cs="Times New Roman"/>
                      <w:color w:val="auto"/>
                      <w:sz w:val="21"/>
                      <w:szCs w:val="21"/>
                    </w:rPr>
                  </w:pPr>
                </w:p>
              </w:tc>
              <w:tc>
                <w:tcPr>
                  <w:tcW w:w="1157" w:type="dxa"/>
                  <w:noWrap w:val="0"/>
                  <w:vAlign w:val="center"/>
                </w:tcPr>
                <w:p>
                  <w:pPr>
                    <w:pStyle w:val="72"/>
                    <w:jc w:val="center"/>
                    <w:rPr>
                      <w:rFonts w:ascii="Times New Roman" w:cs="Times New Roman"/>
                      <w:color w:val="auto"/>
                      <w:sz w:val="21"/>
                      <w:szCs w:val="21"/>
                    </w:rPr>
                  </w:pPr>
                </w:p>
              </w:tc>
              <w:tc>
                <w:tcPr>
                  <w:tcW w:w="748"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69" w:type="dxa"/>
                  <w:noWrap w:val="0"/>
                  <w:vAlign w:val="center"/>
                </w:tcPr>
                <w:p>
                  <w:pPr>
                    <w:pStyle w:val="72"/>
                    <w:jc w:val="center"/>
                    <w:rPr>
                      <w:rFonts w:ascii="Times New Roman" w:cs="Times New Roman"/>
                      <w:color w:val="auto"/>
                      <w:sz w:val="21"/>
                      <w:szCs w:val="21"/>
                    </w:rPr>
                  </w:pPr>
                </w:p>
              </w:tc>
              <w:tc>
                <w:tcPr>
                  <w:tcW w:w="748" w:type="dxa"/>
                  <w:noWrap w:val="0"/>
                  <w:vAlign w:val="center"/>
                </w:tcPr>
                <w:p>
                  <w:pPr>
                    <w:pStyle w:val="72"/>
                    <w:jc w:val="center"/>
                    <w:rPr>
                      <w:rFonts w:asci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9052" w:type="dxa"/>
                  <w:gridSpan w:val="9"/>
                  <w:noWrap w:val="0"/>
                  <w:vAlign w:val="center"/>
                </w:tcPr>
                <w:p>
                  <w:pPr>
                    <w:pStyle w:val="72"/>
                    <w:rPr>
                      <w:rFonts w:ascii="Times New Roman" w:cs="Times New Roman"/>
                      <w:color w:val="auto"/>
                      <w:sz w:val="21"/>
                      <w:szCs w:val="21"/>
                    </w:rPr>
                  </w:pPr>
                  <w:r>
                    <w:rPr>
                      <w:rFonts w:ascii="Times New Roman" w:cs="Times New Roman"/>
                      <w:color w:val="auto"/>
                      <w:sz w:val="21"/>
                      <w:szCs w:val="21"/>
                    </w:rPr>
                    <w:t>注：在可能产生的土壤环境影响类型处“√”，列表未涵盖的可自行设计。</w:t>
                  </w:r>
                </w:p>
              </w:tc>
            </w:tr>
          </w:tbl>
          <w:p>
            <w:pPr>
              <w:adjustRightInd w:val="0"/>
              <w:snapToGrid w:val="0"/>
              <w:spacing w:line="360" w:lineRule="auto"/>
              <w:ind w:firstLine="482"/>
              <w:rPr>
                <w:bCs/>
                <w:color w:val="auto"/>
              </w:rPr>
            </w:pPr>
            <w:r>
              <w:rPr>
                <w:b/>
                <w:color w:val="auto"/>
              </w:rPr>
              <w:t>本项目属于污染影响型项目。项目运营期涉及的大气污染为氨气和硫化氢，对土壤环境无影响；项目污水池四周修建有截排水沟可将事故废水截流进入污水站，将对土壤的影响控制在厂区范围内，因此污水地面漫流不会对周围土壤环境造成影响；污水垂直入渗只对污水处理厂站内的土壤造成影响，不会对周围土壤环境造成影响。故本项目对土壤环境的影响可控制在厂区范围内，因此本项目的土壤环境敏感程度为不敏感。</w:t>
            </w:r>
          </w:p>
          <w:p>
            <w:pPr>
              <w:adjustRightInd w:val="0"/>
              <w:snapToGrid w:val="0"/>
              <w:spacing w:line="360" w:lineRule="auto"/>
              <w:ind w:firstLine="480" w:firstLineChars="200"/>
              <w:rPr>
                <w:rFonts w:eastAsia="黑体"/>
                <w:bCs/>
                <w:color w:val="auto"/>
              </w:rPr>
            </w:pPr>
            <w:r>
              <w:rPr>
                <w:rFonts w:eastAsia="黑体"/>
                <w:bCs/>
                <w:color w:val="auto"/>
              </w:rPr>
              <w:t>（1）评价工作等级</w:t>
            </w:r>
          </w:p>
          <w:p>
            <w:pPr>
              <w:adjustRightInd w:val="0"/>
              <w:snapToGrid w:val="0"/>
              <w:spacing w:line="360" w:lineRule="auto"/>
              <w:ind w:firstLine="480" w:firstLineChars="200"/>
              <w:rPr>
                <w:bCs/>
                <w:color w:val="auto"/>
              </w:rPr>
            </w:pPr>
            <w:r>
              <w:rPr>
                <w:bCs/>
                <w:color w:val="auto"/>
              </w:rPr>
              <w:t>本项目属于污染影响类项目，各污水治理设施的占地分别为</w:t>
            </w:r>
            <w:r>
              <w:rPr>
                <w:color w:val="auto"/>
              </w:rPr>
              <w:t>200</w:t>
            </w:r>
            <w:r>
              <w:rPr>
                <w:bCs/>
                <w:color w:val="auto"/>
              </w:rPr>
              <w:t>m</w:t>
            </w:r>
            <w:r>
              <w:rPr>
                <w:bCs/>
                <w:color w:val="auto"/>
                <w:vertAlign w:val="superscript"/>
              </w:rPr>
              <w:t>2</w:t>
            </w:r>
            <w:r>
              <w:rPr>
                <w:bCs/>
                <w:color w:val="auto"/>
              </w:rPr>
              <w:t>、100m</w:t>
            </w:r>
            <w:r>
              <w:rPr>
                <w:bCs/>
                <w:color w:val="auto"/>
                <w:vertAlign w:val="superscript"/>
              </w:rPr>
              <w:t>2</w:t>
            </w:r>
            <w:r>
              <w:rPr>
                <w:bCs/>
                <w:color w:val="auto"/>
              </w:rPr>
              <w:t>、120m</w:t>
            </w:r>
            <w:r>
              <w:rPr>
                <w:bCs/>
                <w:color w:val="auto"/>
                <w:vertAlign w:val="superscript"/>
              </w:rPr>
              <w:t>2</w:t>
            </w:r>
            <w:r>
              <w:rPr>
                <w:bCs/>
                <w:color w:val="auto"/>
              </w:rPr>
              <w:t>，＜5hm</w:t>
            </w:r>
            <w:r>
              <w:rPr>
                <w:bCs/>
                <w:color w:val="auto"/>
                <w:vertAlign w:val="superscript"/>
              </w:rPr>
              <w:t>2</w:t>
            </w:r>
            <w:r>
              <w:rPr>
                <w:bCs/>
                <w:color w:val="auto"/>
              </w:rPr>
              <w:t>，均属于小型项目。</w:t>
            </w:r>
          </w:p>
          <w:p>
            <w:pPr>
              <w:adjustRightInd w:val="0"/>
              <w:snapToGrid w:val="0"/>
              <w:spacing w:line="360" w:lineRule="auto"/>
              <w:jc w:val="center"/>
              <w:rPr>
                <w:rFonts w:eastAsia="黑体"/>
                <w:color w:val="auto"/>
              </w:rPr>
            </w:pPr>
            <w:r>
              <w:rPr>
                <w:rFonts w:eastAsia="黑体"/>
                <w:color w:val="auto"/>
              </w:rPr>
              <w:t>表7-30  污染影响型敏感程度分级表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71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5" w:type="dxa"/>
                  <w:tcBorders>
                    <w:top w:val="single" w:color="auto" w:sz="6" w:space="0"/>
                    <w:left w:val="single" w:color="auto" w:sz="0" w:space="0"/>
                    <w:bottom w:val="single" w:color="auto" w:sz="4" w:space="0"/>
                    <w:right w:val="single" w:color="auto" w:sz="4" w:space="0"/>
                  </w:tcBorders>
                  <w:noWrap w:val="0"/>
                  <w:vAlign w:val="center"/>
                </w:tcPr>
                <w:p>
                  <w:pPr>
                    <w:adjustRightInd w:val="0"/>
                    <w:snapToGrid w:val="0"/>
                    <w:jc w:val="center"/>
                    <w:rPr>
                      <w:b/>
                      <w:bCs/>
                      <w:color w:val="auto"/>
                      <w:sz w:val="21"/>
                      <w:szCs w:val="21"/>
                    </w:rPr>
                  </w:pPr>
                  <w:r>
                    <w:rPr>
                      <w:b/>
                      <w:bCs/>
                      <w:color w:val="auto"/>
                      <w:sz w:val="21"/>
                      <w:szCs w:val="21"/>
                    </w:rPr>
                    <w:t>敏感程度</w:t>
                  </w:r>
                </w:p>
              </w:tc>
              <w:tc>
                <w:tcPr>
                  <w:tcW w:w="7145" w:type="dxa"/>
                  <w:tcBorders>
                    <w:top w:val="single" w:color="auto" w:sz="6" w:space="0"/>
                    <w:left w:val="single" w:color="auto" w:sz="4" w:space="0"/>
                    <w:bottom w:val="single" w:color="auto" w:sz="4" w:space="0"/>
                    <w:right w:val="single" w:color="auto" w:sz="6" w:space="0"/>
                  </w:tcBorders>
                  <w:noWrap w:val="0"/>
                  <w:vAlign w:val="center"/>
                </w:tcPr>
                <w:p>
                  <w:pPr>
                    <w:adjustRightInd w:val="0"/>
                    <w:snapToGrid w:val="0"/>
                    <w:jc w:val="center"/>
                    <w:rPr>
                      <w:b/>
                      <w:bCs/>
                      <w:color w:val="auto"/>
                      <w:sz w:val="21"/>
                      <w:szCs w:val="21"/>
                    </w:rPr>
                  </w:pPr>
                  <w:r>
                    <w:rPr>
                      <w:b/>
                      <w:bCs/>
                      <w:color w:val="auto"/>
                      <w:sz w:val="21"/>
                      <w:szCs w:val="21"/>
                    </w:rPr>
                    <w:t>判断依据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color w:val="auto"/>
                      <w:sz w:val="21"/>
                      <w:szCs w:val="21"/>
                    </w:rPr>
                  </w:pPr>
                  <w:r>
                    <w:rPr>
                      <w:color w:val="auto"/>
                      <w:sz w:val="21"/>
                      <w:szCs w:val="21"/>
                    </w:rPr>
                    <w:t>敏感</w:t>
                  </w:r>
                </w:p>
              </w:tc>
              <w:tc>
                <w:tcPr>
                  <w:tcW w:w="7145" w:type="dxa"/>
                  <w:tcBorders>
                    <w:top w:val="single" w:color="auto" w:sz="4" w:space="0"/>
                    <w:left w:val="single" w:color="auto" w:sz="4" w:space="0"/>
                    <w:bottom w:val="single" w:color="auto" w:sz="4" w:space="0"/>
                    <w:right w:val="single" w:color="auto" w:sz="6" w:space="0"/>
                  </w:tcBorders>
                  <w:noWrap w:val="0"/>
                  <w:vAlign w:val="center"/>
                </w:tcPr>
                <w:p>
                  <w:pPr>
                    <w:adjustRightInd w:val="0"/>
                    <w:snapToGrid w:val="0"/>
                    <w:jc w:val="center"/>
                    <w:rPr>
                      <w:color w:val="auto"/>
                      <w:sz w:val="21"/>
                      <w:szCs w:val="21"/>
                    </w:rPr>
                  </w:pPr>
                  <w:r>
                    <w:rPr>
                      <w:color w:val="auto"/>
                      <w:sz w:val="21"/>
                      <w:szCs w:val="21"/>
                    </w:rPr>
                    <w:t>建设项目周边存在耕地、园地、牧草地、饮用水水源或居民区、学校、医院、疗养院、养老院等土壤环境敏感目标的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color w:val="auto"/>
                      <w:sz w:val="21"/>
                      <w:szCs w:val="21"/>
                    </w:rPr>
                  </w:pPr>
                  <w:r>
                    <w:rPr>
                      <w:color w:val="auto"/>
                      <w:sz w:val="21"/>
                      <w:szCs w:val="21"/>
                    </w:rPr>
                    <w:t>较敏感</w:t>
                  </w:r>
                </w:p>
              </w:tc>
              <w:tc>
                <w:tcPr>
                  <w:tcW w:w="7145" w:type="dxa"/>
                  <w:tcBorders>
                    <w:top w:val="single" w:color="auto" w:sz="4" w:space="0"/>
                    <w:left w:val="single" w:color="auto" w:sz="4" w:space="0"/>
                    <w:bottom w:val="single" w:color="auto" w:sz="4" w:space="0"/>
                    <w:right w:val="single" w:color="auto" w:sz="6" w:space="0"/>
                  </w:tcBorders>
                  <w:noWrap w:val="0"/>
                  <w:vAlign w:val="center"/>
                </w:tcPr>
                <w:p>
                  <w:pPr>
                    <w:adjustRightInd w:val="0"/>
                    <w:snapToGrid w:val="0"/>
                    <w:jc w:val="center"/>
                    <w:rPr>
                      <w:color w:val="auto"/>
                      <w:sz w:val="21"/>
                      <w:szCs w:val="21"/>
                    </w:rPr>
                  </w:pPr>
                  <w:r>
                    <w:rPr>
                      <w:color w:val="auto"/>
                      <w:sz w:val="21"/>
                      <w:szCs w:val="21"/>
                    </w:rPr>
                    <w:t>建设项目周边存在其他土壤环境敏感目标的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5" w:type="dxa"/>
                  <w:tcBorders>
                    <w:top w:val="single" w:color="auto" w:sz="4" w:space="0"/>
                    <w:left w:val="single" w:color="auto" w:sz="4" w:space="0"/>
                    <w:bottom w:val="single" w:color="auto" w:sz="6" w:space="0"/>
                    <w:right w:val="single" w:color="auto" w:sz="4" w:space="0"/>
                  </w:tcBorders>
                  <w:noWrap w:val="0"/>
                  <w:vAlign w:val="center"/>
                </w:tcPr>
                <w:p>
                  <w:pPr>
                    <w:adjustRightInd w:val="0"/>
                    <w:snapToGrid w:val="0"/>
                    <w:jc w:val="center"/>
                    <w:rPr>
                      <w:color w:val="auto"/>
                      <w:sz w:val="21"/>
                      <w:szCs w:val="21"/>
                    </w:rPr>
                  </w:pPr>
                  <w:r>
                    <w:rPr>
                      <w:color w:val="auto"/>
                      <w:sz w:val="21"/>
                      <w:szCs w:val="21"/>
                    </w:rPr>
                    <w:t>不敏感</w:t>
                  </w:r>
                </w:p>
              </w:tc>
              <w:tc>
                <w:tcPr>
                  <w:tcW w:w="7145" w:type="dxa"/>
                  <w:tcBorders>
                    <w:top w:val="single" w:color="auto" w:sz="4" w:space="0"/>
                    <w:left w:val="single" w:color="auto" w:sz="4" w:space="0"/>
                    <w:bottom w:val="single" w:color="auto" w:sz="6" w:space="0"/>
                    <w:right w:val="single" w:color="auto" w:sz="6" w:space="0"/>
                  </w:tcBorders>
                  <w:noWrap w:val="0"/>
                  <w:vAlign w:val="center"/>
                </w:tcPr>
                <w:p>
                  <w:pPr>
                    <w:adjustRightInd w:val="0"/>
                    <w:snapToGrid w:val="0"/>
                    <w:jc w:val="center"/>
                    <w:rPr>
                      <w:color w:val="auto"/>
                      <w:sz w:val="21"/>
                      <w:szCs w:val="21"/>
                    </w:rPr>
                  </w:pPr>
                  <w:r>
                    <w:rPr>
                      <w:color w:val="auto"/>
                      <w:sz w:val="21"/>
                      <w:szCs w:val="21"/>
                    </w:rPr>
                    <w:t>其他情况</w:t>
                  </w:r>
                </w:p>
              </w:tc>
            </w:tr>
          </w:tbl>
          <w:p>
            <w:pPr>
              <w:adjustRightInd w:val="0"/>
              <w:snapToGrid w:val="0"/>
              <w:spacing w:line="360" w:lineRule="auto"/>
              <w:ind w:firstLine="480" w:firstLineChars="200"/>
              <w:rPr>
                <w:bCs/>
                <w:color w:val="auto"/>
              </w:rPr>
            </w:pPr>
            <w:r>
              <w:rPr>
                <w:bCs/>
                <w:color w:val="auto"/>
              </w:rPr>
              <w:t>根据上述结论，本项目敏感类型为不敏感。</w:t>
            </w:r>
          </w:p>
          <w:p>
            <w:pPr>
              <w:adjustRightInd w:val="0"/>
              <w:snapToGrid w:val="0"/>
              <w:spacing w:line="360" w:lineRule="auto"/>
              <w:jc w:val="center"/>
              <w:rPr>
                <w:rFonts w:eastAsia="黑体"/>
                <w:color w:val="auto"/>
              </w:rPr>
            </w:pPr>
            <w:r>
              <w:rPr>
                <w:rFonts w:eastAsia="黑体"/>
                <w:color w:val="auto"/>
              </w:rPr>
              <w:t>表7-31  污染影响型评价工作等级划分表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857"/>
              <w:gridCol w:w="800"/>
              <w:gridCol w:w="845"/>
              <w:gridCol w:w="780"/>
              <w:gridCol w:w="750"/>
              <w:gridCol w:w="675"/>
              <w:gridCol w:w="712"/>
              <w:gridCol w:w="750"/>
              <w:gridCol w:w="739"/>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3" w:type="dxa"/>
                  <w:vMerge w:val="restart"/>
                  <w:noWrap w:val="0"/>
                  <w:vAlign w:val="center"/>
                </w:tcPr>
                <w:p>
                  <w:pPr>
                    <w:adjustRightInd w:val="0"/>
                    <w:snapToGrid w:val="0"/>
                    <w:jc w:val="center"/>
                    <w:rPr>
                      <w:color w:val="auto"/>
                      <w:sz w:val="21"/>
                      <w:szCs w:val="21"/>
                    </w:rPr>
                  </w:pPr>
                  <w:r>
                    <w:rPr>
                      <w:color w:val="auto"/>
                      <w:sz w:val="21"/>
                      <w:szCs w:val="21"/>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9525</wp:posOffset>
                            </wp:positionV>
                            <wp:extent cx="1468755" cy="285750"/>
                            <wp:effectExtent l="635" t="4445" r="16510" b="14605"/>
                            <wp:wrapNone/>
                            <wp:docPr id="21" name="直接连接符 21"/>
                            <wp:cNvGraphicFramePr/>
                            <a:graphic xmlns:a="http://schemas.openxmlformats.org/drawingml/2006/main">
                              <a:graphicData uri="http://schemas.microsoft.com/office/word/2010/wordprocessingShape">
                                <wps:wsp>
                                  <wps:cNvCnPr/>
                                  <wps:spPr>
                                    <a:xfrm>
                                      <a:off x="891540" y="2091690"/>
                                      <a:ext cx="1468755" cy="285750"/>
                                    </a:xfrm>
                                    <a:prstGeom prst="line">
                                      <a:avLst/>
                                    </a:prstGeom>
                                    <a:noFill/>
                                    <a:ln w="9525" cap="flat" cmpd="sng" algn="ctr">
                                      <a:solidFill>
                                        <a:srgbClr val="4A7EBB">
                                          <a:shade val="95000"/>
                                          <a:satMod val="105000"/>
                                        </a:srgbClr>
                                      </a:solidFill>
                                      <a:prstDash val="solid"/>
                                    </a:ln>
                                    <a:effectLst/>
                                  </wps:spPr>
                                  <wps:bodyPr/>
                                </wps:wsp>
                              </a:graphicData>
                            </a:graphic>
                          </wp:anchor>
                        </w:drawing>
                      </mc:Choice>
                      <mc:Fallback>
                        <w:pict>
                          <v:line id="_x0000_s1026" o:spid="_x0000_s1026" o:spt="20" style="position:absolute;left:0pt;margin-left:-5.15pt;margin-top:0.75pt;height:22.5pt;width:115.65pt;z-index:251658240;mso-width-relative:page;mso-height-relative:page;" filled="f" stroked="t" coordsize="21600,21600" o:gfxdata="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0UII9YAAAAIAQAADwAAAAAAAAABACAAAAAiAAAAZHJzL2Rvd25yZXYueG1sUEsBAhQAFAAA&#10;AAgAh07iQCqj8vPxAQAApQMAAA4AAAAAAAAAAQAgAAAAJQEAAGRycy9lMm9Eb2MueG1sUEsFBgAA&#10;AAAGAAYAWQEAAIgFAAAAAA==&#10;">
                            <v:fill on="f" focussize="0,0"/>
                            <v:stroke color="#457BBA" joinstyle="round"/>
                            <v:imagedata o:title=""/>
                            <o:lock v:ext="edit" aspectratio="f"/>
                          </v:line>
                        </w:pict>
                      </mc:Fallback>
                    </mc:AlternateContent>
                  </w:r>
                  <w:r>
                    <w:rPr>
                      <w:color w:val="auto"/>
                      <w:sz w:val="21"/>
                      <w:szCs w:val="21"/>
                    </w:rPr>
                    <mc:AlternateContent>
                      <mc:Choice Requires="wps">
                        <w:drawing>
                          <wp:anchor distT="0" distB="0" distL="114300" distR="114300" simplePos="0" relativeHeight="251659264" behindDoc="0" locked="0" layoutInCell="1" allowOverlap="1">
                            <wp:simplePos x="0" y="0"/>
                            <wp:positionH relativeFrom="column">
                              <wp:posOffset>-86360</wp:posOffset>
                            </wp:positionH>
                            <wp:positionV relativeFrom="paragraph">
                              <wp:posOffset>-8255</wp:posOffset>
                            </wp:positionV>
                            <wp:extent cx="909320" cy="679450"/>
                            <wp:effectExtent l="2540" t="3810" r="21590" b="21590"/>
                            <wp:wrapNone/>
                            <wp:docPr id="1" name="直接连接符 56"/>
                            <wp:cNvGraphicFramePr/>
                            <a:graphic xmlns:a="http://schemas.openxmlformats.org/drawingml/2006/main">
                              <a:graphicData uri="http://schemas.microsoft.com/office/word/2010/wordprocessingShape">
                                <wps:wsp>
                                  <wps:cNvCnPr/>
                                  <wps:spPr>
                                    <a:xfrm>
                                      <a:off x="0" y="0"/>
                                      <a:ext cx="909320" cy="679450"/>
                                    </a:xfrm>
                                    <a:prstGeom prst="straightConnector1">
                                      <a:avLst/>
                                    </a:prstGeom>
                                    <a:ln w="9525" cap="flat" cmpd="sng">
                                      <a:solidFill>
                                        <a:srgbClr val="4A7EBB"/>
                                      </a:solidFill>
                                      <a:prstDash val="solid"/>
                                      <a:headEnd type="none" w="med" len="med"/>
                                      <a:tailEnd type="none" w="med" len="med"/>
                                    </a:ln>
                                  </wps:spPr>
                                  <wps:bodyPr/>
                                </wps:wsp>
                              </a:graphicData>
                            </a:graphic>
                          </wp:anchor>
                        </w:drawing>
                      </mc:Choice>
                      <mc:Fallback>
                        <w:pict>
                          <v:shape id="直接连接符 56" o:spid="_x0000_s1026" o:spt="32" type="#_x0000_t32" style="position:absolute;left:0pt;margin-left:-6.8pt;margin-top:-0.65pt;height:53.5pt;width:71.6pt;z-index:251659264;mso-width-relative:page;mso-height-relative:page;" filled="f" stroked="t" coordsize="21600,21600" o:gfxdata="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K8YPZ&#10;AAAACgEAAA8AAAAAAAAAAQAgAAAAIgAAAGRycy9kb3ducmV2LnhtbFBLAQIUABQAAAAIAIdO4kCW&#10;WF/k5gEAAJ0DAAAOAAAAAAAAAAEAIAAAACgBAABkcnMvZTJvRG9jLnhtbFBLBQYAAAAABgAGAFkB&#10;AACABQAAAAA=&#10;">
                            <v:fill on="f" focussize="0,0"/>
                            <v:stroke color="#4A7EBB" joinstyle="round"/>
                            <v:imagedata o:title=""/>
                            <o:lock v:ext="edit" aspectratio="f"/>
                          </v:shape>
                        </w:pict>
                      </mc:Fallback>
                    </mc:AlternateContent>
                  </w:r>
                  <w:r>
                    <w:rPr>
                      <w:color w:val="auto"/>
                      <w:sz w:val="21"/>
                      <w:szCs w:val="21"/>
                    </w:rPr>
                    <w:t xml:space="preserve">        占地规模</w:t>
                  </w:r>
                </w:p>
                <w:p>
                  <w:pPr>
                    <w:pStyle w:val="2"/>
                    <w:tabs>
                      <w:tab w:val="left" w:pos="420"/>
                      <w:tab w:val="left" w:pos="870"/>
                      <w:tab w:val="left" w:pos="3150"/>
                    </w:tabs>
                    <w:adjustRightInd w:val="0"/>
                    <w:snapToGrid w:val="0"/>
                    <w:ind w:left="0" w:leftChars="0" w:firstLine="630" w:firstLineChars="300"/>
                    <w:rPr>
                      <w:rFonts w:hint="default" w:ascii="Times New Roman" w:hAnsi="Times New Roman"/>
                      <w:color w:val="auto"/>
                      <w:szCs w:val="21"/>
                    </w:rPr>
                  </w:pPr>
                  <w:r>
                    <w:rPr>
                      <w:rFonts w:hint="default" w:ascii="Times New Roman" w:hAnsi="Times New Roman"/>
                      <w:color w:val="auto"/>
                      <w:szCs w:val="21"/>
                    </w:rPr>
                    <w:t>评价等级</w:t>
                  </w:r>
                </w:p>
                <w:p>
                  <w:pPr>
                    <w:pStyle w:val="2"/>
                    <w:tabs>
                      <w:tab w:val="left" w:pos="420"/>
                      <w:tab w:val="left" w:pos="870"/>
                      <w:tab w:val="left" w:pos="3150"/>
                    </w:tabs>
                    <w:adjustRightInd w:val="0"/>
                    <w:snapToGrid w:val="0"/>
                    <w:ind w:left="0" w:leftChars="0" w:firstLine="0" w:firstLineChars="0"/>
                    <w:rPr>
                      <w:rFonts w:hint="default" w:ascii="Times New Roman" w:hAnsi="Times New Roman"/>
                      <w:color w:val="auto"/>
                      <w:szCs w:val="21"/>
                    </w:rPr>
                  </w:pPr>
                  <w:r>
                    <w:rPr>
                      <w:rFonts w:hint="default" w:ascii="Times New Roman" w:hAnsi="Times New Roman"/>
                      <w:color w:val="auto"/>
                      <w:szCs w:val="21"/>
                    </w:rPr>
                    <w:t>敏感程度</w:t>
                  </w:r>
                </w:p>
              </w:tc>
              <w:tc>
                <w:tcPr>
                  <w:tcW w:w="2502" w:type="dxa"/>
                  <w:gridSpan w:val="3"/>
                  <w:noWrap w:val="0"/>
                  <w:vAlign w:val="center"/>
                </w:tcPr>
                <w:p>
                  <w:pPr>
                    <w:adjustRightInd w:val="0"/>
                    <w:jc w:val="center"/>
                    <w:rPr>
                      <w:color w:val="auto"/>
                      <w:sz w:val="21"/>
                      <w:szCs w:val="21"/>
                    </w:rPr>
                  </w:pPr>
                  <w:r>
                    <w:rPr>
                      <w:color w:val="auto"/>
                      <w:sz w:val="21"/>
                      <w:szCs w:val="21"/>
                    </w:rPr>
                    <w:t>Ⅰ类</w:t>
                  </w:r>
                </w:p>
              </w:tc>
              <w:tc>
                <w:tcPr>
                  <w:tcW w:w="2205" w:type="dxa"/>
                  <w:gridSpan w:val="3"/>
                  <w:noWrap w:val="0"/>
                  <w:vAlign w:val="center"/>
                </w:tcPr>
                <w:p>
                  <w:pPr>
                    <w:adjustRightInd w:val="0"/>
                    <w:jc w:val="center"/>
                    <w:rPr>
                      <w:color w:val="auto"/>
                      <w:sz w:val="21"/>
                      <w:szCs w:val="21"/>
                    </w:rPr>
                  </w:pPr>
                  <w:r>
                    <w:rPr>
                      <w:bCs/>
                      <w:color w:val="auto"/>
                      <w:sz w:val="21"/>
                      <w:szCs w:val="21"/>
                    </w:rPr>
                    <w:t>Ⅱ类</w:t>
                  </w:r>
                </w:p>
              </w:tc>
              <w:tc>
                <w:tcPr>
                  <w:tcW w:w="2201" w:type="dxa"/>
                  <w:gridSpan w:val="3"/>
                  <w:noWrap w:val="0"/>
                  <w:vAlign w:val="center"/>
                </w:tcPr>
                <w:p>
                  <w:pPr>
                    <w:adjustRightInd w:val="0"/>
                    <w:jc w:val="center"/>
                    <w:rPr>
                      <w:color w:val="auto"/>
                      <w:sz w:val="21"/>
                      <w:szCs w:val="21"/>
                    </w:rPr>
                  </w:pPr>
                  <w:r>
                    <w:rPr>
                      <w:b/>
                      <w:bCs/>
                      <w:color w:val="auto"/>
                      <w:sz w:val="21"/>
                      <w:szCs w:val="21"/>
                    </w:rPr>
                    <w:t>Ⅲ类</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303" w:type="dxa"/>
                  <w:vMerge w:val="continue"/>
                  <w:noWrap w:val="0"/>
                  <w:vAlign w:val="center"/>
                </w:tcPr>
                <w:p>
                  <w:pPr>
                    <w:adjustRightInd w:val="0"/>
                    <w:snapToGrid w:val="0"/>
                    <w:jc w:val="center"/>
                    <w:rPr>
                      <w:color w:val="auto"/>
                      <w:sz w:val="21"/>
                      <w:szCs w:val="21"/>
                    </w:rPr>
                  </w:pPr>
                </w:p>
              </w:tc>
              <w:tc>
                <w:tcPr>
                  <w:tcW w:w="857" w:type="dxa"/>
                  <w:noWrap w:val="0"/>
                  <w:vAlign w:val="center"/>
                </w:tcPr>
                <w:p>
                  <w:pPr>
                    <w:adjustRightInd w:val="0"/>
                    <w:jc w:val="center"/>
                    <w:rPr>
                      <w:color w:val="auto"/>
                      <w:sz w:val="21"/>
                      <w:szCs w:val="21"/>
                    </w:rPr>
                  </w:pPr>
                  <w:r>
                    <w:rPr>
                      <w:color w:val="auto"/>
                      <w:sz w:val="21"/>
                      <w:szCs w:val="21"/>
                    </w:rPr>
                    <w:t>大</w:t>
                  </w:r>
                </w:p>
              </w:tc>
              <w:tc>
                <w:tcPr>
                  <w:tcW w:w="800" w:type="dxa"/>
                  <w:noWrap w:val="0"/>
                  <w:vAlign w:val="center"/>
                </w:tcPr>
                <w:p>
                  <w:pPr>
                    <w:adjustRightInd w:val="0"/>
                    <w:jc w:val="center"/>
                    <w:rPr>
                      <w:color w:val="auto"/>
                      <w:sz w:val="21"/>
                      <w:szCs w:val="21"/>
                    </w:rPr>
                  </w:pPr>
                  <w:r>
                    <w:rPr>
                      <w:color w:val="auto"/>
                      <w:sz w:val="21"/>
                      <w:szCs w:val="21"/>
                    </w:rPr>
                    <w:t>中</w:t>
                  </w:r>
                </w:p>
              </w:tc>
              <w:tc>
                <w:tcPr>
                  <w:tcW w:w="845" w:type="dxa"/>
                  <w:noWrap w:val="0"/>
                  <w:vAlign w:val="center"/>
                </w:tcPr>
                <w:p>
                  <w:pPr>
                    <w:adjustRightInd w:val="0"/>
                    <w:jc w:val="center"/>
                    <w:rPr>
                      <w:color w:val="auto"/>
                      <w:sz w:val="21"/>
                      <w:szCs w:val="21"/>
                    </w:rPr>
                  </w:pPr>
                  <w:r>
                    <w:rPr>
                      <w:color w:val="auto"/>
                      <w:sz w:val="21"/>
                      <w:szCs w:val="21"/>
                    </w:rPr>
                    <w:t>小</w:t>
                  </w:r>
                </w:p>
              </w:tc>
              <w:tc>
                <w:tcPr>
                  <w:tcW w:w="780" w:type="dxa"/>
                  <w:noWrap w:val="0"/>
                  <w:vAlign w:val="center"/>
                </w:tcPr>
                <w:p>
                  <w:pPr>
                    <w:adjustRightInd w:val="0"/>
                    <w:jc w:val="center"/>
                    <w:rPr>
                      <w:color w:val="auto"/>
                      <w:sz w:val="21"/>
                      <w:szCs w:val="21"/>
                    </w:rPr>
                  </w:pPr>
                  <w:r>
                    <w:rPr>
                      <w:color w:val="auto"/>
                      <w:sz w:val="21"/>
                      <w:szCs w:val="21"/>
                    </w:rPr>
                    <w:t>大</w:t>
                  </w:r>
                </w:p>
              </w:tc>
              <w:tc>
                <w:tcPr>
                  <w:tcW w:w="750" w:type="dxa"/>
                  <w:noWrap w:val="0"/>
                  <w:vAlign w:val="center"/>
                </w:tcPr>
                <w:p>
                  <w:pPr>
                    <w:adjustRightInd w:val="0"/>
                    <w:jc w:val="center"/>
                    <w:rPr>
                      <w:rFonts w:eastAsia="TimesNewRoman"/>
                      <w:bCs/>
                      <w:color w:val="auto"/>
                      <w:sz w:val="21"/>
                      <w:szCs w:val="21"/>
                    </w:rPr>
                  </w:pPr>
                  <w:r>
                    <w:rPr>
                      <w:color w:val="auto"/>
                      <w:sz w:val="21"/>
                      <w:szCs w:val="21"/>
                    </w:rPr>
                    <w:t>中</w:t>
                  </w:r>
                </w:p>
              </w:tc>
              <w:tc>
                <w:tcPr>
                  <w:tcW w:w="675" w:type="dxa"/>
                  <w:noWrap w:val="0"/>
                  <w:vAlign w:val="center"/>
                </w:tcPr>
                <w:p>
                  <w:pPr>
                    <w:adjustRightInd w:val="0"/>
                    <w:jc w:val="center"/>
                    <w:rPr>
                      <w:rFonts w:eastAsia="TimesNewRoman"/>
                      <w:bCs/>
                      <w:color w:val="auto"/>
                      <w:sz w:val="21"/>
                      <w:szCs w:val="21"/>
                    </w:rPr>
                  </w:pPr>
                  <w:r>
                    <w:rPr>
                      <w:color w:val="auto"/>
                      <w:sz w:val="21"/>
                      <w:szCs w:val="21"/>
                    </w:rPr>
                    <w:t>小</w:t>
                  </w:r>
                </w:p>
              </w:tc>
              <w:tc>
                <w:tcPr>
                  <w:tcW w:w="712" w:type="dxa"/>
                  <w:noWrap w:val="0"/>
                  <w:vAlign w:val="center"/>
                </w:tcPr>
                <w:p>
                  <w:pPr>
                    <w:adjustRightInd w:val="0"/>
                    <w:jc w:val="center"/>
                    <w:rPr>
                      <w:color w:val="auto"/>
                      <w:sz w:val="21"/>
                      <w:szCs w:val="21"/>
                    </w:rPr>
                  </w:pPr>
                  <w:r>
                    <w:rPr>
                      <w:color w:val="auto"/>
                      <w:sz w:val="21"/>
                      <w:szCs w:val="21"/>
                    </w:rPr>
                    <w:t>大</w:t>
                  </w:r>
                </w:p>
              </w:tc>
              <w:tc>
                <w:tcPr>
                  <w:tcW w:w="750" w:type="dxa"/>
                  <w:noWrap w:val="0"/>
                  <w:vAlign w:val="center"/>
                </w:tcPr>
                <w:p>
                  <w:pPr>
                    <w:adjustRightInd w:val="0"/>
                    <w:jc w:val="center"/>
                    <w:rPr>
                      <w:rFonts w:eastAsia="TimesNewRoman"/>
                      <w:color w:val="auto"/>
                      <w:sz w:val="21"/>
                      <w:szCs w:val="21"/>
                    </w:rPr>
                  </w:pPr>
                  <w:r>
                    <w:rPr>
                      <w:color w:val="auto"/>
                      <w:sz w:val="21"/>
                      <w:szCs w:val="21"/>
                    </w:rPr>
                    <w:t>中</w:t>
                  </w:r>
                </w:p>
              </w:tc>
              <w:tc>
                <w:tcPr>
                  <w:tcW w:w="739" w:type="dxa"/>
                  <w:noWrap w:val="0"/>
                  <w:vAlign w:val="center"/>
                </w:tcPr>
                <w:p>
                  <w:pPr>
                    <w:adjustRightInd w:val="0"/>
                    <w:jc w:val="center"/>
                    <w:rPr>
                      <w:rFonts w:eastAsia="TimesNewRoman"/>
                      <w:color w:val="auto"/>
                      <w:sz w:val="21"/>
                      <w:szCs w:val="21"/>
                    </w:rPr>
                  </w:pPr>
                  <w:r>
                    <w:rPr>
                      <w:b/>
                      <w:bCs/>
                      <w:color w:val="auto"/>
                      <w:sz w:val="21"/>
                      <w:szCs w:val="21"/>
                    </w:rPr>
                    <w:t>小</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2303" w:type="dxa"/>
                  <w:noWrap w:val="0"/>
                  <w:vAlign w:val="center"/>
                </w:tcPr>
                <w:p>
                  <w:pPr>
                    <w:adjustRightInd w:val="0"/>
                    <w:snapToGrid w:val="0"/>
                    <w:jc w:val="center"/>
                    <w:rPr>
                      <w:color w:val="auto"/>
                      <w:sz w:val="21"/>
                      <w:szCs w:val="21"/>
                    </w:rPr>
                  </w:pPr>
                  <w:r>
                    <w:rPr>
                      <w:color w:val="auto"/>
                      <w:sz w:val="21"/>
                      <w:szCs w:val="21"/>
                    </w:rPr>
                    <w:t>敏感</w:t>
                  </w:r>
                </w:p>
              </w:tc>
              <w:tc>
                <w:tcPr>
                  <w:tcW w:w="857" w:type="dxa"/>
                  <w:noWrap w:val="0"/>
                  <w:vAlign w:val="center"/>
                </w:tcPr>
                <w:p>
                  <w:pPr>
                    <w:adjustRightInd w:val="0"/>
                    <w:jc w:val="center"/>
                    <w:rPr>
                      <w:color w:val="auto"/>
                      <w:sz w:val="21"/>
                      <w:szCs w:val="21"/>
                    </w:rPr>
                  </w:pPr>
                  <w:r>
                    <w:rPr>
                      <w:color w:val="auto"/>
                      <w:sz w:val="21"/>
                      <w:szCs w:val="21"/>
                    </w:rPr>
                    <w:t>一级</w:t>
                  </w:r>
                </w:p>
              </w:tc>
              <w:tc>
                <w:tcPr>
                  <w:tcW w:w="800" w:type="dxa"/>
                  <w:noWrap w:val="0"/>
                  <w:vAlign w:val="center"/>
                </w:tcPr>
                <w:p>
                  <w:pPr>
                    <w:adjustRightInd w:val="0"/>
                    <w:jc w:val="center"/>
                    <w:rPr>
                      <w:rFonts w:eastAsia="TimesNewRoman"/>
                      <w:color w:val="auto"/>
                      <w:sz w:val="21"/>
                      <w:szCs w:val="21"/>
                    </w:rPr>
                  </w:pPr>
                  <w:r>
                    <w:rPr>
                      <w:color w:val="auto"/>
                      <w:sz w:val="21"/>
                      <w:szCs w:val="21"/>
                    </w:rPr>
                    <w:t>一级</w:t>
                  </w:r>
                </w:p>
              </w:tc>
              <w:tc>
                <w:tcPr>
                  <w:tcW w:w="845" w:type="dxa"/>
                  <w:noWrap w:val="0"/>
                  <w:vAlign w:val="center"/>
                </w:tcPr>
                <w:p>
                  <w:pPr>
                    <w:adjustRightInd w:val="0"/>
                    <w:jc w:val="center"/>
                    <w:rPr>
                      <w:rFonts w:eastAsia="TimesNewRoman"/>
                      <w:color w:val="auto"/>
                      <w:sz w:val="21"/>
                      <w:szCs w:val="21"/>
                    </w:rPr>
                  </w:pPr>
                  <w:r>
                    <w:rPr>
                      <w:color w:val="auto"/>
                      <w:sz w:val="21"/>
                      <w:szCs w:val="21"/>
                    </w:rPr>
                    <w:t>一级</w:t>
                  </w:r>
                </w:p>
              </w:tc>
              <w:tc>
                <w:tcPr>
                  <w:tcW w:w="780" w:type="dxa"/>
                  <w:noWrap w:val="0"/>
                  <w:vAlign w:val="center"/>
                </w:tcPr>
                <w:p>
                  <w:pPr>
                    <w:jc w:val="center"/>
                    <w:rPr>
                      <w:rFonts w:eastAsia="TimesNewRoman"/>
                      <w:bCs/>
                      <w:color w:val="auto"/>
                      <w:sz w:val="21"/>
                      <w:szCs w:val="21"/>
                    </w:rPr>
                  </w:pPr>
                  <w:r>
                    <w:rPr>
                      <w:color w:val="auto"/>
                      <w:sz w:val="21"/>
                      <w:szCs w:val="21"/>
                    </w:rPr>
                    <w:t>二级</w:t>
                  </w:r>
                </w:p>
              </w:tc>
              <w:tc>
                <w:tcPr>
                  <w:tcW w:w="750" w:type="dxa"/>
                  <w:noWrap w:val="0"/>
                  <w:vAlign w:val="center"/>
                </w:tcPr>
                <w:p>
                  <w:pPr>
                    <w:jc w:val="center"/>
                    <w:rPr>
                      <w:rFonts w:eastAsia="TimesNewRoman"/>
                      <w:bCs/>
                      <w:color w:val="auto"/>
                      <w:sz w:val="21"/>
                      <w:szCs w:val="21"/>
                    </w:rPr>
                  </w:pPr>
                  <w:r>
                    <w:rPr>
                      <w:color w:val="auto"/>
                      <w:sz w:val="21"/>
                      <w:szCs w:val="21"/>
                    </w:rPr>
                    <w:t>二级</w:t>
                  </w:r>
                </w:p>
              </w:tc>
              <w:tc>
                <w:tcPr>
                  <w:tcW w:w="675" w:type="dxa"/>
                  <w:noWrap w:val="0"/>
                  <w:vAlign w:val="center"/>
                </w:tcPr>
                <w:p>
                  <w:pPr>
                    <w:jc w:val="center"/>
                    <w:rPr>
                      <w:rFonts w:eastAsia="TimesNewRoman"/>
                      <w:bCs/>
                      <w:color w:val="auto"/>
                      <w:sz w:val="21"/>
                      <w:szCs w:val="21"/>
                    </w:rPr>
                  </w:pPr>
                  <w:r>
                    <w:rPr>
                      <w:color w:val="auto"/>
                      <w:sz w:val="21"/>
                      <w:szCs w:val="21"/>
                    </w:rPr>
                    <w:t>二级</w:t>
                  </w:r>
                </w:p>
              </w:tc>
              <w:tc>
                <w:tcPr>
                  <w:tcW w:w="712" w:type="dxa"/>
                  <w:noWrap w:val="0"/>
                  <w:vAlign w:val="center"/>
                </w:tcPr>
                <w:p>
                  <w:pPr>
                    <w:adjustRightInd w:val="0"/>
                    <w:jc w:val="center"/>
                    <w:rPr>
                      <w:rFonts w:eastAsia="TimesNewRoman"/>
                      <w:color w:val="auto"/>
                      <w:sz w:val="21"/>
                      <w:szCs w:val="21"/>
                    </w:rPr>
                  </w:pPr>
                  <w:r>
                    <w:rPr>
                      <w:color w:val="auto"/>
                      <w:sz w:val="21"/>
                      <w:szCs w:val="21"/>
                    </w:rPr>
                    <w:t>三级</w:t>
                  </w:r>
                </w:p>
              </w:tc>
              <w:tc>
                <w:tcPr>
                  <w:tcW w:w="750" w:type="dxa"/>
                  <w:noWrap w:val="0"/>
                  <w:vAlign w:val="center"/>
                </w:tcPr>
                <w:p>
                  <w:pPr>
                    <w:adjustRightInd w:val="0"/>
                    <w:jc w:val="center"/>
                    <w:rPr>
                      <w:rFonts w:eastAsia="TimesNewRoman"/>
                      <w:color w:val="auto"/>
                      <w:sz w:val="21"/>
                      <w:szCs w:val="21"/>
                    </w:rPr>
                  </w:pPr>
                  <w:r>
                    <w:rPr>
                      <w:color w:val="auto"/>
                      <w:sz w:val="21"/>
                      <w:szCs w:val="21"/>
                    </w:rPr>
                    <w:t>三级</w:t>
                  </w:r>
                </w:p>
              </w:tc>
              <w:tc>
                <w:tcPr>
                  <w:tcW w:w="739" w:type="dxa"/>
                  <w:noWrap w:val="0"/>
                  <w:vAlign w:val="center"/>
                </w:tcPr>
                <w:p>
                  <w:pPr>
                    <w:adjustRightInd w:val="0"/>
                    <w:jc w:val="center"/>
                    <w:rPr>
                      <w:rFonts w:eastAsia="TimesNewRoman"/>
                      <w:color w:val="auto"/>
                      <w:sz w:val="21"/>
                      <w:szCs w:val="21"/>
                    </w:rPr>
                  </w:pPr>
                  <w:r>
                    <w:rPr>
                      <w:color w:val="auto"/>
                      <w:sz w:val="21"/>
                      <w:szCs w:val="21"/>
                    </w:rPr>
                    <w:t>三级</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303" w:type="dxa"/>
                  <w:noWrap w:val="0"/>
                  <w:vAlign w:val="center"/>
                </w:tcPr>
                <w:p>
                  <w:pPr>
                    <w:adjustRightInd w:val="0"/>
                    <w:jc w:val="center"/>
                    <w:rPr>
                      <w:color w:val="auto"/>
                      <w:sz w:val="21"/>
                      <w:szCs w:val="21"/>
                    </w:rPr>
                  </w:pPr>
                  <w:r>
                    <w:rPr>
                      <w:color w:val="auto"/>
                      <w:sz w:val="21"/>
                      <w:szCs w:val="21"/>
                    </w:rPr>
                    <w:t>较敏感</w:t>
                  </w:r>
                </w:p>
              </w:tc>
              <w:tc>
                <w:tcPr>
                  <w:tcW w:w="857" w:type="dxa"/>
                  <w:noWrap w:val="0"/>
                  <w:vAlign w:val="center"/>
                </w:tcPr>
                <w:p>
                  <w:pPr>
                    <w:adjustRightInd w:val="0"/>
                    <w:jc w:val="center"/>
                    <w:rPr>
                      <w:rFonts w:eastAsia="TimesNewRoman"/>
                      <w:color w:val="auto"/>
                      <w:sz w:val="21"/>
                      <w:szCs w:val="21"/>
                    </w:rPr>
                  </w:pPr>
                  <w:r>
                    <w:rPr>
                      <w:color w:val="auto"/>
                      <w:sz w:val="21"/>
                      <w:szCs w:val="21"/>
                    </w:rPr>
                    <w:t>一级</w:t>
                  </w:r>
                </w:p>
              </w:tc>
              <w:tc>
                <w:tcPr>
                  <w:tcW w:w="800" w:type="dxa"/>
                  <w:noWrap w:val="0"/>
                  <w:vAlign w:val="center"/>
                </w:tcPr>
                <w:p>
                  <w:pPr>
                    <w:adjustRightInd w:val="0"/>
                    <w:jc w:val="center"/>
                    <w:rPr>
                      <w:rFonts w:eastAsia="TimesNewRoman"/>
                      <w:color w:val="auto"/>
                      <w:sz w:val="21"/>
                      <w:szCs w:val="21"/>
                    </w:rPr>
                  </w:pPr>
                  <w:r>
                    <w:rPr>
                      <w:color w:val="auto"/>
                      <w:sz w:val="21"/>
                      <w:szCs w:val="21"/>
                    </w:rPr>
                    <w:t>一级</w:t>
                  </w:r>
                </w:p>
              </w:tc>
              <w:tc>
                <w:tcPr>
                  <w:tcW w:w="845" w:type="dxa"/>
                  <w:noWrap w:val="0"/>
                  <w:vAlign w:val="center"/>
                </w:tcPr>
                <w:p>
                  <w:pPr>
                    <w:adjustRightInd w:val="0"/>
                    <w:jc w:val="center"/>
                    <w:rPr>
                      <w:color w:val="auto"/>
                      <w:sz w:val="21"/>
                      <w:szCs w:val="21"/>
                    </w:rPr>
                  </w:pPr>
                  <w:r>
                    <w:rPr>
                      <w:color w:val="auto"/>
                      <w:sz w:val="21"/>
                      <w:szCs w:val="21"/>
                    </w:rPr>
                    <w:t>二级</w:t>
                  </w:r>
                </w:p>
              </w:tc>
              <w:tc>
                <w:tcPr>
                  <w:tcW w:w="780" w:type="dxa"/>
                  <w:noWrap w:val="0"/>
                  <w:vAlign w:val="center"/>
                </w:tcPr>
                <w:p>
                  <w:pPr>
                    <w:jc w:val="center"/>
                    <w:rPr>
                      <w:rFonts w:eastAsia="TimesNewRoman"/>
                      <w:bCs/>
                      <w:color w:val="auto"/>
                      <w:sz w:val="21"/>
                      <w:szCs w:val="21"/>
                    </w:rPr>
                  </w:pPr>
                  <w:r>
                    <w:rPr>
                      <w:color w:val="auto"/>
                      <w:sz w:val="21"/>
                      <w:szCs w:val="21"/>
                    </w:rPr>
                    <w:t>二级</w:t>
                  </w:r>
                </w:p>
              </w:tc>
              <w:tc>
                <w:tcPr>
                  <w:tcW w:w="750" w:type="dxa"/>
                  <w:noWrap w:val="0"/>
                  <w:vAlign w:val="center"/>
                </w:tcPr>
                <w:p>
                  <w:pPr>
                    <w:jc w:val="center"/>
                    <w:rPr>
                      <w:rFonts w:eastAsia="TimesNewRoman"/>
                      <w:bCs/>
                      <w:color w:val="auto"/>
                      <w:sz w:val="21"/>
                      <w:szCs w:val="21"/>
                    </w:rPr>
                  </w:pPr>
                  <w:r>
                    <w:rPr>
                      <w:color w:val="auto"/>
                      <w:sz w:val="21"/>
                      <w:szCs w:val="21"/>
                    </w:rPr>
                    <w:t>二级</w:t>
                  </w:r>
                </w:p>
              </w:tc>
              <w:tc>
                <w:tcPr>
                  <w:tcW w:w="675" w:type="dxa"/>
                  <w:noWrap w:val="0"/>
                  <w:vAlign w:val="center"/>
                </w:tcPr>
                <w:p>
                  <w:pPr>
                    <w:jc w:val="center"/>
                    <w:rPr>
                      <w:rFonts w:eastAsia="TimesNewRoman"/>
                      <w:bCs/>
                      <w:color w:val="auto"/>
                      <w:sz w:val="21"/>
                      <w:szCs w:val="21"/>
                    </w:rPr>
                  </w:pPr>
                  <w:r>
                    <w:rPr>
                      <w:color w:val="auto"/>
                      <w:sz w:val="21"/>
                      <w:szCs w:val="21"/>
                    </w:rPr>
                    <w:t>三级</w:t>
                  </w:r>
                </w:p>
              </w:tc>
              <w:tc>
                <w:tcPr>
                  <w:tcW w:w="712" w:type="dxa"/>
                  <w:noWrap w:val="0"/>
                  <w:vAlign w:val="center"/>
                </w:tcPr>
                <w:p>
                  <w:pPr>
                    <w:adjustRightInd w:val="0"/>
                    <w:jc w:val="center"/>
                    <w:rPr>
                      <w:rFonts w:eastAsia="TimesNewRoman"/>
                      <w:color w:val="auto"/>
                      <w:sz w:val="21"/>
                      <w:szCs w:val="21"/>
                    </w:rPr>
                  </w:pPr>
                  <w:r>
                    <w:rPr>
                      <w:color w:val="auto"/>
                      <w:sz w:val="21"/>
                      <w:szCs w:val="21"/>
                    </w:rPr>
                    <w:t>三级</w:t>
                  </w:r>
                </w:p>
              </w:tc>
              <w:tc>
                <w:tcPr>
                  <w:tcW w:w="750" w:type="dxa"/>
                  <w:noWrap w:val="0"/>
                  <w:vAlign w:val="center"/>
                </w:tcPr>
                <w:p>
                  <w:pPr>
                    <w:adjustRightInd w:val="0"/>
                    <w:jc w:val="center"/>
                    <w:rPr>
                      <w:rFonts w:eastAsia="TimesNewRoman"/>
                      <w:color w:val="auto"/>
                      <w:sz w:val="21"/>
                      <w:szCs w:val="21"/>
                    </w:rPr>
                  </w:pPr>
                  <w:r>
                    <w:rPr>
                      <w:color w:val="auto"/>
                      <w:sz w:val="21"/>
                      <w:szCs w:val="21"/>
                    </w:rPr>
                    <w:t>三级</w:t>
                  </w:r>
                </w:p>
              </w:tc>
              <w:tc>
                <w:tcPr>
                  <w:tcW w:w="739" w:type="dxa"/>
                  <w:noWrap w:val="0"/>
                  <w:vAlign w:val="center"/>
                </w:tcPr>
                <w:p>
                  <w:pPr>
                    <w:adjustRightInd w:val="0"/>
                    <w:jc w:val="center"/>
                    <w:rPr>
                      <w:color w:val="auto"/>
                      <w:sz w:val="21"/>
                      <w:szCs w:val="21"/>
                    </w:rPr>
                  </w:pPr>
                  <w:r>
                    <w:rPr>
                      <w:color w:val="auto"/>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3" w:type="dxa"/>
                  <w:noWrap w:val="0"/>
                  <w:vAlign w:val="center"/>
                </w:tcPr>
                <w:p>
                  <w:pPr>
                    <w:adjustRightInd w:val="0"/>
                    <w:jc w:val="center"/>
                    <w:rPr>
                      <w:color w:val="auto"/>
                      <w:sz w:val="21"/>
                      <w:szCs w:val="21"/>
                    </w:rPr>
                  </w:pPr>
                  <w:r>
                    <w:rPr>
                      <w:b/>
                      <w:bCs/>
                      <w:color w:val="auto"/>
                      <w:sz w:val="21"/>
                      <w:szCs w:val="21"/>
                    </w:rPr>
                    <w:t>不敏感</w:t>
                  </w:r>
                </w:p>
              </w:tc>
              <w:tc>
                <w:tcPr>
                  <w:tcW w:w="857" w:type="dxa"/>
                  <w:noWrap w:val="0"/>
                  <w:vAlign w:val="center"/>
                </w:tcPr>
                <w:p>
                  <w:pPr>
                    <w:adjustRightInd w:val="0"/>
                    <w:jc w:val="center"/>
                    <w:rPr>
                      <w:color w:val="auto"/>
                      <w:sz w:val="21"/>
                      <w:szCs w:val="21"/>
                    </w:rPr>
                  </w:pPr>
                  <w:r>
                    <w:rPr>
                      <w:color w:val="auto"/>
                      <w:sz w:val="21"/>
                      <w:szCs w:val="21"/>
                    </w:rPr>
                    <w:t>一级</w:t>
                  </w:r>
                </w:p>
              </w:tc>
              <w:tc>
                <w:tcPr>
                  <w:tcW w:w="800" w:type="dxa"/>
                  <w:noWrap w:val="0"/>
                  <w:vAlign w:val="center"/>
                </w:tcPr>
                <w:p>
                  <w:pPr>
                    <w:adjustRightInd w:val="0"/>
                    <w:jc w:val="center"/>
                    <w:rPr>
                      <w:color w:val="auto"/>
                      <w:sz w:val="21"/>
                      <w:szCs w:val="21"/>
                    </w:rPr>
                  </w:pPr>
                  <w:r>
                    <w:rPr>
                      <w:color w:val="auto"/>
                      <w:sz w:val="21"/>
                      <w:szCs w:val="21"/>
                    </w:rPr>
                    <w:t>二级</w:t>
                  </w:r>
                </w:p>
              </w:tc>
              <w:tc>
                <w:tcPr>
                  <w:tcW w:w="845" w:type="dxa"/>
                  <w:noWrap w:val="0"/>
                  <w:vAlign w:val="center"/>
                </w:tcPr>
                <w:p>
                  <w:pPr>
                    <w:adjustRightInd w:val="0"/>
                    <w:jc w:val="center"/>
                    <w:rPr>
                      <w:color w:val="auto"/>
                      <w:sz w:val="21"/>
                      <w:szCs w:val="21"/>
                    </w:rPr>
                  </w:pPr>
                  <w:r>
                    <w:rPr>
                      <w:color w:val="auto"/>
                      <w:sz w:val="21"/>
                      <w:szCs w:val="21"/>
                    </w:rPr>
                    <w:t>二级</w:t>
                  </w:r>
                </w:p>
              </w:tc>
              <w:tc>
                <w:tcPr>
                  <w:tcW w:w="780" w:type="dxa"/>
                  <w:noWrap w:val="0"/>
                  <w:vAlign w:val="center"/>
                </w:tcPr>
                <w:p>
                  <w:pPr>
                    <w:adjustRightInd w:val="0"/>
                    <w:jc w:val="center"/>
                    <w:rPr>
                      <w:color w:val="auto"/>
                      <w:sz w:val="21"/>
                      <w:szCs w:val="21"/>
                    </w:rPr>
                  </w:pPr>
                  <w:r>
                    <w:rPr>
                      <w:color w:val="auto"/>
                      <w:sz w:val="21"/>
                      <w:szCs w:val="21"/>
                    </w:rPr>
                    <w:t>二级</w:t>
                  </w:r>
                </w:p>
              </w:tc>
              <w:tc>
                <w:tcPr>
                  <w:tcW w:w="750" w:type="dxa"/>
                  <w:noWrap w:val="0"/>
                  <w:vAlign w:val="center"/>
                </w:tcPr>
                <w:p>
                  <w:pPr>
                    <w:adjustRightInd w:val="0"/>
                    <w:jc w:val="center"/>
                    <w:rPr>
                      <w:color w:val="auto"/>
                      <w:sz w:val="21"/>
                      <w:szCs w:val="21"/>
                    </w:rPr>
                  </w:pPr>
                  <w:r>
                    <w:rPr>
                      <w:color w:val="auto"/>
                      <w:sz w:val="21"/>
                      <w:szCs w:val="21"/>
                    </w:rPr>
                    <w:t>三级</w:t>
                  </w:r>
                </w:p>
              </w:tc>
              <w:tc>
                <w:tcPr>
                  <w:tcW w:w="675" w:type="dxa"/>
                  <w:noWrap w:val="0"/>
                  <w:vAlign w:val="center"/>
                </w:tcPr>
                <w:p>
                  <w:pPr>
                    <w:adjustRightInd w:val="0"/>
                    <w:jc w:val="center"/>
                    <w:rPr>
                      <w:rFonts w:eastAsia="TimesNewRoman"/>
                      <w:color w:val="auto"/>
                      <w:sz w:val="21"/>
                      <w:szCs w:val="21"/>
                    </w:rPr>
                  </w:pPr>
                  <w:r>
                    <w:rPr>
                      <w:color w:val="auto"/>
                      <w:sz w:val="21"/>
                      <w:szCs w:val="21"/>
                    </w:rPr>
                    <w:t>三级</w:t>
                  </w:r>
                </w:p>
              </w:tc>
              <w:tc>
                <w:tcPr>
                  <w:tcW w:w="712" w:type="dxa"/>
                  <w:noWrap w:val="0"/>
                  <w:vAlign w:val="center"/>
                </w:tcPr>
                <w:p>
                  <w:pPr>
                    <w:adjustRightInd w:val="0"/>
                    <w:jc w:val="center"/>
                    <w:rPr>
                      <w:color w:val="auto"/>
                      <w:sz w:val="21"/>
                      <w:szCs w:val="21"/>
                    </w:rPr>
                  </w:pPr>
                  <w:r>
                    <w:rPr>
                      <w:color w:val="auto"/>
                      <w:sz w:val="21"/>
                      <w:szCs w:val="21"/>
                    </w:rPr>
                    <w:t>三级</w:t>
                  </w:r>
                </w:p>
              </w:tc>
              <w:tc>
                <w:tcPr>
                  <w:tcW w:w="750" w:type="dxa"/>
                  <w:noWrap w:val="0"/>
                  <w:vAlign w:val="center"/>
                </w:tcPr>
                <w:p>
                  <w:pPr>
                    <w:adjustRightInd w:val="0"/>
                    <w:jc w:val="center"/>
                    <w:rPr>
                      <w:color w:val="auto"/>
                      <w:sz w:val="21"/>
                      <w:szCs w:val="21"/>
                    </w:rPr>
                  </w:pPr>
                  <w:r>
                    <w:rPr>
                      <w:color w:val="auto"/>
                      <w:sz w:val="21"/>
                      <w:szCs w:val="21"/>
                    </w:rPr>
                    <w:t>-</w:t>
                  </w:r>
                </w:p>
              </w:tc>
              <w:tc>
                <w:tcPr>
                  <w:tcW w:w="739" w:type="dxa"/>
                  <w:noWrap w:val="0"/>
                  <w:vAlign w:val="center"/>
                </w:tcPr>
                <w:p>
                  <w:pPr>
                    <w:adjustRightInd w:val="0"/>
                    <w:jc w:val="center"/>
                    <w:rPr>
                      <w:color w:val="auto"/>
                      <w:sz w:val="21"/>
                      <w:szCs w:val="21"/>
                    </w:rPr>
                  </w:pPr>
                  <w:r>
                    <w:rPr>
                      <w:b/>
                      <w:bCs/>
                      <w:color w:val="auto"/>
                      <w:sz w:val="21"/>
                      <w:szCs w:val="21"/>
                    </w:rPr>
                    <w:t>-</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11" w:type="dxa"/>
                  <w:gridSpan w:val="10"/>
                  <w:noWrap w:val="0"/>
                  <w:vAlign w:val="center"/>
                </w:tcPr>
                <w:p>
                  <w:pPr>
                    <w:adjustRightInd w:val="0"/>
                    <w:ind w:firstLine="420" w:firstLineChars="200"/>
                    <w:rPr>
                      <w:color w:val="auto"/>
                      <w:sz w:val="21"/>
                      <w:szCs w:val="21"/>
                    </w:rPr>
                  </w:pPr>
                  <w:r>
                    <w:rPr>
                      <w:color w:val="auto"/>
                      <w:sz w:val="21"/>
                      <w:szCs w:val="21"/>
                    </w:rPr>
                    <w:t>注：“-”表示可不开展环境影响评价工作。</w:t>
                  </w:r>
                </w:p>
              </w:tc>
            </w:tr>
          </w:tbl>
          <w:p>
            <w:pPr>
              <w:adjustRightInd w:val="0"/>
              <w:snapToGrid w:val="0"/>
              <w:spacing w:line="360" w:lineRule="auto"/>
              <w:ind w:firstLine="482" w:firstLineChars="200"/>
              <w:rPr>
                <w:b/>
                <w:color w:val="auto"/>
              </w:rPr>
            </w:pPr>
            <w:r>
              <w:rPr>
                <w:b/>
                <w:color w:val="auto"/>
              </w:rPr>
              <w:t>综上，本项目属于Ⅲ类项目、占地为420m</w:t>
            </w:r>
            <w:r>
              <w:rPr>
                <w:b/>
                <w:color w:val="auto"/>
                <w:vertAlign w:val="superscript"/>
              </w:rPr>
              <w:t>2</w:t>
            </w:r>
            <w:r>
              <w:rPr>
                <w:b/>
                <w:color w:val="auto"/>
              </w:rPr>
              <w:t>，为小型项目、项目占地范围内土壤环境为不敏感。根据表7-31可知，本项目评价工作等级为“-”，可不开展土壤环境影响评价工作。</w:t>
            </w:r>
          </w:p>
          <w:p>
            <w:pPr>
              <w:pStyle w:val="72"/>
              <w:snapToGrid w:val="0"/>
              <w:spacing w:line="360" w:lineRule="auto"/>
              <w:ind w:firstLine="480" w:firstLineChars="200"/>
              <w:jc w:val="both"/>
              <w:rPr>
                <w:rFonts w:ascii="Times New Roman" w:eastAsia="黑体" w:cs="Times New Roman"/>
                <w:bCs/>
                <w:color w:val="auto"/>
              </w:rPr>
            </w:pPr>
            <w:r>
              <w:rPr>
                <w:rFonts w:ascii="Times New Roman" w:eastAsia="黑体" w:cs="Times New Roman"/>
                <w:bCs/>
                <w:color w:val="auto"/>
              </w:rPr>
              <w:t>（2）土壤污染防治措施</w:t>
            </w:r>
          </w:p>
          <w:p>
            <w:pPr>
              <w:spacing w:line="360" w:lineRule="auto"/>
              <w:ind w:firstLine="480" w:firstLineChars="200"/>
              <w:rPr>
                <w:color w:val="auto"/>
              </w:rPr>
            </w:pPr>
            <w:r>
              <w:rPr>
                <w:color w:val="auto"/>
              </w:rPr>
              <w:t>本次评价拟对项目所在地土壤防治措施提出相应要求，具体要求如下：</w:t>
            </w:r>
          </w:p>
          <w:p>
            <w:pPr>
              <w:spacing w:line="360" w:lineRule="auto"/>
              <w:ind w:firstLine="480" w:firstLineChars="200"/>
              <w:rPr>
                <w:color w:val="auto"/>
              </w:rPr>
            </w:pPr>
            <w:r>
              <w:rPr>
                <w:color w:val="auto"/>
              </w:rPr>
              <w:t>1）污水站在运营中应加强污水管道及各类池体的维修管理，避免污水入渗土壤，导致土壤污染。</w:t>
            </w:r>
          </w:p>
          <w:p>
            <w:pPr>
              <w:adjustRightInd w:val="0"/>
              <w:snapToGrid w:val="0"/>
              <w:spacing w:line="360" w:lineRule="auto"/>
              <w:ind w:firstLine="480" w:firstLineChars="200"/>
              <w:rPr>
                <w:color w:val="auto"/>
              </w:rPr>
            </w:pPr>
            <w:r>
              <w:rPr>
                <w:color w:val="auto"/>
              </w:rPr>
              <w:t>2）项目内采取一定的绿化措施；同时加强营运期场区内各类管道、池体的检查及维修管理。</w:t>
            </w:r>
          </w:p>
          <w:p>
            <w:pPr>
              <w:pStyle w:val="72"/>
              <w:snapToGrid w:val="0"/>
              <w:spacing w:line="360" w:lineRule="auto"/>
              <w:ind w:firstLine="480" w:firstLineChars="200"/>
              <w:jc w:val="both"/>
              <w:rPr>
                <w:rFonts w:ascii="Times New Roman" w:eastAsia="黑体" w:cs="Times New Roman"/>
                <w:bCs/>
                <w:color w:val="auto"/>
              </w:rPr>
            </w:pPr>
            <w:r>
              <w:rPr>
                <w:rFonts w:ascii="Times New Roman" w:eastAsia="黑体" w:cs="Times New Roman"/>
                <w:bCs/>
                <w:color w:val="auto"/>
              </w:rPr>
              <w:t>（3）土壤环境影响评价结论</w:t>
            </w:r>
          </w:p>
          <w:p>
            <w:pPr>
              <w:adjustRightInd w:val="0"/>
              <w:snapToGrid w:val="0"/>
              <w:spacing w:line="360" w:lineRule="auto"/>
              <w:ind w:firstLine="480" w:firstLineChars="200"/>
              <w:jc w:val="left"/>
              <w:rPr>
                <w:b/>
                <w:bCs/>
                <w:color w:val="auto"/>
              </w:rPr>
            </w:pPr>
            <w:r>
              <w:rPr>
                <w:color w:val="auto"/>
              </w:rPr>
              <w:t>本</w:t>
            </w:r>
            <w:r>
              <w:rPr>
                <w:color w:val="auto"/>
                <w:kern w:val="0"/>
              </w:rPr>
              <w:t>项目污水经污水处理站处理后pH、</w:t>
            </w:r>
            <w:r>
              <w:rPr>
                <w:color w:val="auto"/>
              </w:rPr>
              <w:t>COD、BOD</w:t>
            </w:r>
            <w:r>
              <w:rPr>
                <w:color w:val="auto"/>
                <w:vertAlign w:val="subscript"/>
              </w:rPr>
              <w:t>5</w:t>
            </w:r>
            <w:r>
              <w:rPr>
                <w:color w:val="auto"/>
              </w:rPr>
              <w:t>、NH</w:t>
            </w:r>
            <w:r>
              <w:rPr>
                <w:color w:val="auto"/>
                <w:vertAlign w:val="subscript"/>
              </w:rPr>
              <w:t>3</w:t>
            </w:r>
            <w:r>
              <w:rPr>
                <w:color w:val="auto"/>
              </w:rPr>
              <w:t>-N、SS均能达《农村生活污水处理设施水污染物排放标准》（DB51/ 2626-2019）一级标准后，达标排放。</w:t>
            </w:r>
            <w:r>
              <w:rPr>
                <w:color w:val="auto"/>
                <w:kern w:val="0"/>
              </w:rPr>
              <w:t>项目对污水处理站区域实行分区防渗管控，从源头和过程控制减轻项目运营对土壤可能造成的影响。本项目建设对土壤环境影响较小，只要认真落实前述土壤污染防控措施，加强运营期土壤污染管控，项目建设从环境保护角度考虑可行。</w:t>
            </w:r>
          </w:p>
          <w:p>
            <w:pPr>
              <w:adjustRightInd w:val="0"/>
              <w:snapToGrid w:val="0"/>
              <w:spacing w:line="360" w:lineRule="auto"/>
              <w:ind w:firstLine="482" w:firstLineChars="200"/>
              <w:rPr>
                <w:b/>
                <w:bCs/>
                <w:color w:val="auto"/>
              </w:rPr>
            </w:pPr>
            <w:r>
              <w:rPr>
                <w:b/>
                <w:bCs/>
                <w:color w:val="auto"/>
              </w:rPr>
              <w:t>2.7生态环境影响分析</w:t>
            </w:r>
          </w:p>
          <w:p>
            <w:pPr>
              <w:adjustRightInd w:val="0"/>
              <w:snapToGrid w:val="0"/>
              <w:spacing w:line="360" w:lineRule="auto"/>
              <w:ind w:firstLine="480" w:firstLineChars="200"/>
              <w:rPr>
                <w:color w:val="auto"/>
              </w:rPr>
            </w:pPr>
            <w:r>
              <w:rPr>
                <w:color w:val="auto"/>
              </w:rPr>
              <w:t>①对地表水生态环境影响分析</w:t>
            </w:r>
          </w:p>
          <w:p>
            <w:pPr>
              <w:adjustRightInd w:val="0"/>
              <w:snapToGrid w:val="0"/>
              <w:spacing w:line="360" w:lineRule="auto"/>
              <w:ind w:firstLine="480" w:firstLineChars="200"/>
              <w:rPr>
                <w:color w:val="auto"/>
              </w:rPr>
            </w:pPr>
            <w:r>
              <w:rPr>
                <w:color w:val="auto"/>
              </w:rPr>
              <w:t>本项目已建成，对本区域生态环境尤其是水生态环境的改善产生有利的影响。本工程建成后，随着水体中COD、氨氮等污染物的大量削减，水质污染将会得到有效控制，水体中水生生物的种类和数量将会明显增加，对保护本地区的生物多样性，恢复水体生态平衡起到十分积极的作用。</w:t>
            </w:r>
          </w:p>
          <w:p>
            <w:pPr>
              <w:adjustRightInd w:val="0"/>
              <w:snapToGrid w:val="0"/>
              <w:spacing w:line="360" w:lineRule="auto"/>
              <w:ind w:firstLine="480" w:firstLineChars="200"/>
              <w:rPr>
                <w:color w:val="auto"/>
              </w:rPr>
            </w:pPr>
            <w:r>
              <w:rPr>
                <w:color w:val="auto"/>
              </w:rPr>
              <w:t>②对项目所在地生态环境影响分析</w:t>
            </w:r>
          </w:p>
          <w:p>
            <w:pPr>
              <w:adjustRightInd w:val="0"/>
              <w:snapToGrid w:val="0"/>
              <w:spacing w:line="360" w:lineRule="auto"/>
              <w:ind w:firstLine="480" w:firstLineChars="200"/>
              <w:rPr>
                <w:color w:val="auto"/>
              </w:rPr>
            </w:pPr>
            <w:r>
              <w:rPr>
                <w:color w:val="auto"/>
              </w:rPr>
              <w:t>工程运行后有利于改善下游水体的环境质量，减小周边地区居民的发病率，提高居民的健康水平；工程的建设使区内居民生活环境得到大幅度改观，对改变桐花村外形象将起到积极作用，有利于社会安定，人民安居乐业，社会稳定发展，为桐花村居民及沿线流域的居民提供一个良好的生活环境、工作环境和生态环境，具有显著的社会效益。</w:t>
            </w:r>
          </w:p>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三、环境正效应分析</w:t>
            </w:r>
          </w:p>
          <w:p>
            <w:pPr>
              <w:adjustRightInd w:val="0"/>
              <w:snapToGrid w:val="0"/>
              <w:spacing w:line="360" w:lineRule="auto"/>
              <w:ind w:firstLine="480" w:firstLineChars="200"/>
              <w:rPr>
                <w:color w:val="auto"/>
              </w:rPr>
            </w:pPr>
            <w:r>
              <w:rPr>
                <w:color w:val="auto"/>
              </w:rPr>
              <w:t>本项目为宜坪乡桐花村污水治理项目，具有显著的环境效益和社会效益，是改善环境、控制污染、提高城镇居民生活质量、促进生态环境良性循环、经济持续发展的重要措施。</w:t>
            </w:r>
          </w:p>
          <w:p>
            <w:pPr>
              <w:adjustRightInd w:val="0"/>
              <w:snapToGrid w:val="0"/>
              <w:spacing w:line="360" w:lineRule="auto"/>
              <w:ind w:firstLine="480" w:firstLineChars="200"/>
              <w:rPr>
                <w:rFonts w:eastAsia="黑体"/>
                <w:bCs/>
                <w:color w:val="auto"/>
                <w:sz w:val="28"/>
                <w:szCs w:val="28"/>
              </w:rPr>
            </w:pPr>
            <w:r>
              <w:rPr>
                <w:color w:val="auto"/>
              </w:rPr>
              <w:t>桐花村污水处理设施及配套管网工程的建设，使桐花村污水收集系统进一步完善，改善了农村公共卫生条件，有利于居民身心健康，增强了农村基础建设，为建设清洁卫生、环境优美的农村风貌打下了良好基础。污水治理工程实施后，农村的生活污水不再直接排入水体，周围的水环境将得到改善。项目的实施，使得每年进入周围水环境的各种污染物将分别减少：CODcr5.256t；BOD</w:t>
            </w:r>
            <w:r>
              <w:rPr>
                <w:color w:val="auto"/>
                <w:vertAlign w:val="subscript"/>
              </w:rPr>
              <w:t>5</w:t>
            </w:r>
            <w:r>
              <w:rPr>
                <w:color w:val="auto"/>
              </w:rPr>
              <w:t>30.66t；SS2.847t；NH</w:t>
            </w:r>
            <w:r>
              <w:rPr>
                <w:color w:val="auto"/>
                <w:vertAlign w:val="subscript"/>
              </w:rPr>
              <w:t>3</w:t>
            </w:r>
            <w:r>
              <w:rPr>
                <w:color w:val="auto"/>
              </w:rPr>
              <w:t>-N0.2628t；TP0.05475t；TN0.219t，减轻了污水对周围水环境的污染，对河流水环境将起到明显的改善作用，河流沿岸农作物质量将得到提高。项目的建设使该地区形成一个完整、系统的农村基础设施网络，大力改善了桐花村周围环境卫生，优化自然生态格局，保证集镇景观的丰富和延续，创造优美的、空气清新的集镇，保证最理想的环境效益，有利于本地区的可持续发展，对环境有着正面的影响效益。</w:t>
            </w:r>
          </w:p>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四、环境风险评价</w:t>
            </w:r>
          </w:p>
          <w:p>
            <w:pPr>
              <w:autoSpaceDE w:val="0"/>
              <w:autoSpaceDN w:val="0"/>
              <w:adjustRightInd w:val="0"/>
              <w:snapToGrid w:val="0"/>
              <w:spacing w:line="360" w:lineRule="auto"/>
              <w:ind w:firstLine="480" w:firstLineChars="200"/>
              <w:rPr>
                <w:color w:val="auto"/>
                <w:kern w:val="0"/>
              </w:rPr>
            </w:pPr>
            <w:r>
              <w:rPr>
                <w:color w:val="auto"/>
                <w:kern w:val="0"/>
              </w:rPr>
              <w:t>环境风险评价的目的是分析和预测建设项目存在的潜在危险，建设项目建设和运行期间发生的突发性事件，有毒有害和易燃易爆等物质的泄漏，所造成的人身安全与环境影响，提出合理可行的防范、应急措施，以使事故率、损失达到可接受水平。</w:t>
            </w:r>
          </w:p>
          <w:p>
            <w:pPr>
              <w:autoSpaceDE w:val="0"/>
              <w:autoSpaceDN w:val="0"/>
              <w:adjustRightInd w:val="0"/>
              <w:snapToGrid w:val="0"/>
              <w:spacing w:line="360" w:lineRule="auto"/>
              <w:ind w:firstLine="480" w:firstLineChars="200"/>
              <w:rPr>
                <w:color w:val="auto"/>
                <w:kern w:val="0"/>
              </w:rPr>
            </w:pPr>
            <w:r>
              <w:rPr>
                <w:color w:val="auto"/>
                <w:kern w:val="0"/>
              </w:rPr>
              <w:t>环境风险评价应把事故引起厂(场)界外人群的伤害、环境质量的恶化及对生态系统影响的预测和防护作为评价工作重点。本章主要通过对主要风险源识别，分析可能造成的影响程度，提出应急与缓解措施，使项目的风险事故影响达到可接受水平。</w:t>
            </w:r>
          </w:p>
          <w:p>
            <w:pPr>
              <w:adjustRightInd w:val="0"/>
              <w:snapToGrid w:val="0"/>
              <w:spacing w:line="360" w:lineRule="auto"/>
              <w:ind w:firstLine="482" w:firstLineChars="200"/>
              <w:rPr>
                <w:b/>
                <w:bCs/>
                <w:color w:val="auto"/>
              </w:rPr>
            </w:pPr>
            <w:r>
              <w:rPr>
                <w:b/>
                <w:bCs/>
                <w:color w:val="auto"/>
              </w:rPr>
              <w:t>4.1风险调查</w:t>
            </w:r>
          </w:p>
          <w:p>
            <w:pPr>
              <w:adjustRightInd w:val="0"/>
              <w:snapToGrid w:val="0"/>
              <w:spacing w:line="360" w:lineRule="auto"/>
              <w:ind w:firstLine="482" w:firstLineChars="200"/>
              <w:rPr>
                <w:b/>
                <w:bCs/>
                <w:color w:val="auto"/>
              </w:rPr>
            </w:pPr>
            <w:r>
              <w:rPr>
                <w:b/>
                <w:bCs/>
                <w:color w:val="auto"/>
              </w:rPr>
              <w:t>（1）管道泄漏、爆裂风险</w:t>
            </w:r>
          </w:p>
          <w:p>
            <w:pPr>
              <w:adjustRightInd w:val="0"/>
              <w:snapToGrid w:val="0"/>
              <w:spacing w:line="360" w:lineRule="auto"/>
              <w:ind w:firstLine="480" w:firstLineChars="200"/>
              <w:rPr>
                <w:color w:val="auto"/>
              </w:rPr>
            </w:pPr>
            <w:r>
              <w:rPr>
                <w:color w:val="auto"/>
              </w:rPr>
              <w:t>本工程中管网启用后，在正常运行的情况下，不会对环境造成不良影响，但是管线处于非正常状态下（即事故状态），将对外环境尤其是地下水环境、地表水环境乃至环境空气产生一定影响，非正常运行状态主要是指可能发生的管线破裂、断裂以及堵塞等。原因主要有两个方面，一是自然因素，即地震、气候变化等；二是人为因素，即选材、施工、防腐、检修、操作以及管沟的回填土没有按规范要求进行以及后续建设项目施工损坏管道等。</w:t>
            </w:r>
          </w:p>
          <w:p>
            <w:pPr>
              <w:adjustRightInd w:val="0"/>
              <w:snapToGrid w:val="0"/>
              <w:spacing w:line="360" w:lineRule="auto"/>
              <w:ind w:firstLine="482" w:firstLineChars="200"/>
              <w:rPr>
                <w:b/>
                <w:bCs/>
                <w:color w:val="auto"/>
              </w:rPr>
            </w:pPr>
            <w:r>
              <w:rPr>
                <w:b/>
                <w:bCs/>
                <w:color w:val="auto"/>
              </w:rPr>
              <w:t>（2）污水处理站风险</w:t>
            </w:r>
          </w:p>
          <w:p>
            <w:pPr>
              <w:adjustRightInd w:val="0"/>
              <w:snapToGrid w:val="0"/>
              <w:spacing w:line="360" w:lineRule="auto"/>
              <w:ind w:firstLine="480" w:firstLineChars="200"/>
              <w:rPr>
                <w:color w:val="auto"/>
              </w:rPr>
            </w:pPr>
            <w:r>
              <w:rPr>
                <w:color w:val="auto"/>
              </w:rPr>
              <w:t>通过对污水处理站所选用的工艺及整个污水处理站所建设施的分析，风险污染事故的类型主要反映在污水处理站非正常运行状况可能发生的原污水排放、中毒及恶臭物质排放引起的环境问题。风险污染事故发生的主要环节有以下几方面：</w:t>
            </w:r>
          </w:p>
          <w:p>
            <w:pPr>
              <w:adjustRightInd w:val="0"/>
              <w:snapToGrid w:val="0"/>
              <w:spacing w:line="360" w:lineRule="auto"/>
              <w:ind w:firstLine="480" w:firstLineChars="200"/>
              <w:rPr>
                <w:color w:val="auto"/>
              </w:rPr>
            </w:pPr>
            <w:r>
              <w:rPr>
                <w:color w:val="auto"/>
              </w:rPr>
              <w:t>①进水水质变化引发的事故</w:t>
            </w:r>
          </w:p>
          <w:p>
            <w:pPr>
              <w:adjustRightInd w:val="0"/>
              <w:snapToGrid w:val="0"/>
              <w:spacing w:line="360" w:lineRule="auto"/>
              <w:ind w:firstLine="480" w:firstLineChars="200"/>
              <w:rPr>
                <w:color w:val="auto"/>
              </w:rPr>
            </w:pPr>
            <w:r>
              <w:rPr>
                <w:color w:val="auto"/>
              </w:rPr>
              <w:t>本项目仅处理桐花村居民生活污水，因此项目进水水质变化可能性较小。一般地震不会对工程造成破坏，从而对环境造成不良影响的可能性较小。为了防止季节性生活污水对污水处理站进水水质造成冲击，环评要求污水处理站对进水水质进行监测，一旦发现进水水质异常，立即排查事故源头，并启动应急预案，保证污水处理站的正常运行。</w:t>
            </w:r>
          </w:p>
          <w:p>
            <w:pPr>
              <w:adjustRightInd w:val="0"/>
              <w:snapToGrid w:val="0"/>
              <w:spacing w:line="360" w:lineRule="auto"/>
              <w:ind w:firstLine="480" w:firstLineChars="200"/>
              <w:rPr>
                <w:color w:val="auto"/>
              </w:rPr>
            </w:pPr>
            <w:r>
              <w:rPr>
                <w:color w:val="auto"/>
              </w:rPr>
              <w:t>②污水超标/事故排放风险</w:t>
            </w:r>
          </w:p>
          <w:p>
            <w:pPr>
              <w:adjustRightInd w:val="0"/>
              <w:snapToGrid w:val="0"/>
              <w:spacing w:line="360" w:lineRule="auto"/>
              <w:ind w:firstLine="480" w:firstLineChars="200"/>
              <w:rPr>
                <w:color w:val="auto"/>
              </w:rPr>
            </w:pPr>
            <w:r>
              <w:rPr>
                <w:color w:val="auto"/>
              </w:rPr>
              <w:t>正常情况下，本项目的污水出水水质可达到中华人民共和国《农村生活污水处理设施水污染物排放标准》（DB51/ 2626-2019）一级标准排放。若污水处理设发生故障或出现意外事故，污水未经完全处理和处理未达标，将对受纳水体造成严重影响。</w:t>
            </w:r>
          </w:p>
          <w:p>
            <w:pPr>
              <w:adjustRightInd w:val="0"/>
              <w:snapToGrid w:val="0"/>
              <w:spacing w:line="360" w:lineRule="auto"/>
              <w:ind w:firstLine="480" w:firstLineChars="200"/>
              <w:rPr>
                <w:color w:val="auto"/>
              </w:rPr>
            </w:pPr>
            <w:r>
              <w:rPr>
                <w:color w:val="auto"/>
              </w:rPr>
              <w:t>可能造成污水处理站事故或超标排放的可能原因有以下几个方面：</w:t>
            </w:r>
          </w:p>
          <w:p>
            <w:pPr>
              <w:adjustRightInd w:val="0"/>
              <w:snapToGrid w:val="0"/>
              <w:spacing w:line="360" w:lineRule="auto"/>
              <w:ind w:firstLine="480" w:firstLineChars="200"/>
              <w:rPr>
                <w:color w:val="auto"/>
              </w:rPr>
            </w:pPr>
            <w:r>
              <w:rPr>
                <w:color w:val="auto"/>
              </w:rPr>
              <w:t>停电，设备不能运转，导致处理设施失效；</w:t>
            </w:r>
          </w:p>
          <w:p>
            <w:pPr>
              <w:adjustRightInd w:val="0"/>
              <w:snapToGrid w:val="0"/>
              <w:spacing w:line="360" w:lineRule="auto"/>
              <w:ind w:firstLine="480" w:firstLineChars="200"/>
              <w:rPr>
                <w:color w:val="auto"/>
              </w:rPr>
            </w:pPr>
            <w:r>
              <w:rPr>
                <w:color w:val="auto"/>
              </w:rPr>
              <w:t>设备故障，关键设备故障；</w:t>
            </w:r>
          </w:p>
          <w:p>
            <w:pPr>
              <w:adjustRightInd w:val="0"/>
              <w:snapToGrid w:val="0"/>
              <w:spacing w:line="360" w:lineRule="auto"/>
              <w:ind w:firstLine="480" w:firstLineChars="200"/>
              <w:rPr>
                <w:color w:val="auto"/>
              </w:rPr>
            </w:pPr>
            <w:r>
              <w:rPr>
                <w:color w:val="auto"/>
              </w:rPr>
              <w:t>有害物质，接纳废水中含有毒害微生物的物质，导致微生物大量死亡；</w:t>
            </w:r>
          </w:p>
          <w:p>
            <w:pPr>
              <w:adjustRightInd w:val="0"/>
              <w:snapToGrid w:val="0"/>
              <w:spacing w:line="360" w:lineRule="auto"/>
              <w:ind w:firstLine="480" w:firstLineChars="200"/>
              <w:rPr>
                <w:color w:val="auto"/>
                <w:kern w:val="0"/>
                <w:lang w:bidi="ar"/>
              </w:rPr>
            </w:pPr>
            <w:r>
              <w:rPr>
                <w:color w:val="auto"/>
              </w:rPr>
              <w:t>水质波动，接纳污水水质波动幅度过大，造成处理设施运行不稳定。出现这种情况的主要原因可能是截污管雨污不分，导致部分雨水接入污水管道，造成污水站进水浓度偏低，影响生化处理效果。另外要定期维护污水管网，发现问题及时上报处理。</w:t>
            </w:r>
          </w:p>
          <w:p>
            <w:pPr>
              <w:widowControl/>
              <w:adjustRightInd w:val="0"/>
              <w:snapToGrid w:val="0"/>
              <w:spacing w:line="360" w:lineRule="auto"/>
              <w:ind w:firstLine="482" w:firstLineChars="200"/>
              <w:jc w:val="left"/>
              <w:rPr>
                <w:color w:val="auto"/>
              </w:rPr>
            </w:pPr>
            <w:r>
              <w:rPr>
                <w:b/>
                <w:color w:val="auto"/>
                <w:kern w:val="0"/>
                <w:lang w:bidi="ar"/>
              </w:rPr>
              <w:t>（3）物质风险</w:t>
            </w:r>
          </w:p>
          <w:p>
            <w:pPr>
              <w:widowControl/>
              <w:adjustRightInd w:val="0"/>
              <w:snapToGrid w:val="0"/>
              <w:spacing w:line="360" w:lineRule="auto"/>
              <w:ind w:firstLine="480" w:firstLineChars="200"/>
              <w:jc w:val="left"/>
              <w:rPr>
                <w:color w:val="auto"/>
              </w:rPr>
            </w:pPr>
            <w:r>
              <w:rPr>
                <w:color w:val="auto"/>
                <w:kern w:val="0"/>
                <w:lang w:bidi="ar"/>
              </w:rPr>
              <w:t>本项目为生活污水处理站项目，将生活污水经MBR一体化设备后达标排放，因此本项目不存在环境风险物质。</w:t>
            </w:r>
          </w:p>
          <w:p>
            <w:pPr>
              <w:widowControl/>
              <w:adjustRightInd w:val="0"/>
              <w:snapToGrid w:val="0"/>
              <w:spacing w:line="360" w:lineRule="auto"/>
              <w:ind w:firstLine="482" w:firstLineChars="200"/>
              <w:jc w:val="left"/>
              <w:rPr>
                <w:color w:val="auto"/>
              </w:rPr>
            </w:pPr>
            <w:r>
              <w:rPr>
                <w:b/>
                <w:color w:val="auto"/>
                <w:kern w:val="0"/>
                <w:lang w:bidi="ar"/>
              </w:rPr>
              <w:t>4.2环境风险潜势划分</w:t>
            </w:r>
          </w:p>
          <w:p>
            <w:pPr>
              <w:widowControl/>
              <w:adjustRightInd w:val="0"/>
              <w:snapToGrid w:val="0"/>
              <w:spacing w:line="360" w:lineRule="auto"/>
              <w:ind w:firstLine="480" w:firstLineChars="200"/>
              <w:jc w:val="left"/>
              <w:rPr>
                <w:color w:val="auto"/>
              </w:rPr>
            </w:pPr>
            <w:r>
              <w:rPr>
                <w:color w:val="auto"/>
                <w:kern w:val="0"/>
                <w:lang w:bidi="ar"/>
              </w:rPr>
              <w:t>1）危险物质数量与临界量比值（Q）</w:t>
            </w:r>
          </w:p>
          <w:p>
            <w:pPr>
              <w:spacing w:line="360" w:lineRule="auto"/>
              <w:ind w:firstLine="480" w:firstLineChars="200"/>
              <w:rPr>
                <w:color w:val="auto"/>
              </w:rPr>
            </w:pPr>
            <w:r>
              <w:rPr>
                <w:color w:val="auto"/>
              </w:rPr>
              <w:t>根据《建设项目环境风险评价技术导则》（HJ169-2018）计算所涉及的每种危险物质在厂界内的最大存在总量与其在附录B中对应临界量的比值Q。当只涉及一种危险物质时，计算该物质的总量与其临界量比值，即为Q；当存在多种危险物质时，则按以下公式计算物质总量与其临界量的比值Q：</w:t>
            </w:r>
          </w:p>
          <w:p>
            <w:pPr>
              <w:spacing w:line="360" w:lineRule="auto"/>
              <w:ind w:firstLine="480" w:firstLineChars="200"/>
              <w:jc w:val="center"/>
              <w:rPr>
                <w:color w:val="auto"/>
              </w:rPr>
            </w:pPr>
            <w:r>
              <w:rPr>
                <w:color w:val="auto"/>
              </w:rPr>
              <w:drawing>
                <wp:inline distT="0" distB="0" distL="114300" distR="114300">
                  <wp:extent cx="1838325" cy="476250"/>
                  <wp:effectExtent l="0" t="0" r="9525" b="0"/>
                  <wp:docPr id="1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4"/>
                          <pic:cNvPicPr>
                            <a:picLocks noChangeAspect="1"/>
                          </pic:cNvPicPr>
                        </pic:nvPicPr>
                        <pic:blipFill>
                          <a:blip r:embed="rId51"/>
                          <a:stretch>
                            <a:fillRect/>
                          </a:stretch>
                        </pic:blipFill>
                        <pic:spPr>
                          <a:xfrm>
                            <a:off x="0" y="0"/>
                            <a:ext cx="1838325" cy="476250"/>
                          </a:xfrm>
                          <a:prstGeom prst="rect">
                            <a:avLst/>
                          </a:prstGeom>
                          <a:noFill/>
                          <a:ln>
                            <a:noFill/>
                          </a:ln>
                        </pic:spPr>
                      </pic:pic>
                    </a:graphicData>
                  </a:graphic>
                </wp:inline>
              </w:drawing>
            </w:r>
          </w:p>
          <w:p>
            <w:pPr>
              <w:spacing w:line="360" w:lineRule="auto"/>
              <w:ind w:firstLine="480" w:firstLineChars="200"/>
              <w:rPr>
                <w:color w:val="auto"/>
              </w:rPr>
            </w:pPr>
            <w:r>
              <w:rPr>
                <w:color w:val="auto"/>
              </w:rPr>
              <w:t>式中：q</w:t>
            </w:r>
            <w:r>
              <w:rPr>
                <w:color w:val="auto"/>
                <w:vertAlign w:val="subscript"/>
              </w:rPr>
              <w:t>1</w:t>
            </w:r>
            <w:r>
              <w:rPr>
                <w:color w:val="auto"/>
              </w:rPr>
              <w:t>、q</w:t>
            </w:r>
            <w:r>
              <w:rPr>
                <w:color w:val="auto"/>
                <w:vertAlign w:val="subscript"/>
              </w:rPr>
              <w:t>2</w:t>
            </w:r>
            <w:r>
              <w:rPr>
                <w:color w:val="auto"/>
              </w:rPr>
              <w:t>、…q</w:t>
            </w:r>
            <w:r>
              <w:rPr>
                <w:color w:val="auto"/>
                <w:vertAlign w:val="subscript"/>
              </w:rPr>
              <w:t>n</w:t>
            </w:r>
            <w:r>
              <w:rPr>
                <w:color w:val="auto"/>
              </w:rPr>
              <w:t>——每种无限物质的最大存在总量，t；</w:t>
            </w:r>
          </w:p>
          <w:p>
            <w:pPr>
              <w:spacing w:line="360" w:lineRule="auto"/>
              <w:ind w:firstLine="480" w:firstLineChars="200"/>
              <w:rPr>
                <w:color w:val="auto"/>
              </w:rPr>
            </w:pP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n</w:t>
            </w:r>
            <w:r>
              <w:rPr>
                <w:color w:val="auto"/>
              </w:rPr>
              <w:t>——每种危险物质的临界量，t。</w:t>
            </w:r>
          </w:p>
          <w:p>
            <w:pPr>
              <w:spacing w:line="360" w:lineRule="auto"/>
              <w:ind w:firstLine="480" w:firstLineChars="200"/>
              <w:rPr>
                <w:color w:val="auto"/>
              </w:rPr>
            </w:pPr>
            <w:r>
              <w:rPr>
                <w:color w:val="auto"/>
              </w:rPr>
              <w:t>当Q&lt;1时，该项目环境风险潜势为Ⅰ；</w:t>
            </w:r>
          </w:p>
          <w:p>
            <w:pPr>
              <w:spacing w:line="360" w:lineRule="auto"/>
              <w:ind w:firstLine="480" w:firstLineChars="200"/>
              <w:rPr>
                <w:color w:val="auto"/>
              </w:rPr>
            </w:pPr>
            <w:r>
              <w:rPr>
                <w:color w:val="auto"/>
              </w:rPr>
              <w:t>当Q≥1时，将Q值划分为：（1）1≤Q&lt;10；（2）10≤Q&lt;100；（3）Q≥100.</w:t>
            </w:r>
          </w:p>
          <w:p>
            <w:pPr>
              <w:spacing w:line="360" w:lineRule="auto"/>
              <w:ind w:firstLine="480" w:firstLineChars="200"/>
              <w:rPr>
                <w:color w:val="auto"/>
                <w:highlight w:val="none"/>
              </w:rPr>
            </w:pPr>
            <w:r>
              <w:rPr>
                <w:color w:val="auto"/>
                <w:highlight w:val="none"/>
              </w:rPr>
              <w:t>对照相关参考资料，Q值情况如下表所示：</w:t>
            </w:r>
          </w:p>
          <w:p>
            <w:pPr>
              <w:adjustRightInd w:val="0"/>
              <w:snapToGrid w:val="0"/>
              <w:spacing w:line="360" w:lineRule="auto"/>
              <w:jc w:val="center"/>
              <w:rPr>
                <w:rFonts w:eastAsia="黑体"/>
                <w:color w:val="auto"/>
                <w:highlight w:val="none"/>
              </w:rPr>
            </w:pPr>
            <w:r>
              <w:rPr>
                <w:rFonts w:eastAsia="黑体"/>
                <w:color w:val="auto"/>
                <w:highlight w:val="none"/>
              </w:rPr>
              <w:t>表7-32  项目Q值确定表</w:t>
            </w:r>
          </w:p>
          <w:tbl>
            <w:tblPr>
              <w:tblStyle w:val="28"/>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850"/>
              <w:gridCol w:w="1800"/>
              <w:gridCol w:w="1599"/>
              <w:gridCol w:w="1394"/>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trPr>
              <w:tc>
                <w:tcPr>
                  <w:tcW w:w="865" w:type="dxa"/>
                  <w:noWrap w:val="0"/>
                  <w:vAlign w:val="center"/>
                </w:tcPr>
                <w:p>
                  <w:pPr>
                    <w:jc w:val="center"/>
                    <w:rPr>
                      <w:b/>
                      <w:bCs/>
                      <w:color w:val="auto"/>
                      <w:sz w:val="21"/>
                      <w:szCs w:val="21"/>
                      <w:highlight w:val="none"/>
                    </w:rPr>
                  </w:pPr>
                  <w:r>
                    <w:rPr>
                      <w:b/>
                      <w:bCs/>
                      <w:color w:val="auto"/>
                      <w:sz w:val="21"/>
                      <w:szCs w:val="21"/>
                      <w:highlight w:val="none"/>
                    </w:rPr>
                    <w:t>序号</w:t>
                  </w:r>
                </w:p>
              </w:tc>
              <w:tc>
                <w:tcPr>
                  <w:tcW w:w="1850" w:type="dxa"/>
                  <w:noWrap w:val="0"/>
                  <w:vAlign w:val="center"/>
                </w:tcPr>
                <w:p>
                  <w:pPr>
                    <w:jc w:val="center"/>
                    <w:rPr>
                      <w:b/>
                      <w:bCs/>
                      <w:color w:val="auto"/>
                      <w:sz w:val="21"/>
                      <w:szCs w:val="21"/>
                      <w:highlight w:val="none"/>
                    </w:rPr>
                  </w:pPr>
                  <w:r>
                    <w:rPr>
                      <w:b/>
                      <w:bCs/>
                      <w:color w:val="auto"/>
                      <w:sz w:val="21"/>
                      <w:szCs w:val="21"/>
                      <w:highlight w:val="none"/>
                    </w:rPr>
                    <w:t>危险物质名称</w:t>
                  </w:r>
                </w:p>
              </w:tc>
              <w:tc>
                <w:tcPr>
                  <w:tcW w:w="1800" w:type="dxa"/>
                  <w:noWrap w:val="0"/>
                  <w:vAlign w:val="center"/>
                </w:tcPr>
                <w:p>
                  <w:pPr>
                    <w:jc w:val="center"/>
                    <w:rPr>
                      <w:b/>
                      <w:bCs/>
                      <w:color w:val="auto"/>
                      <w:sz w:val="21"/>
                      <w:szCs w:val="21"/>
                      <w:highlight w:val="none"/>
                    </w:rPr>
                  </w:pPr>
                  <w:r>
                    <w:rPr>
                      <w:b/>
                      <w:bCs/>
                      <w:color w:val="auto"/>
                      <w:sz w:val="21"/>
                      <w:szCs w:val="21"/>
                      <w:highlight w:val="none"/>
                    </w:rPr>
                    <w:t>CAS号</w:t>
                  </w:r>
                </w:p>
              </w:tc>
              <w:tc>
                <w:tcPr>
                  <w:tcW w:w="1599" w:type="dxa"/>
                  <w:noWrap w:val="0"/>
                  <w:vAlign w:val="center"/>
                </w:tcPr>
                <w:p>
                  <w:pPr>
                    <w:jc w:val="center"/>
                    <w:rPr>
                      <w:b/>
                      <w:bCs/>
                      <w:color w:val="auto"/>
                      <w:sz w:val="21"/>
                      <w:szCs w:val="21"/>
                      <w:highlight w:val="none"/>
                    </w:rPr>
                  </w:pPr>
                  <w:r>
                    <w:rPr>
                      <w:b/>
                      <w:bCs/>
                      <w:color w:val="auto"/>
                      <w:sz w:val="21"/>
                      <w:szCs w:val="21"/>
                      <w:highlight w:val="none"/>
                    </w:rPr>
                    <w:t>最大存在总量qn/t</w:t>
                  </w:r>
                </w:p>
              </w:tc>
              <w:tc>
                <w:tcPr>
                  <w:tcW w:w="1394" w:type="dxa"/>
                  <w:noWrap w:val="0"/>
                  <w:vAlign w:val="center"/>
                </w:tcPr>
                <w:p>
                  <w:pPr>
                    <w:jc w:val="center"/>
                    <w:rPr>
                      <w:b/>
                      <w:bCs/>
                      <w:color w:val="auto"/>
                      <w:sz w:val="21"/>
                      <w:szCs w:val="21"/>
                      <w:highlight w:val="none"/>
                    </w:rPr>
                  </w:pPr>
                  <w:r>
                    <w:rPr>
                      <w:b/>
                      <w:bCs/>
                      <w:color w:val="auto"/>
                      <w:sz w:val="21"/>
                      <w:szCs w:val="21"/>
                      <w:highlight w:val="none"/>
                    </w:rPr>
                    <w:t>临界量Qn/t</w:t>
                  </w:r>
                </w:p>
              </w:tc>
              <w:tc>
                <w:tcPr>
                  <w:tcW w:w="1547" w:type="dxa"/>
                  <w:noWrap w:val="0"/>
                  <w:vAlign w:val="center"/>
                </w:tcPr>
                <w:p>
                  <w:pPr>
                    <w:jc w:val="center"/>
                    <w:rPr>
                      <w:b/>
                      <w:bCs/>
                      <w:color w:val="auto"/>
                      <w:sz w:val="21"/>
                      <w:szCs w:val="21"/>
                      <w:highlight w:val="none"/>
                    </w:rPr>
                  </w:pPr>
                  <w:r>
                    <w:rPr>
                      <w:b/>
                      <w:bCs/>
                      <w:color w:val="auto"/>
                      <w:sz w:val="21"/>
                      <w:szCs w:val="21"/>
                      <w:highlight w:val="none"/>
                    </w:rPr>
                    <w:t>该种危险物质Q值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65" w:type="dxa"/>
                  <w:noWrap w:val="0"/>
                  <w:vAlign w:val="center"/>
                </w:tcPr>
                <w:p>
                  <w:pPr>
                    <w:jc w:val="center"/>
                    <w:rPr>
                      <w:color w:val="auto"/>
                      <w:sz w:val="21"/>
                      <w:szCs w:val="21"/>
                      <w:highlight w:val="none"/>
                    </w:rPr>
                  </w:pPr>
                  <w:r>
                    <w:rPr>
                      <w:color w:val="auto"/>
                      <w:sz w:val="21"/>
                      <w:szCs w:val="21"/>
                      <w:highlight w:val="none"/>
                    </w:rPr>
                    <w:t>1</w:t>
                  </w:r>
                </w:p>
              </w:tc>
              <w:tc>
                <w:tcPr>
                  <w:tcW w:w="1850" w:type="dxa"/>
                  <w:noWrap w:val="0"/>
                  <w:vAlign w:val="center"/>
                </w:tcPr>
                <w:p>
                  <w:pPr>
                    <w:jc w:val="center"/>
                    <w:rPr>
                      <w:color w:val="auto"/>
                      <w:sz w:val="21"/>
                      <w:szCs w:val="21"/>
                      <w:highlight w:val="none"/>
                    </w:rPr>
                  </w:pPr>
                  <w:r>
                    <w:rPr>
                      <w:color w:val="auto"/>
                      <w:sz w:val="21"/>
                      <w:szCs w:val="21"/>
                      <w:highlight w:val="none"/>
                    </w:rPr>
                    <w:t>/</w:t>
                  </w:r>
                </w:p>
              </w:tc>
              <w:tc>
                <w:tcPr>
                  <w:tcW w:w="1800" w:type="dxa"/>
                  <w:noWrap w:val="0"/>
                  <w:vAlign w:val="center"/>
                </w:tcPr>
                <w:p>
                  <w:pPr>
                    <w:jc w:val="center"/>
                    <w:rPr>
                      <w:color w:val="auto"/>
                      <w:sz w:val="21"/>
                      <w:szCs w:val="21"/>
                      <w:highlight w:val="none"/>
                    </w:rPr>
                  </w:pPr>
                  <w:r>
                    <w:rPr>
                      <w:color w:val="auto"/>
                      <w:sz w:val="21"/>
                      <w:szCs w:val="21"/>
                      <w:highlight w:val="none"/>
                    </w:rPr>
                    <w:t>/</w:t>
                  </w:r>
                </w:p>
              </w:tc>
              <w:tc>
                <w:tcPr>
                  <w:tcW w:w="1599" w:type="dxa"/>
                  <w:noWrap w:val="0"/>
                  <w:vAlign w:val="center"/>
                </w:tcPr>
                <w:p>
                  <w:pPr>
                    <w:jc w:val="center"/>
                    <w:rPr>
                      <w:color w:val="auto"/>
                      <w:sz w:val="21"/>
                      <w:szCs w:val="21"/>
                      <w:highlight w:val="none"/>
                    </w:rPr>
                  </w:pPr>
                  <w:r>
                    <w:rPr>
                      <w:color w:val="auto"/>
                      <w:sz w:val="21"/>
                      <w:szCs w:val="21"/>
                      <w:highlight w:val="none"/>
                    </w:rPr>
                    <w:t>/</w:t>
                  </w:r>
                </w:p>
              </w:tc>
              <w:tc>
                <w:tcPr>
                  <w:tcW w:w="1394" w:type="dxa"/>
                  <w:noWrap w:val="0"/>
                  <w:vAlign w:val="center"/>
                </w:tcPr>
                <w:p>
                  <w:pPr>
                    <w:jc w:val="center"/>
                    <w:rPr>
                      <w:color w:val="auto"/>
                      <w:sz w:val="21"/>
                      <w:szCs w:val="21"/>
                      <w:highlight w:val="none"/>
                    </w:rPr>
                  </w:pPr>
                  <w:r>
                    <w:rPr>
                      <w:color w:val="auto"/>
                      <w:sz w:val="21"/>
                      <w:szCs w:val="21"/>
                      <w:highlight w:val="none"/>
                    </w:rPr>
                    <w:t>/</w:t>
                  </w:r>
                </w:p>
              </w:tc>
              <w:tc>
                <w:tcPr>
                  <w:tcW w:w="1547" w:type="dxa"/>
                  <w:noWrap w:val="0"/>
                  <w:vAlign w:val="center"/>
                </w:tcPr>
                <w:p>
                  <w:pPr>
                    <w:jc w:val="center"/>
                    <w:rPr>
                      <w:color w:val="auto"/>
                      <w:sz w:val="21"/>
                      <w:szCs w:val="21"/>
                      <w:highlight w:val="none"/>
                    </w:rPr>
                  </w:pPr>
                  <w:r>
                    <w:rPr>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508" w:type="dxa"/>
                  <w:gridSpan w:val="5"/>
                  <w:noWrap w:val="0"/>
                  <w:vAlign w:val="center"/>
                </w:tcPr>
                <w:p>
                  <w:pPr>
                    <w:jc w:val="center"/>
                    <w:rPr>
                      <w:color w:val="auto"/>
                      <w:sz w:val="21"/>
                      <w:szCs w:val="21"/>
                    </w:rPr>
                  </w:pPr>
                  <w:r>
                    <w:rPr>
                      <w:color w:val="auto"/>
                      <w:sz w:val="21"/>
                      <w:szCs w:val="21"/>
                    </w:rPr>
                    <w:t>项目Q值</w:t>
                  </w:r>
                </w:p>
              </w:tc>
              <w:tc>
                <w:tcPr>
                  <w:tcW w:w="1547" w:type="dxa"/>
                  <w:noWrap w:val="0"/>
                  <w:vAlign w:val="center"/>
                </w:tcPr>
                <w:p>
                  <w:pPr>
                    <w:jc w:val="center"/>
                    <w:rPr>
                      <w:color w:val="auto"/>
                      <w:sz w:val="21"/>
                      <w:szCs w:val="21"/>
                    </w:rPr>
                  </w:pPr>
                  <w:r>
                    <w:rPr>
                      <w:color w:val="auto"/>
                      <w:sz w:val="21"/>
                      <w:szCs w:val="21"/>
                    </w:rPr>
                    <w:t>0</w:t>
                  </w:r>
                </w:p>
              </w:tc>
            </w:tr>
          </w:tbl>
          <w:p>
            <w:pPr>
              <w:spacing w:line="360" w:lineRule="auto"/>
              <w:ind w:firstLine="480" w:firstLineChars="200"/>
              <w:rPr>
                <w:color w:val="auto"/>
              </w:rPr>
            </w:pPr>
            <w:r>
              <w:rPr>
                <w:color w:val="auto"/>
              </w:rPr>
              <w:t>根据上表可知，本项目涉及危险物质数量与临界量比值Q=0&lt;1，因此本项目环境风险潜势为Ⅰ。</w:t>
            </w:r>
          </w:p>
          <w:p>
            <w:pPr>
              <w:spacing w:line="360" w:lineRule="auto"/>
              <w:ind w:firstLine="480" w:firstLineChars="200"/>
              <w:rPr>
                <w:color w:val="auto"/>
              </w:rPr>
            </w:pPr>
            <w:r>
              <w:rPr>
                <w:color w:val="auto"/>
              </w:rPr>
              <w:t>2）评价等级</w:t>
            </w:r>
          </w:p>
          <w:p>
            <w:pPr>
              <w:spacing w:line="360" w:lineRule="auto"/>
              <w:ind w:firstLine="480" w:firstLineChars="200"/>
              <w:rPr>
                <w:color w:val="auto"/>
              </w:rPr>
            </w:pPr>
            <w:r>
              <w:rPr>
                <w:color w:val="auto"/>
              </w:rPr>
              <w:t>根据《建设项目环境风险评价技术导则》（HJ169—2018），本项目环境风险评价等级判断如下表所示：</w:t>
            </w:r>
          </w:p>
          <w:p>
            <w:pPr>
              <w:adjustRightInd w:val="0"/>
              <w:snapToGrid w:val="0"/>
              <w:spacing w:line="360" w:lineRule="auto"/>
              <w:ind w:firstLine="480" w:firstLineChars="200"/>
              <w:jc w:val="center"/>
              <w:rPr>
                <w:rFonts w:eastAsia="黑体"/>
                <w:color w:val="auto"/>
              </w:rPr>
            </w:pPr>
            <w:r>
              <w:rPr>
                <w:rFonts w:eastAsia="黑体"/>
                <w:color w:val="auto"/>
              </w:rPr>
              <w:t>表7-33  评价工作等级划分</w:t>
            </w:r>
          </w:p>
          <w:tbl>
            <w:tblPr>
              <w:tblStyle w:val="28"/>
              <w:tblW w:w="0" w:type="auto"/>
              <w:tblInd w:w="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586"/>
              <w:gridCol w:w="1571"/>
              <w:gridCol w:w="1361"/>
              <w:gridCol w:w="272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jc w:val="center"/>
                    <w:rPr>
                      <w:b/>
                      <w:bCs/>
                      <w:color w:val="auto"/>
                      <w:sz w:val="21"/>
                      <w:szCs w:val="21"/>
                    </w:rPr>
                  </w:pPr>
                  <w:r>
                    <w:rPr>
                      <w:b/>
                      <w:bCs/>
                      <w:color w:val="auto"/>
                      <w:sz w:val="21"/>
                      <w:szCs w:val="21"/>
                    </w:rPr>
                    <w:t>环境风险潜势</w:t>
                  </w:r>
                </w:p>
              </w:tc>
              <w:tc>
                <w:tcPr>
                  <w:tcW w:w="1586" w:type="dxa"/>
                  <w:noWrap w:val="0"/>
                  <w:vAlign w:val="top"/>
                </w:tcPr>
                <w:p>
                  <w:pPr>
                    <w:jc w:val="center"/>
                    <w:rPr>
                      <w:color w:val="auto"/>
                      <w:sz w:val="21"/>
                      <w:szCs w:val="21"/>
                    </w:rPr>
                  </w:pPr>
                  <w:r>
                    <w:rPr>
                      <w:color w:val="auto"/>
                      <w:sz w:val="21"/>
                      <w:szCs w:val="21"/>
                    </w:rPr>
                    <w:t>Ⅳ、Ⅳ+</w:t>
                  </w:r>
                </w:p>
              </w:tc>
              <w:tc>
                <w:tcPr>
                  <w:tcW w:w="1571" w:type="dxa"/>
                  <w:noWrap w:val="0"/>
                  <w:vAlign w:val="top"/>
                </w:tcPr>
                <w:p>
                  <w:pPr>
                    <w:jc w:val="center"/>
                    <w:rPr>
                      <w:color w:val="auto"/>
                      <w:sz w:val="21"/>
                      <w:szCs w:val="21"/>
                    </w:rPr>
                  </w:pPr>
                  <w:r>
                    <w:rPr>
                      <w:color w:val="auto"/>
                      <w:sz w:val="21"/>
                      <w:szCs w:val="21"/>
                    </w:rPr>
                    <w:t>Ⅲ</w:t>
                  </w:r>
                </w:p>
              </w:tc>
              <w:tc>
                <w:tcPr>
                  <w:tcW w:w="1361" w:type="dxa"/>
                  <w:noWrap w:val="0"/>
                  <w:vAlign w:val="top"/>
                </w:tcPr>
                <w:p>
                  <w:pPr>
                    <w:jc w:val="center"/>
                    <w:rPr>
                      <w:color w:val="auto"/>
                      <w:sz w:val="21"/>
                      <w:szCs w:val="21"/>
                    </w:rPr>
                  </w:pPr>
                  <w:r>
                    <w:rPr>
                      <w:color w:val="auto"/>
                      <w:sz w:val="21"/>
                      <w:szCs w:val="21"/>
                    </w:rPr>
                    <w:t>Ⅱ</w:t>
                  </w:r>
                </w:p>
              </w:tc>
              <w:tc>
                <w:tcPr>
                  <w:tcW w:w="2722" w:type="dxa"/>
                  <w:noWrap w:val="0"/>
                  <w:vAlign w:val="top"/>
                </w:tcPr>
                <w:p>
                  <w:pPr>
                    <w:jc w:val="center"/>
                    <w:rPr>
                      <w:color w:val="auto"/>
                      <w:sz w:val="21"/>
                      <w:szCs w:val="21"/>
                    </w:rPr>
                  </w:pPr>
                  <w:r>
                    <w:rPr>
                      <w:color w:val="auto"/>
                      <w:sz w:val="21"/>
                      <w:szCs w:val="21"/>
                    </w:rPr>
                    <w:t>Ⅰ</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pPr>
                    <w:jc w:val="center"/>
                    <w:rPr>
                      <w:b/>
                      <w:bCs/>
                      <w:color w:val="auto"/>
                      <w:sz w:val="21"/>
                      <w:szCs w:val="21"/>
                    </w:rPr>
                  </w:pPr>
                  <w:r>
                    <w:rPr>
                      <w:b/>
                      <w:bCs/>
                      <w:color w:val="auto"/>
                      <w:sz w:val="21"/>
                      <w:szCs w:val="21"/>
                    </w:rPr>
                    <w:t>评价工作等级</w:t>
                  </w:r>
                </w:p>
              </w:tc>
              <w:tc>
                <w:tcPr>
                  <w:tcW w:w="1586" w:type="dxa"/>
                  <w:noWrap w:val="0"/>
                  <w:vAlign w:val="top"/>
                </w:tcPr>
                <w:p>
                  <w:pPr>
                    <w:jc w:val="center"/>
                    <w:rPr>
                      <w:color w:val="auto"/>
                      <w:sz w:val="21"/>
                      <w:szCs w:val="21"/>
                    </w:rPr>
                  </w:pPr>
                  <w:r>
                    <w:rPr>
                      <w:color w:val="auto"/>
                      <w:sz w:val="21"/>
                      <w:szCs w:val="21"/>
                    </w:rPr>
                    <w:t>一</w:t>
                  </w:r>
                </w:p>
              </w:tc>
              <w:tc>
                <w:tcPr>
                  <w:tcW w:w="1571" w:type="dxa"/>
                  <w:noWrap w:val="0"/>
                  <w:vAlign w:val="top"/>
                </w:tcPr>
                <w:p>
                  <w:pPr>
                    <w:jc w:val="center"/>
                    <w:rPr>
                      <w:color w:val="auto"/>
                      <w:sz w:val="21"/>
                      <w:szCs w:val="21"/>
                    </w:rPr>
                  </w:pPr>
                  <w:r>
                    <w:rPr>
                      <w:color w:val="auto"/>
                      <w:sz w:val="21"/>
                      <w:szCs w:val="21"/>
                    </w:rPr>
                    <w:t>二</w:t>
                  </w:r>
                </w:p>
              </w:tc>
              <w:tc>
                <w:tcPr>
                  <w:tcW w:w="1361" w:type="dxa"/>
                  <w:noWrap w:val="0"/>
                  <w:vAlign w:val="top"/>
                </w:tcPr>
                <w:p>
                  <w:pPr>
                    <w:jc w:val="center"/>
                    <w:rPr>
                      <w:color w:val="auto"/>
                      <w:sz w:val="21"/>
                      <w:szCs w:val="21"/>
                    </w:rPr>
                  </w:pPr>
                  <w:r>
                    <w:rPr>
                      <w:color w:val="auto"/>
                      <w:sz w:val="21"/>
                      <w:szCs w:val="21"/>
                    </w:rPr>
                    <w:t>三</w:t>
                  </w:r>
                </w:p>
              </w:tc>
              <w:tc>
                <w:tcPr>
                  <w:tcW w:w="2722" w:type="dxa"/>
                  <w:noWrap w:val="0"/>
                  <w:vAlign w:val="top"/>
                </w:tcPr>
                <w:p>
                  <w:pPr>
                    <w:jc w:val="center"/>
                    <w:rPr>
                      <w:color w:val="auto"/>
                      <w:sz w:val="21"/>
                      <w:szCs w:val="21"/>
                    </w:rPr>
                  </w:pPr>
                  <w:r>
                    <w:rPr>
                      <w:color w:val="auto"/>
                      <w:sz w:val="21"/>
                      <w:szCs w:val="21"/>
                    </w:rPr>
                    <w:t>简单分析</w:t>
                  </w:r>
                </w:p>
              </w:tc>
            </w:tr>
          </w:tbl>
          <w:p>
            <w:pPr>
              <w:spacing w:line="360" w:lineRule="auto"/>
              <w:ind w:firstLine="480" w:firstLineChars="200"/>
              <w:rPr>
                <w:color w:val="auto"/>
              </w:rPr>
            </w:pPr>
            <w:r>
              <w:rPr>
                <w:color w:val="auto"/>
              </w:rPr>
              <w:t>根据上表可知，本项目环境风险评价等级为简单分析。</w:t>
            </w:r>
          </w:p>
          <w:p>
            <w:pPr>
              <w:adjustRightInd w:val="0"/>
              <w:snapToGrid w:val="0"/>
              <w:spacing w:line="360" w:lineRule="auto"/>
              <w:ind w:firstLine="480" w:firstLineChars="200"/>
              <w:jc w:val="center"/>
              <w:rPr>
                <w:rFonts w:eastAsia="黑体"/>
                <w:color w:val="auto"/>
              </w:rPr>
            </w:pPr>
            <w:r>
              <w:rPr>
                <w:rFonts w:eastAsia="黑体"/>
                <w:color w:val="auto"/>
              </w:rPr>
              <w:t>表7-34  建设项目环境风险分析内容表</w:t>
            </w:r>
          </w:p>
          <w:tbl>
            <w:tblPr>
              <w:tblStyle w:val="28"/>
              <w:tblW w:w="0" w:type="auto"/>
              <w:tblInd w:w="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62"/>
              <w:gridCol w:w="1804"/>
              <w:gridCol w:w="2058"/>
              <w:gridCol w:w="1605"/>
              <w:gridCol w:w="190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6" w:hRule="atLeast"/>
              </w:trPr>
              <w:tc>
                <w:tcPr>
                  <w:tcW w:w="1662" w:type="dxa"/>
                  <w:noWrap w:val="0"/>
                  <w:vAlign w:val="center"/>
                </w:tcPr>
                <w:p>
                  <w:pPr>
                    <w:jc w:val="center"/>
                    <w:rPr>
                      <w:color w:val="auto"/>
                      <w:sz w:val="21"/>
                      <w:szCs w:val="21"/>
                    </w:rPr>
                  </w:pPr>
                  <w:r>
                    <w:rPr>
                      <w:color w:val="auto"/>
                      <w:sz w:val="21"/>
                      <w:szCs w:val="21"/>
                    </w:rPr>
                    <w:t>建设项目名称</w:t>
                  </w:r>
                </w:p>
              </w:tc>
              <w:tc>
                <w:tcPr>
                  <w:tcW w:w="7374" w:type="dxa"/>
                  <w:gridSpan w:val="4"/>
                  <w:noWrap w:val="0"/>
                  <w:vAlign w:val="center"/>
                </w:tcPr>
                <w:p>
                  <w:pPr>
                    <w:jc w:val="center"/>
                    <w:rPr>
                      <w:color w:val="auto"/>
                      <w:sz w:val="21"/>
                      <w:szCs w:val="21"/>
                    </w:rPr>
                  </w:pPr>
                  <w:r>
                    <w:rPr>
                      <w:color w:val="auto"/>
                      <w:sz w:val="21"/>
                      <w:szCs w:val="21"/>
                    </w:rPr>
                    <w:t>峨边彝族自治县宜坪乡桐花村农村生活污水治理项目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8" w:hRule="atLeast"/>
              </w:trPr>
              <w:tc>
                <w:tcPr>
                  <w:tcW w:w="1662" w:type="dxa"/>
                  <w:noWrap w:val="0"/>
                  <w:vAlign w:val="center"/>
                </w:tcPr>
                <w:p>
                  <w:pPr>
                    <w:jc w:val="center"/>
                    <w:rPr>
                      <w:color w:val="auto"/>
                      <w:sz w:val="21"/>
                      <w:szCs w:val="21"/>
                    </w:rPr>
                  </w:pPr>
                  <w:r>
                    <w:rPr>
                      <w:color w:val="auto"/>
                      <w:sz w:val="21"/>
                      <w:szCs w:val="21"/>
                    </w:rPr>
                    <w:t>建设地点</w:t>
                  </w:r>
                </w:p>
              </w:tc>
              <w:tc>
                <w:tcPr>
                  <w:tcW w:w="1804" w:type="dxa"/>
                  <w:noWrap w:val="0"/>
                  <w:vAlign w:val="center"/>
                </w:tcPr>
                <w:p>
                  <w:pPr>
                    <w:jc w:val="center"/>
                    <w:rPr>
                      <w:color w:val="auto"/>
                      <w:sz w:val="21"/>
                      <w:szCs w:val="21"/>
                    </w:rPr>
                  </w:pPr>
                  <w:r>
                    <w:rPr>
                      <w:color w:val="auto"/>
                      <w:sz w:val="21"/>
                      <w:szCs w:val="21"/>
                    </w:rPr>
                    <w:t>四川省</w:t>
                  </w:r>
                </w:p>
              </w:tc>
              <w:tc>
                <w:tcPr>
                  <w:tcW w:w="2058" w:type="dxa"/>
                  <w:noWrap w:val="0"/>
                  <w:vAlign w:val="center"/>
                </w:tcPr>
                <w:p>
                  <w:pPr>
                    <w:jc w:val="center"/>
                    <w:rPr>
                      <w:color w:val="auto"/>
                      <w:sz w:val="21"/>
                      <w:szCs w:val="21"/>
                    </w:rPr>
                  </w:pPr>
                  <w:r>
                    <w:rPr>
                      <w:color w:val="auto"/>
                      <w:sz w:val="21"/>
                      <w:szCs w:val="21"/>
                    </w:rPr>
                    <w:t>乐山市</w:t>
                  </w:r>
                </w:p>
              </w:tc>
              <w:tc>
                <w:tcPr>
                  <w:tcW w:w="3512" w:type="dxa"/>
                  <w:gridSpan w:val="2"/>
                  <w:noWrap w:val="0"/>
                  <w:vAlign w:val="center"/>
                </w:tcPr>
                <w:p>
                  <w:pPr>
                    <w:jc w:val="center"/>
                    <w:rPr>
                      <w:color w:val="auto"/>
                      <w:sz w:val="21"/>
                      <w:szCs w:val="21"/>
                    </w:rPr>
                  </w:pPr>
                  <w:r>
                    <w:rPr>
                      <w:color w:val="auto"/>
                      <w:sz w:val="21"/>
                      <w:szCs w:val="21"/>
                    </w:rPr>
                    <w:t>峨边彝族自治县宜坪乡桐花村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1662" w:type="dxa"/>
                  <w:noWrap w:val="0"/>
                  <w:vAlign w:val="center"/>
                </w:tcPr>
                <w:p>
                  <w:pPr>
                    <w:jc w:val="center"/>
                    <w:rPr>
                      <w:color w:val="auto"/>
                      <w:sz w:val="21"/>
                      <w:szCs w:val="21"/>
                    </w:rPr>
                  </w:pPr>
                  <w:r>
                    <w:rPr>
                      <w:color w:val="auto"/>
                      <w:sz w:val="21"/>
                      <w:szCs w:val="21"/>
                    </w:rPr>
                    <w:t>地理坐标</w:t>
                  </w:r>
                </w:p>
              </w:tc>
              <w:tc>
                <w:tcPr>
                  <w:tcW w:w="1804" w:type="dxa"/>
                  <w:noWrap w:val="0"/>
                  <w:vAlign w:val="center"/>
                </w:tcPr>
                <w:p>
                  <w:pPr>
                    <w:jc w:val="center"/>
                    <w:rPr>
                      <w:color w:val="auto"/>
                      <w:sz w:val="21"/>
                      <w:szCs w:val="21"/>
                    </w:rPr>
                  </w:pPr>
                  <w:r>
                    <w:rPr>
                      <w:color w:val="auto"/>
                      <w:sz w:val="21"/>
                      <w:szCs w:val="21"/>
                    </w:rPr>
                    <w:t>经度</w:t>
                  </w:r>
                </w:p>
              </w:tc>
              <w:tc>
                <w:tcPr>
                  <w:tcW w:w="2058" w:type="dxa"/>
                  <w:noWrap w:val="0"/>
                  <w:vAlign w:val="center"/>
                </w:tcPr>
                <w:p>
                  <w:pPr>
                    <w:jc w:val="center"/>
                    <w:rPr>
                      <w:color w:val="auto"/>
                      <w:sz w:val="21"/>
                      <w:szCs w:val="21"/>
                    </w:rPr>
                  </w:pPr>
                  <w:r>
                    <w:rPr>
                      <w:bCs/>
                      <w:color w:val="auto"/>
                      <w:sz w:val="21"/>
                      <w:szCs w:val="21"/>
                    </w:rPr>
                    <w:t>103°11′21.5″</w:t>
                  </w:r>
                </w:p>
              </w:tc>
              <w:tc>
                <w:tcPr>
                  <w:tcW w:w="1605" w:type="dxa"/>
                  <w:noWrap w:val="0"/>
                  <w:vAlign w:val="center"/>
                </w:tcPr>
                <w:p>
                  <w:pPr>
                    <w:jc w:val="center"/>
                    <w:rPr>
                      <w:color w:val="auto"/>
                      <w:sz w:val="21"/>
                      <w:szCs w:val="21"/>
                    </w:rPr>
                  </w:pPr>
                  <w:r>
                    <w:rPr>
                      <w:color w:val="auto"/>
                      <w:sz w:val="21"/>
                      <w:szCs w:val="21"/>
                    </w:rPr>
                    <w:t>纬度</w:t>
                  </w:r>
                </w:p>
              </w:tc>
              <w:tc>
                <w:tcPr>
                  <w:tcW w:w="1907" w:type="dxa"/>
                  <w:noWrap w:val="0"/>
                  <w:vAlign w:val="center"/>
                </w:tcPr>
                <w:p>
                  <w:pPr>
                    <w:jc w:val="center"/>
                    <w:rPr>
                      <w:color w:val="auto"/>
                      <w:sz w:val="21"/>
                      <w:szCs w:val="21"/>
                    </w:rPr>
                  </w:pPr>
                  <w:r>
                    <w:rPr>
                      <w:bCs/>
                      <w:color w:val="auto"/>
                      <w:sz w:val="21"/>
                      <w:szCs w:val="21"/>
                    </w:rPr>
                    <w:t>29°13′29.5″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662" w:type="dxa"/>
                  <w:noWrap w:val="0"/>
                  <w:vAlign w:val="center"/>
                </w:tcPr>
                <w:p>
                  <w:pPr>
                    <w:jc w:val="center"/>
                    <w:rPr>
                      <w:color w:val="auto"/>
                      <w:sz w:val="21"/>
                      <w:szCs w:val="21"/>
                    </w:rPr>
                  </w:pPr>
                  <w:r>
                    <w:rPr>
                      <w:color w:val="auto"/>
                      <w:sz w:val="21"/>
                      <w:szCs w:val="21"/>
                    </w:rPr>
                    <w:t>主要危险物质及分布</w:t>
                  </w:r>
                </w:p>
              </w:tc>
              <w:tc>
                <w:tcPr>
                  <w:tcW w:w="7374" w:type="dxa"/>
                  <w:gridSpan w:val="4"/>
                  <w:noWrap w:val="0"/>
                  <w:vAlign w:val="center"/>
                </w:tcPr>
                <w:p>
                  <w:pPr>
                    <w:widowControl/>
                    <w:jc w:val="left"/>
                    <w:rPr>
                      <w:color w:val="auto"/>
                      <w:sz w:val="21"/>
                      <w:szCs w:val="21"/>
                    </w:rPr>
                  </w:pPr>
                  <w:r>
                    <w:rPr>
                      <w:color w:val="auto"/>
                      <w:kern w:val="0"/>
                      <w:sz w:val="21"/>
                      <w:szCs w:val="21"/>
                      <w:lang w:bidi="ar"/>
                    </w:rPr>
                    <w:t>本项目不涉及的危险化学品，环境风险主要体现在管道泄漏、爆裂风险和污水处理</w:t>
                  </w:r>
                  <w:r>
                    <w:rPr>
                      <w:rFonts w:hint="eastAsia"/>
                      <w:color w:val="auto"/>
                      <w:kern w:val="0"/>
                      <w:sz w:val="21"/>
                      <w:szCs w:val="21"/>
                      <w:lang w:bidi="ar"/>
                    </w:rPr>
                    <w:t>设施外泄</w:t>
                  </w:r>
                  <w:r>
                    <w:rPr>
                      <w:color w:val="auto"/>
                      <w:kern w:val="0"/>
                      <w:sz w:val="21"/>
                      <w:szCs w:val="21"/>
                      <w:lang w:bidi="ar"/>
                    </w:rPr>
                    <w:t>风险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662" w:type="dxa"/>
                  <w:noWrap w:val="0"/>
                  <w:vAlign w:val="center"/>
                </w:tcPr>
                <w:p>
                  <w:pPr>
                    <w:jc w:val="center"/>
                    <w:rPr>
                      <w:color w:val="auto"/>
                      <w:sz w:val="21"/>
                      <w:szCs w:val="21"/>
                    </w:rPr>
                  </w:pPr>
                  <w:r>
                    <w:rPr>
                      <w:color w:val="auto"/>
                      <w:sz w:val="21"/>
                      <w:szCs w:val="21"/>
                    </w:rPr>
                    <w:t>环境影响途径及危害后果</w:t>
                  </w:r>
                </w:p>
              </w:tc>
              <w:tc>
                <w:tcPr>
                  <w:tcW w:w="7374" w:type="dxa"/>
                  <w:gridSpan w:val="4"/>
                  <w:noWrap w:val="0"/>
                  <w:vAlign w:val="center"/>
                </w:tcPr>
                <w:p>
                  <w:pPr>
                    <w:widowControl/>
                    <w:jc w:val="left"/>
                    <w:rPr>
                      <w:color w:val="auto"/>
                      <w:sz w:val="21"/>
                      <w:szCs w:val="21"/>
                    </w:rPr>
                  </w:pPr>
                  <w:r>
                    <w:rPr>
                      <w:b/>
                      <w:color w:val="auto"/>
                      <w:kern w:val="0"/>
                      <w:sz w:val="21"/>
                      <w:szCs w:val="21"/>
                      <w:lang w:bidi="ar"/>
                    </w:rPr>
                    <w:t>管道泄漏、爆裂风险：</w:t>
                  </w:r>
                  <w:r>
                    <w:rPr>
                      <w:color w:val="auto"/>
                      <w:kern w:val="0"/>
                      <w:sz w:val="21"/>
                      <w:szCs w:val="21"/>
                      <w:lang w:bidi="ar"/>
                    </w:rPr>
                    <w:t xml:space="preserve">管道泄漏、爆裂造成生活污水暴露在外环境，造成区域环境空气和地表水污染 </w:t>
                  </w:r>
                </w:p>
                <w:p>
                  <w:pPr>
                    <w:widowControl/>
                    <w:jc w:val="left"/>
                    <w:rPr>
                      <w:color w:val="auto"/>
                      <w:sz w:val="21"/>
                      <w:szCs w:val="21"/>
                    </w:rPr>
                  </w:pPr>
                  <w:r>
                    <w:rPr>
                      <w:b/>
                      <w:color w:val="auto"/>
                      <w:kern w:val="0"/>
                      <w:sz w:val="21"/>
                      <w:szCs w:val="21"/>
                      <w:lang w:bidi="ar"/>
                    </w:rPr>
                    <w:t>污水处理站风险：</w:t>
                  </w:r>
                  <w:r>
                    <w:rPr>
                      <w:color w:val="auto"/>
                      <w:kern w:val="0"/>
                      <w:sz w:val="21"/>
                      <w:szCs w:val="21"/>
                      <w:lang w:bidi="ar"/>
                    </w:rPr>
                    <w:t>污水站事故排放导致地表水环境受到影响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1662" w:type="dxa"/>
                  <w:noWrap w:val="0"/>
                  <w:vAlign w:val="center"/>
                </w:tcPr>
                <w:p>
                  <w:pPr>
                    <w:jc w:val="center"/>
                    <w:rPr>
                      <w:color w:val="auto"/>
                      <w:sz w:val="21"/>
                      <w:szCs w:val="21"/>
                    </w:rPr>
                  </w:pPr>
                  <w:r>
                    <w:rPr>
                      <w:color w:val="auto"/>
                      <w:sz w:val="21"/>
                      <w:szCs w:val="21"/>
                    </w:rPr>
                    <w:t>风险防范措施等</w:t>
                  </w:r>
                </w:p>
              </w:tc>
              <w:tc>
                <w:tcPr>
                  <w:tcW w:w="7374" w:type="dxa"/>
                  <w:gridSpan w:val="4"/>
                  <w:noWrap w:val="0"/>
                  <w:vAlign w:val="center"/>
                </w:tcPr>
                <w:p>
                  <w:pPr>
                    <w:widowControl/>
                    <w:jc w:val="left"/>
                    <w:rPr>
                      <w:color w:val="auto"/>
                      <w:sz w:val="21"/>
                      <w:szCs w:val="21"/>
                    </w:rPr>
                  </w:pPr>
                  <w:r>
                    <w:rPr>
                      <w:b/>
                      <w:color w:val="auto"/>
                      <w:kern w:val="0"/>
                      <w:sz w:val="21"/>
                      <w:szCs w:val="21"/>
                      <w:lang w:bidi="ar"/>
                    </w:rPr>
                    <w:t>管道泄漏、爆裂风险防范：</w:t>
                  </w:r>
                  <w:r>
                    <w:rPr>
                      <w:color w:val="auto"/>
                      <w:kern w:val="0"/>
                      <w:sz w:val="21"/>
                      <w:szCs w:val="21"/>
                      <w:lang w:bidi="ar"/>
                    </w:rPr>
                    <w:t xml:space="preserve">严格管理、加强沿线新建项目施工的检查、防渗措施 </w:t>
                  </w:r>
                </w:p>
                <w:p>
                  <w:pPr>
                    <w:widowControl/>
                    <w:jc w:val="left"/>
                    <w:rPr>
                      <w:color w:val="auto"/>
                      <w:sz w:val="21"/>
                      <w:szCs w:val="21"/>
                    </w:rPr>
                  </w:pPr>
                  <w:r>
                    <w:rPr>
                      <w:b/>
                      <w:color w:val="auto"/>
                      <w:kern w:val="0"/>
                      <w:sz w:val="21"/>
                      <w:szCs w:val="21"/>
                      <w:lang w:bidi="ar"/>
                    </w:rPr>
                    <w:t>污水处理站风险：</w:t>
                  </w:r>
                  <w:r>
                    <w:rPr>
                      <w:color w:val="auto"/>
                      <w:kern w:val="0"/>
                      <w:sz w:val="21"/>
                      <w:szCs w:val="21"/>
                      <w:lang w:bidi="ar"/>
                    </w:rPr>
                    <w:t>关键设备一用一备、加强运行管理和出水的监测工作、设备维护工作，建立合适的事故处理程序、机制和措施，建立安全操作规程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trPr>
              <w:tc>
                <w:tcPr>
                  <w:tcW w:w="1662" w:type="dxa"/>
                  <w:noWrap w:val="0"/>
                  <w:vAlign w:val="center"/>
                </w:tcPr>
                <w:p>
                  <w:pPr>
                    <w:jc w:val="center"/>
                    <w:rPr>
                      <w:color w:val="auto"/>
                      <w:sz w:val="21"/>
                      <w:szCs w:val="21"/>
                    </w:rPr>
                  </w:pPr>
                  <w:r>
                    <w:rPr>
                      <w:color w:val="auto"/>
                      <w:sz w:val="21"/>
                      <w:szCs w:val="21"/>
                    </w:rPr>
                    <w:t>填表说明</w:t>
                  </w:r>
                </w:p>
              </w:tc>
              <w:tc>
                <w:tcPr>
                  <w:tcW w:w="7374" w:type="dxa"/>
                  <w:gridSpan w:val="4"/>
                  <w:noWrap w:val="0"/>
                  <w:vAlign w:val="center"/>
                </w:tcPr>
                <w:p>
                  <w:pPr>
                    <w:jc w:val="center"/>
                    <w:rPr>
                      <w:color w:val="auto"/>
                      <w:sz w:val="21"/>
                      <w:szCs w:val="21"/>
                    </w:rPr>
                  </w:pPr>
                  <w:r>
                    <w:rPr>
                      <w:color w:val="auto"/>
                      <w:sz w:val="21"/>
                      <w:szCs w:val="21"/>
                    </w:rPr>
                    <w:t>/</w:t>
                  </w:r>
                </w:p>
              </w:tc>
            </w:tr>
          </w:tbl>
          <w:p>
            <w:pPr>
              <w:spacing w:line="360" w:lineRule="auto"/>
              <w:ind w:firstLine="482" w:firstLineChars="200"/>
              <w:rPr>
                <w:b/>
                <w:bCs/>
                <w:color w:val="auto"/>
              </w:rPr>
            </w:pPr>
            <w:r>
              <w:rPr>
                <w:b/>
                <w:bCs/>
                <w:color w:val="auto"/>
              </w:rPr>
              <w:t>4.3环境敏感目标概况</w:t>
            </w:r>
          </w:p>
          <w:p>
            <w:pPr>
              <w:pStyle w:val="2"/>
              <w:ind w:left="0" w:leftChars="0" w:firstLine="480"/>
              <w:rPr>
                <w:rFonts w:hint="default" w:ascii="Times New Roman" w:hAnsi="Times New Roman"/>
                <w:color w:val="auto"/>
                <w:sz w:val="24"/>
              </w:rPr>
            </w:pPr>
            <w:r>
              <w:rPr>
                <w:rFonts w:hint="default" w:ascii="Times New Roman" w:hAnsi="Times New Roman"/>
                <w:color w:val="auto"/>
                <w:sz w:val="24"/>
              </w:rPr>
              <w:t>本项目涉及的环境敏感目标见表7-35。</w:t>
            </w:r>
          </w:p>
          <w:p>
            <w:pPr>
              <w:widowControl/>
              <w:adjustRightInd w:val="0"/>
              <w:snapToGrid w:val="0"/>
              <w:spacing w:line="360" w:lineRule="auto"/>
              <w:jc w:val="center"/>
              <w:rPr>
                <w:rFonts w:eastAsia="黑体"/>
                <w:color w:val="auto"/>
              </w:rPr>
            </w:pPr>
            <w:r>
              <w:rPr>
                <w:rFonts w:eastAsia="黑体"/>
                <w:color w:val="auto"/>
              </w:rPr>
              <w:t>表7-35  本项目主要环境保护目标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93"/>
              <w:gridCol w:w="1403"/>
              <w:gridCol w:w="1397"/>
              <w:gridCol w:w="1015"/>
              <w:gridCol w:w="1083"/>
              <w:gridCol w:w="1183"/>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93" w:type="dxa"/>
                  <w:noWrap w:val="0"/>
                  <w:vAlign w:val="center"/>
                </w:tcPr>
                <w:p>
                  <w:pPr>
                    <w:pStyle w:val="79"/>
                    <w:rPr>
                      <w:b/>
                      <w:bCs/>
                      <w:color w:val="auto"/>
                    </w:rPr>
                  </w:pPr>
                  <w:r>
                    <w:rPr>
                      <w:b/>
                      <w:bCs/>
                      <w:color w:val="auto"/>
                    </w:rPr>
                    <w:t>环境要素</w:t>
                  </w:r>
                </w:p>
              </w:tc>
              <w:tc>
                <w:tcPr>
                  <w:tcW w:w="1403" w:type="dxa"/>
                  <w:noWrap w:val="0"/>
                  <w:vAlign w:val="center"/>
                </w:tcPr>
                <w:p>
                  <w:pPr>
                    <w:pStyle w:val="79"/>
                    <w:rPr>
                      <w:b/>
                      <w:bCs/>
                      <w:color w:val="auto"/>
                    </w:rPr>
                  </w:pPr>
                  <w:r>
                    <w:rPr>
                      <w:b/>
                      <w:bCs/>
                      <w:color w:val="auto"/>
                    </w:rPr>
                    <w:t>污水治理项目</w:t>
                  </w:r>
                </w:p>
              </w:tc>
              <w:tc>
                <w:tcPr>
                  <w:tcW w:w="1397" w:type="dxa"/>
                  <w:noWrap w:val="0"/>
                  <w:vAlign w:val="center"/>
                </w:tcPr>
                <w:p>
                  <w:pPr>
                    <w:pStyle w:val="79"/>
                    <w:rPr>
                      <w:b/>
                      <w:bCs/>
                      <w:color w:val="auto"/>
                    </w:rPr>
                  </w:pPr>
                  <w:r>
                    <w:rPr>
                      <w:b/>
                      <w:bCs/>
                      <w:color w:val="auto"/>
                    </w:rPr>
                    <w:t>保护目标名称</w:t>
                  </w:r>
                </w:p>
              </w:tc>
              <w:tc>
                <w:tcPr>
                  <w:tcW w:w="1015" w:type="dxa"/>
                  <w:noWrap w:val="0"/>
                  <w:vAlign w:val="center"/>
                </w:tcPr>
                <w:p>
                  <w:pPr>
                    <w:pStyle w:val="79"/>
                    <w:rPr>
                      <w:b/>
                      <w:bCs/>
                      <w:color w:val="auto"/>
                    </w:rPr>
                  </w:pPr>
                  <w:r>
                    <w:rPr>
                      <w:b/>
                      <w:bCs/>
                      <w:color w:val="auto"/>
                    </w:rPr>
                    <w:t>方位</w:t>
                  </w:r>
                </w:p>
              </w:tc>
              <w:tc>
                <w:tcPr>
                  <w:tcW w:w="1083" w:type="dxa"/>
                  <w:noWrap w:val="0"/>
                  <w:vAlign w:val="center"/>
                </w:tcPr>
                <w:p>
                  <w:pPr>
                    <w:pStyle w:val="79"/>
                    <w:rPr>
                      <w:b/>
                      <w:bCs/>
                      <w:color w:val="auto"/>
                    </w:rPr>
                  </w:pPr>
                  <w:r>
                    <w:rPr>
                      <w:b/>
                      <w:bCs/>
                      <w:color w:val="auto"/>
                    </w:rPr>
                    <w:t>距离</w:t>
                  </w:r>
                </w:p>
              </w:tc>
              <w:tc>
                <w:tcPr>
                  <w:tcW w:w="1183" w:type="dxa"/>
                  <w:noWrap w:val="0"/>
                  <w:vAlign w:val="center"/>
                </w:tcPr>
                <w:p>
                  <w:pPr>
                    <w:pStyle w:val="79"/>
                    <w:rPr>
                      <w:b/>
                      <w:bCs/>
                      <w:color w:val="auto"/>
                    </w:rPr>
                  </w:pPr>
                  <w:r>
                    <w:rPr>
                      <w:b/>
                      <w:bCs/>
                      <w:color w:val="auto"/>
                    </w:rPr>
                    <w:t>规模</w:t>
                  </w:r>
                </w:p>
              </w:tc>
              <w:tc>
                <w:tcPr>
                  <w:tcW w:w="1981" w:type="dxa"/>
                  <w:noWrap w:val="0"/>
                  <w:vAlign w:val="center"/>
                </w:tcPr>
                <w:p>
                  <w:pPr>
                    <w:pStyle w:val="79"/>
                    <w:rPr>
                      <w:b/>
                      <w:bCs/>
                      <w:color w:val="auto"/>
                    </w:rPr>
                  </w:pPr>
                  <w:r>
                    <w:rPr>
                      <w:b/>
                      <w:bCs/>
                      <w:color w:val="auto"/>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3" w:type="dxa"/>
                  <w:vMerge w:val="restart"/>
                  <w:noWrap w:val="0"/>
                  <w:vAlign w:val="center"/>
                </w:tcPr>
                <w:p>
                  <w:pPr>
                    <w:pStyle w:val="79"/>
                    <w:rPr>
                      <w:color w:val="auto"/>
                      <w:szCs w:val="21"/>
                    </w:rPr>
                  </w:pPr>
                  <w:r>
                    <w:rPr>
                      <w:color w:val="auto"/>
                      <w:szCs w:val="21"/>
                    </w:rPr>
                    <w:t>大气环境</w:t>
                  </w:r>
                </w:p>
              </w:tc>
              <w:tc>
                <w:tcPr>
                  <w:tcW w:w="1403" w:type="dxa"/>
                  <w:tcBorders>
                    <w:top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7" w:type="dxa"/>
                  <w:tcBorders>
                    <w:top w:val="single" w:color="000000" w:sz="4" w:space="0"/>
                  </w:tcBorders>
                  <w:noWrap w:val="0"/>
                  <w:vAlign w:val="center"/>
                </w:tcPr>
                <w:p>
                  <w:pPr>
                    <w:jc w:val="center"/>
                    <w:rPr>
                      <w:color w:val="auto"/>
                      <w:sz w:val="21"/>
                      <w:szCs w:val="21"/>
                    </w:rPr>
                  </w:pPr>
                  <w:r>
                    <w:rPr>
                      <w:bCs/>
                      <w:color w:val="auto"/>
                      <w:sz w:val="21"/>
                      <w:szCs w:val="21"/>
                      <w:lang w:bidi="ar"/>
                    </w:rPr>
                    <w:t>宜坪乡桐花村</w:t>
                  </w:r>
                  <w:r>
                    <w:rPr>
                      <w:color w:val="auto"/>
                      <w:sz w:val="21"/>
                      <w:szCs w:val="21"/>
                    </w:rPr>
                    <w:t>农户</w:t>
                  </w:r>
                </w:p>
              </w:tc>
              <w:tc>
                <w:tcPr>
                  <w:tcW w:w="1015" w:type="dxa"/>
                  <w:tcBorders>
                    <w:top w:val="single" w:color="000000" w:sz="4" w:space="0"/>
                  </w:tcBorders>
                  <w:noWrap w:val="0"/>
                  <w:vAlign w:val="center"/>
                </w:tcPr>
                <w:p>
                  <w:pPr>
                    <w:pStyle w:val="79"/>
                    <w:rPr>
                      <w:color w:val="auto"/>
                      <w:szCs w:val="21"/>
                    </w:rPr>
                  </w:pPr>
                  <w:r>
                    <w:rPr>
                      <w:color w:val="auto"/>
                      <w:szCs w:val="21"/>
                    </w:rPr>
                    <w:t>北面</w:t>
                  </w:r>
                </w:p>
              </w:tc>
              <w:tc>
                <w:tcPr>
                  <w:tcW w:w="1083" w:type="dxa"/>
                  <w:tcBorders>
                    <w:top w:val="single" w:color="000000" w:sz="4" w:space="0"/>
                  </w:tcBorders>
                  <w:noWrap w:val="0"/>
                  <w:vAlign w:val="center"/>
                </w:tcPr>
                <w:p>
                  <w:pPr>
                    <w:pStyle w:val="79"/>
                    <w:rPr>
                      <w:color w:val="auto"/>
                      <w:szCs w:val="21"/>
                    </w:rPr>
                  </w:pPr>
                  <w:r>
                    <w:rPr>
                      <w:color w:val="auto"/>
                      <w:szCs w:val="21"/>
                    </w:rPr>
                    <w:t>100m</w:t>
                  </w:r>
                </w:p>
              </w:tc>
              <w:tc>
                <w:tcPr>
                  <w:tcW w:w="1183" w:type="dxa"/>
                  <w:vMerge w:val="restart"/>
                  <w:tcBorders>
                    <w:top w:val="single" w:color="000000" w:sz="4" w:space="0"/>
                  </w:tcBorders>
                  <w:noWrap w:val="0"/>
                  <w:vAlign w:val="center"/>
                </w:tcPr>
                <w:p>
                  <w:pPr>
                    <w:pStyle w:val="79"/>
                    <w:rPr>
                      <w:color w:val="auto"/>
                      <w:szCs w:val="21"/>
                    </w:rPr>
                  </w:pPr>
                  <w:r>
                    <w:rPr>
                      <w:color w:val="auto"/>
                      <w:szCs w:val="21"/>
                    </w:rPr>
                    <w:t>132户，450人</w:t>
                  </w:r>
                </w:p>
              </w:tc>
              <w:tc>
                <w:tcPr>
                  <w:tcW w:w="1981" w:type="dxa"/>
                  <w:vMerge w:val="restart"/>
                  <w:noWrap w:val="0"/>
                  <w:vAlign w:val="center"/>
                </w:tcPr>
                <w:p>
                  <w:pPr>
                    <w:pStyle w:val="79"/>
                    <w:rPr>
                      <w:color w:val="auto"/>
                      <w:szCs w:val="21"/>
                    </w:rPr>
                  </w:pPr>
                  <w:r>
                    <w:rPr>
                      <w:color w:val="auto"/>
                      <w:szCs w:val="21"/>
                    </w:rPr>
                    <w:t>《环境空气质量标准》（GB3095-2012）中二级标准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color w:val="auto"/>
                    </w:rPr>
                  </w:pPr>
                </w:p>
              </w:tc>
              <w:tc>
                <w:tcPr>
                  <w:tcW w:w="1403" w:type="dxa"/>
                  <w:vMerge w:val="restart"/>
                  <w:tcBorders>
                    <w:top w:val="single" w:color="000000" w:sz="4" w:space="0"/>
                  </w:tcBorders>
                  <w:noWrap w:val="0"/>
                  <w:vAlign w:val="center"/>
                </w:tcPr>
                <w:p>
                  <w:pPr>
                    <w:pStyle w:val="79"/>
                    <w:rPr>
                      <w:bCs/>
                      <w:color w:val="auto"/>
                      <w:szCs w:val="21"/>
                      <w:lang w:bidi="ar"/>
                    </w:rPr>
                  </w:pPr>
                  <w:r>
                    <w:rPr>
                      <w:color w:val="auto"/>
                    </w:rPr>
                    <w:t>“化粪池2+人工湿地”</w:t>
                  </w:r>
                </w:p>
              </w:tc>
              <w:tc>
                <w:tcPr>
                  <w:tcW w:w="1397" w:type="dxa"/>
                  <w:vMerge w:val="restart"/>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5" w:type="dxa"/>
                  <w:noWrap w:val="0"/>
                  <w:vAlign w:val="center"/>
                </w:tcPr>
                <w:p>
                  <w:pPr>
                    <w:pStyle w:val="79"/>
                    <w:rPr>
                      <w:bCs/>
                      <w:color w:val="auto"/>
                      <w:szCs w:val="21"/>
                      <w:lang w:bidi="ar"/>
                    </w:rPr>
                  </w:pPr>
                  <w:r>
                    <w:rPr>
                      <w:color w:val="auto"/>
                    </w:rPr>
                    <w:t>东侧</w:t>
                  </w:r>
                </w:p>
              </w:tc>
              <w:tc>
                <w:tcPr>
                  <w:tcW w:w="1083" w:type="dxa"/>
                  <w:noWrap w:val="0"/>
                  <w:vAlign w:val="center"/>
                </w:tcPr>
                <w:p>
                  <w:pPr>
                    <w:pStyle w:val="79"/>
                    <w:rPr>
                      <w:bCs/>
                      <w:color w:val="auto"/>
                      <w:szCs w:val="21"/>
                      <w:lang w:bidi="ar"/>
                    </w:rPr>
                  </w:pPr>
                  <w:r>
                    <w:rPr>
                      <w:color w:val="auto"/>
                    </w:rPr>
                    <w:t>25m</w:t>
                  </w:r>
                </w:p>
              </w:tc>
              <w:tc>
                <w:tcPr>
                  <w:tcW w:w="1183"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color w:val="auto"/>
                    </w:rPr>
                  </w:pPr>
                </w:p>
              </w:tc>
              <w:tc>
                <w:tcPr>
                  <w:tcW w:w="1403" w:type="dxa"/>
                  <w:vMerge w:val="continue"/>
                  <w:noWrap w:val="0"/>
                  <w:vAlign w:val="center"/>
                </w:tcPr>
                <w:p>
                  <w:pPr>
                    <w:pStyle w:val="79"/>
                    <w:rPr>
                      <w:color w:val="auto"/>
                    </w:rPr>
                  </w:pPr>
                </w:p>
              </w:tc>
              <w:tc>
                <w:tcPr>
                  <w:tcW w:w="1397" w:type="dxa"/>
                  <w:vMerge w:val="continue"/>
                  <w:noWrap w:val="0"/>
                  <w:vAlign w:val="center"/>
                </w:tcPr>
                <w:p>
                  <w:pPr>
                    <w:pStyle w:val="79"/>
                    <w:rPr>
                      <w:color w:val="auto"/>
                    </w:rPr>
                  </w:pPr>
                </w:p>
              </w:tc>
              <w:tc>
                <w:tcPr>
                  <w:tcW w:w="1015" w:type="dxa"/>
                  <w:noWrap w:val="0"/>
                  <w:vAlign w:val="center"/>
                </w:tcPr>
                <w:p>
                  <w:pPr>
                    <w:pStyle w:val="79"/>
                    <w:rPr>
                      <w:color w:val="auto"/>
                    </w:rPr>
                  </w:pPr>
                  <w:r>
                    <w:rPr>
                      <w:color w:val="auto"/>
                    </w:rPr>
                    <w:t>西侧</w:t>
                  </w:r>
                </w:p>
              </w:tc>
              <w:tc>
                <w:tcPr>
                  <w:tcW w:w="1083" w:type="dxa"/>
                  <w:noWrap w:val="0"/>
                  <w:vAlign w:val="center"/>
                </w:tcPr>
                <w:p>
                  <w:pPr>
                    <w:pStyle w:val="79"/>
                    <w:rPr>
                      <w:color w:val="auto"/>
                    </w:rPr>
                  </w:pPr>
                  <w:r>
                    <w:rPr>
                      <w:color w:val="auto"/>
                    </w:rPr>
                    <w:t>20m</w:t>
                  </w:r>
                </w:p>
              </w:tc>
              <w:tc>
                <w:tcPr>
                  <w:tcW w:w="1183" w:type="dxa"/>
                  <w:vMerge w:val="continue"/>
                  <w:noWrap w:val="0"/>
                  <w:vAlign w:val="center"/>
                </w:tcPr>
                <w:p>
                  <w:pPr>
                    <w:pStyle w:val="79"/>
                    <w:rPr>
                      <w:color w:val="auto"/>
                    </w:rPr>
                  </w:pPr>
                </w:p>
              </w:tc>
              <w:tc>
                <w:tcPr>
                  <w:tcW w:w="1981" w:type="dxa"/>
                  <w:vMerge w:val="continue"/>
                  <w:noWrap w:val="0"/>
                  <w:vAlign w:val="center"/>
                </w:tcPr>
                <w:p>
                  <w:pPr>
                    <w:pStyle w:val="79"/>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color w:val="auto"/>
                    </w:rPr>
                  </w:pPr>
                </w:p>
              </w:tc>
              <w:tc>
                <w:tcPr>
                  <w:tcW w:w="1403" w:type="dxa"/>
                  <w:vMerge w:val="continue"/>
                  <w:noWrap w:val="0"/>
                  <w:vAlign w:val="center"/>
                </w:tcPr>
                <w:p>
                  <w:pPr>
                    <w:pStyle w:val="79"/>
                    <w:rPr>
                      <w:color w:val="auto"/>
                    </w:rPr>
                  </w:pPr>
                </w:p>
              </w:tc>
              <w:tc>
                <w:tcPr>
                  <w:tcW w:w="1397" w:type="dxa"/>
                  <w:vMerge w:val="continue"/>
                  <w:noWrap w:val="0"/>
                  <w:vAlign w:val="center"/>
                </w:tcPr>
                <w:p>
                  <w:pPr>
                    <w:pStyle w:val="79"/>
                    <w:rPr>
                      <w:color w:val="auto"/>
                    </w:rPr>
                  </w:pPr>
                </w:p>
              </w:tc>
              <w:tc>
                <w:tcPr>
                  <w:tcW w:w="1015" w:type="dxa"/>
                  <w:noWrap w:val="0"/>
                  <w:vAlign w:val="center"/>
                </w:tcPr>
                <w:p>
                  <w:pPr>
                    <w:pStyle w:val="79"/>
                    <w:rPr>
                      <w:color w:val="auto"/>
                    </w:rPr>
                  </w:pPr>
                  <w:r>
                    <w:rPr>
                      <w:color w:val="auto"/>
                    </w:rPr>
                    <w:t>北侧</w:t>
                  </w:r>
                </w:p>
              </w:tc>
              <w:tc>
                <w:tcPr>
                  <w:tcW w:w="1083" w:type="dxa"/>
                  <w:noWrap w:val="0"/>
                  <w:vAlign w:val="center"/>
                </w:tcPr>
                <w:p>
                  <w:pPr>
                    <w:pStyle w:val="79"/>
                    <w:rPr>
                      <w:color w:val="auto"/>
                    </w:rPr>
                  </w:pPr>
                  <w:r>
                    <w:rPr>
                      <w:color w:val="auto"/>
                    </w:rPr>
                    <w:t>5m</w:t>
                  </w:r>
                </w:p>
              </w:tc>
              <w:tc>
                <w:tcPr>
                  <w:tcW w:w="1183" w:type="dxa"/>
                  <w:vMerge w:val="continue"/>
                  <w:noWrap w:val="0"/>
                  <w:vAlign w:val="center"/>
                </w:tcPr>
                <w:p>
                  <w:pPr>
                    <w:pStyle w:val="79"/>
                    <w:rPr>
                      <w:color w:val="auto"/>
                    </w:rPr>
                  </w:pPr>
                </w:p>
              </w:tc>
              <w:tc>
                <w:tcPr>
                  <w:tcW w:w="1981" w:type="dxa"/>
                  <w:vMerge w:val="continue"/>
                  <w:noWrap w:val="0"/>
                  <w:vAlign w:val="center"/>
                </w:tcPr>
                <w:p>
                  <w:pPr>
                    <w:pStyle w:val="79"/>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3" w:type="dxa"/>
                  <w:vMerge w:val="continue"/>
                  <w:noWrap w:val="0"/>
                  <w:vAlign w:val="center"/>
                </w:tcPr>
                <w:p>
                  <w:pPr>
                    <w:pStyle w:val="79"/>
                    <w:rPr>
                      <w:bCs/>
                      <w:color w:val="auto"/>
                      <w:szCs w:val="21"/>
                      <w:lang w:bidi="ar"/>
                    </w:rPr>
                  </w:pPr>
                </w:p>
              </w:tc>
              <w:tc>
                <w:tcPr>
                  <w:tcW w:w="1403" w:type="dxa"/>
                  <w:tcBorders>
                    <w:top w:val="single" w:color="000000" w:sz="4" w:space="0"/>
                  </w:tcBorders>
                  <w:noWrap w:val="0"/>
                  <w:vAlign w:val="center"/>
                </w:tcPr>
                <w:p>
                  <w:pPr>
                    <w:pStyle w:val="79"/>
                    <w:rPr>
                      <w:bCs/>
                      <w:color w:val="auto"/>
                      <w:szCs w:val="21"/>
                      <w:lang w:bidi="ar"/>
                    </w:rPr>
                  </w:pPr>
                  <w:r>
                    <w:rPr>
                      <w:color w:val="auto"/>
                    </w:rPr>
                    <w:t>“化粪池3+人工湿地”</w:t>
                  </w:r>
                </w:p>
              </w:tc>
              <w:tc>
                <w:tcPr>
                  <w:tcW w:w="1397" w:type="dxa"/>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5" w:type="dxa"/>
                  <w:noWrap w:val="0"/>
                  <w:vAlign w:val="center"/>
                </w:tcPr>
                <w:p>
                  <w:pPr>
                    <w:pStyle w:val="79"/>
                    <w:rPr>
                      <w:bCs/>
                      <w:color w:val="auto"/>
                      <w:szCs w:val="21"/>
                      <w:lang w:bidi="ar"/>
                    </w:rPr>
                  </w:pPr>
                  <w:r>
                    <w:rPr>
                      <w:color w:val="auto"/>
                    </w:rPr>
                    <w:t>东侧</w:t>
                  </w:r>
                </w:p>
              </w:tc>
              <w:tc>
                <w:tcPr>
                  <w:tcW w:w="1083" w:type="dxa"/>
                  <w:noWrap w:val="0"/>
                  <w:vAlign w:val="center"/>
                </w:tcPr>
                <w:p>
                  <w:pPr>
                    <w:pStyle w:val="79"/>
                    <w:rPr>
                      <w:bCs/>
                      <w:color w:val="auto"/>
                      <w:szCs w:val="21"/>
                      <w:lang w:bidi="ar"/>
                    </w:rPr>
                  </w:pPr>
                  <w:r>
                    <w:rPr>
                      <w:color w:val="auto"/>
                    </w:rPr>
                    <w:t>120m</w:t>
                  </w:r>
                </w:p>
              </w:tc>
              <w:tc>
                <w:tcPr>
                  <w:tcW w:w="1183"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3" w:type="dxa"/>
                  <w:vMerge w:val="restart"/>
                  <w:noWrap w:val="0"/>
                  <w:vAlign w:val="center"/>
                </w:tcPr>
                <w:p>
                  <w:pPr>
                    <w:pStyle w:val="79"/>
                    <w:rPr>
                      <w:color w:val="auto"/>
                      <w:szCs w:val="21"/>
                    </w:rPr>
                  </w:pPr>
                  <w:r>
                    <w:rPr>
                      <w:color w:val="auto"/>
                      <w:szCs w:val="21"/>
                    </w:rPr>
                    <w:t>声环境</w:t>
                  </w:r>
                </w:p>
              </w:tc>
              <w:tc>
                <w:tcPr>
                  <w:tcW w:w="1403" w:type="dxa"/>
                  <w:tcBorders>
                    <w:top w:val="single" w:color="000000" w:sz="4" w:space="0"/>
                    <w:bottom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7" w:type="dxa"/>
                  <w:tcBorders>
                    <w:top w:val="single" w:color="000000" w:sz="4" w:space="0"/>
                    <w:bottom w:val="single" w:color="000000" w:sz="4" w:space="0"/>
                  </w:tcBorders>
                  <w:noWrap w:val="0"/>
                  <w:vAlign w:val="center"/>
                </w:tcPr>
                <w:p>
                  <w:pPr>
                    <w:jc w:val="center"/>
                    <w:rPr>
                      <w:color w:val="auto"/>
                      <w:sz w:val="21"/>
                      <w:szCs w:val="21"/>
                    </w:rPr>
                  </w:pPr>
                  <w:r>
                    <w:rPr>
                      <w:bCs/>
                      <w:color w:val="auto"/>
                      <w:sz w:val="21"/>
                      <w:szCs w:val="21"/>
                      <w:lang w:bidi="ar"/>
                    </w:rPr>
                    <w:t>宜坪乡桐花村</w:t>
                  </w:r>
                  <w:r>
                    <w:rPr>
                      <w:color w:val="auto"/>
                      <w:sz w:val="21"/>
                      <w:szCs w:val="21"/>
                    </w:rPr>
                    <w:t>农户</w:t>
                  </w:r>
                </w:p>
              </w:tc>
              <w:tc>
                <w:tcPr>
                  <w:tcW w:w="1015" w:type="dxa"/>
                  <w:tcBorders>
                    <w:top w:val="single" w:color="000000" w:sz="4" w:space="0"/>
                    <w:bottom w:val="single" w:color="000000" w:sz="4" w:space="0"/>
                  </w:tcBorders>
                  <w:noWrap w:val="0"/>
                  <w:vAlign w:val="center"/>
                </w:tcPr>
                <w:p>
                  <w:pPr>
                    <w:pStyle w:val="79"/>
                    <w:rPr>
                      <w:color w:val="auto"/>
                      <w:szCs w:val="21"/>
                    </w:rPr>
                  </w:pPr>
                  <w:r>
                    <w:rPr>
                      <w:color w:val="auto"/>
                      <w:szCs w:val="21"/>
                    </w:rPr>
                    <w:t>北面</w:t>
                  </w:r>
                </w:p>
              </w:tc>
              <w:tc>
                <w:tcPr>
                  <w:tcW w:w="1083" w:type="dxa"/>
                  <w:tcBorders>
                    <w:top w:val="single" w:color="000000" w:sz="4" w:space="0"/>
                    <w:bottom w:val="single" w:color="000000" w:sz="4" w:space="0"/>
                  </w:tcBorders>
                  <w:noWrap w:val="0"/>
                  <w:vAlign w:val="center"/>
                </w:tcPr>
                <w:p>
                  <w:pPr>
                    <w:pStyle w:val="79"/>
                    <w:rPr>
                      <w:color w:val="auto"/>
                      <w:szCs w:val="21"/>
                    </w:rPr>
                  </w:pPr>
                  <w:r>
                    <w:rPr>
                      <w:color w:val="auto"/>
                      <w:szCs w:val="21"/>
                    </w:rPr>
                    <w:t>100m</w:t>
                  </w:r>
                </w:p>
              </w:tc>
              <w:tc>
                <w:tcPr>
                  <w:tcW w:w="1183" w:type="dxa"/>
                  <w:vMerge w:val="restart"/>
                  <w:tcBorders>
                    <w:top w:val="single" w:color="000000" w:sz="4" w:space="0"/>
                  </w:tcBorders>
                  <w:noWrap w:val="0"/>
                  <w:vAlign w:val="center"/>
                </w:tcPr>
                <w:p>
                  <w:pPr>
                    <w:pStyle w:val="79"/>
                    <w:rPr>
                      <w:color w:val="auto"/>
                      <w:szCs w:val="21"/>
                    </w:rPr>
                  </w:pPr>
                  <w:r>
                    <w:rPr>
                      <w:color w:val="auto"/>
                      <w:szCs w:val="21"/>
                    </w:rPr>
                    <w:t>132户，450人</w:t>
                  </w:r>
                </w:p>
              </w:tc>
              <w:tc>
                <w:tcPr>
                  <w:tcW w:w="1981" w:type="dxa"/>
                  <w:vMerge w:val="restart"/>
                  <w:noWrap w:val="0"/>
                  <w:vAlign w:val="center"/>
                </w:tcPr>
                <w:p>
                  <w:pPr>
                    <w:pStyle w:val="79"/>
                    <w:rPr>
                      <w:color w:val="auto"/>
                      <w:szCs w:val="21"/>
                    </w:rPr>
                  </w:pPr>
                  <w:r>
                    <w:rPr>
                      <w:color w:val="auto"/>
                      <w:szCs w:val="21"/>
                    </w:rPr>
                    <w:t>《声环境质量标准》（GB3096-2008）中2类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color w:val="auto"/>
                    </w:rPr>
                  </w:pPr>
                </w:p>
              </w:tc>
              <w:tc>
                <w:tcPr>
                  <w:tcW w:w="1403" w:type="dxa"/>
                  <w:vMerge w:val="restart"/>
                  <w:tcBorders>
                    <w:top w:val="single" w:color="000000" w:sz="4" w:space="0"/>
                  </w:tcBorders>
                  <w:noWrap w:val="0"/>
                  <w:vAlign w:val="center"/>
                </w:tcPr>
                <w:p>
                  <w:pPr>
                    <w:pStyle w:val="79"/>
                    <w:rPr>
                      <w:bCs/>
                      <w:color w:val="auto"/>
                      <w:szCs w:val="21"/>
                      <w:lang w:bidi="ar"/>
                    </w:rPr>
                  </w:pPr>
                  <w:r>
                    <w:rPr>
                      <w:color w:val="auto"/>
                    </w:rPr>
                    <w:t>“化粪池2+人工湿地”</w:t>
                  </w:r>
                </w:p>
              </w:tc>
              <w:tc>
                <w:tcPr>
                  <w:tcW w:w="1397" w:type="dxa"/>
                  <w:vMerge w:val="restart"/>
                  <w:tcBorders>
                    <w:top w:val="single" w:color="000000" w:sz="4" w:space="0"/>
                  </w:tcBorders>
                  <w:noWrap w:val="0"/>
                  <w:vAlign w:val="center"/>
                </w:tcPr>
                <w:p>
                  <w:pPr>
                    <w:pStyle w:val="79"/>
                    <w:rPr>
                      <w:bCs/>
                      <w:color w:val="auto"/>
                      <w:szCs w:val="21"/>
                      <w:lang w:bidi="ar"/>
                    </w:rPr>
                  </w:pPr>
                  <w:r>
                    <w:rPr>
                      <w:bCs/>
                      <w:color w:val="auto"/>
                      <w:szCs w:val="21"/>
                      <w:lang w:bidi="ar"/>
                    </w:rPr>
                    <w:t>宜坪乡桐花村</w:t>
                  </w:r>
                  <w:r>
                    <w:rPr>
                      <w:color w:val="auto"/>
                      <w:szCs w:val="21"/>
                    </w:rPr>
                    <w:t>农户</w:t>
                  </w:r>
                </w:p>
              </w:tc>
              <w:tc>
                <w:tcPr>
                  <w:tcW w:w="1015" w:type="dxa"/>
                  <w:tcBorders>
                    <w:top w:val="single" w:color="000000" w:sz="4" w:space="0"/>
                    <w:bottom w:val="single" w:color="000000" w:sz="4" w:space="0"/>
                  </w:tcBorders>
                  <w:noWrap w:val="0"/>
                  <w:vAlign w:val="center"/>
                </w:tcPr>
                <w:p>
                  <w:pPr>
                    <w:pStyle w:val="79"/>
                    <w:rPr>
                      <w:bCs/>
                      <w:color w:val="auto"/>
                      <w:szCs w:val="21"/>
                      <w:lang w:bidi="ar"/>
                    </w:rPr>
                  </w:pPr>
                  <w:r>
                    <w:rPr>
                      <w:color w:val="auto"/>
                    </w:rPr>
                    <w:t>东侧</w:t>
                  </w:r>
                </w:p>
              </w:tc>
              <w:tc>
                <w:tcPr>
                  <w:tcW w:w="1083" w:type="dxa"/>
                  <w:tcBorders>
                    <w:top w:val="single" w:color="000000" w:sz="4" w:space="0"/>
                    <w:bottom w:val="single" w:color="000000" w:sz="4" w:space="0"/>
                  </w:tcBorders>
                  <w:noWrap w:val="0"/>
                  <w:vAlign w:val="center"/>
                </w:tcPr>
                <w:p>
                  <w:pPr>
                    <w:pStyle w:val="79"/>
                    <w:rPr>
                      <w:bCs/>
                      <w:color w:val="auto"/>
                      <w:szCs w:val="21"/>
                      <w:lang w:bidi="ar"/>
                    </w:rPr>
                  </w:pPr>
                  <w:r>
                    <w:rPr>
                      <w:color w:val="auto"/>
                    </w:rPr>
                    <w:t>25m</w:t>
                  </w:r>
                </w:p>
              </w:tc>
              <w:tc>
                <w:tcPr>
                  <w:tcW w:w="1183"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color w:val="auto"/>
                    </w:rPr>
                  </w:pPr>
                </w:p>
              </w:tc>
              <w:tc>
                <w:tcPr>
                  <w:tcW w:w="1403" w:type="dxa"/>
                  <w:vMerge w:val="continue"/>
                  <w:noWrap w:val="0"/>
                  <w:vAlign w:val="center"/>
                </w:tcPr>
                <w:p>
                  <w:pPr>
                    <w:pStyle w:val="79"/>
                    <w:rPr>
                      <w:color w:val="auto"/>
                    </w:rPr>
                  </w:pPr>
                </w:p>
              </w:tc>
              <w:tc>
                <w:tcPr>
                  <w:tcW w:w="1397" w:type="dxa"/>
                  <w:vMerge w:val="continue"/>
                  <w:noWrap w:val="0"/>
                  <w:vAlign w:val="center"/>
                </w:tcPr>
                <w:p>
                  <w:pPr>
                    <w:pStyle w:val="79"/>
                    <w:rPr>
                      <w:color w:val="auto"/>
                    </w:rPr>
                  </w:pPr>
                </w:p>
              </w:tc>
              <w:tc>
                <w:tcPr>
                  <w:tcW w:w="1015" w:type="dxa"/>
                  <w:tcBorders>
                    <w:top w:val="single" w:color="000000" w:sz="4" w:space="0"/>
                    <w:bottom w:val="single" w:color="000000" w:sz="4" w:space="0"/>
                  </w:tcBorders>
                  <w:noWrap w:val="0"/>
                  <w:vAlign w:val="center"/>
                </w:tcPr>
                <w:p>
                  <w:pPr>
                    <w:pStyle w:val="79"/>
                    <w:rPr>
                      <w:bCs/>
                      <w:color w:val="auto"/>
                      <w:szCs w:val="21"/>
                      <w:lang w:bidi="ar"/>
                    </w:rPr>
                  </w:pPr>
                  <w:r>
                    <w:rPr>
                      <w:color w:val="auto"/>
                    </w:rPr>
                    <w:t>西侧</w:t>
                  </w:r>
                </w:p>
              </w:tc>
              <w:tc>
                <w:tcPr>
                  <w:tcW w:w="1083" w:type="dxa"/>
                  <w:tcBorders>
                    <w:top w:val="single" w:color="000000" w:sz="4" w:space="0"/>
                    <w:bottom w:val="single" w:color="000000" w:sz="4" w:space="0"/>
                  </w:tcBorders>
                  <w:noWrap w:val="0"/>
                  <w:vAlign w:val="center"/>
                </w:tcPr>
                <w:p>
                  <w:pPr>
                    <w:pStyle w:val="79"/>
                    <w:rPr>
                      <w:bCs/>
                      <w:color w:val="auto"/>
                      <w:szCs w:val="21"/>
                      <w:lang w:bidi="ar"/>
                    </w:rPr>
                  </w:pPr>
                  <w:r>
                    <w:rPr>
                      <w:color w:val="auto"/>
                    </w:rPr>
                    <w:t>20m</w:t>
                  </w:r>
                </w:p>
              </w:tc>
              <w:tc>
                <w:tcPr>
                  <w:tcW w:w="1183"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7" w:hRule="atLeast"/>
                <w:jc w:val="center"/>
              </w:trPr>
              <w:tc>
                <w:tcPr>
                  <w:tcW w:w="993" w:type="dxa"/>
                  <w:vMerge w:val="continue"/>
                  <w:noWrap w:val="0"/>
                  <w:vAlign w:val="center"/>
                </w:tcPr>
                <w:p>
                  <w:pPr>
                    <w:pStyle w:val="79"/>
                    <w:rPr>
                      <w:bCs/>
                      <w:color w:val="auto"/>
                      <w:szCs w:val="21"/>
                      <w:lang w:bidi="ar"/>
                    </w:rPr>
                  </w:pPr>
                </w:p>
              </w:tc>
              <w:tc>
                <w:tcPr>
                  <w:tcW w:w="1403" w:type="dxa"/>
                  <w:vMerge w:val="continue"/>
                  <w:tcBorders>
                    <w:bottom w:val="single" w:color="000000" w:sz="4" w:space="0"/>
                  </w:tcBorders>
                  <w:noWrap w:val="0"/>
                  <w:vAlign w:val="center"/>
                </w:tcPr>
                <w:p>
                  <w:pPr>
                    <w:pStyle w:val="79"/>
                    <w:rPr>
                      <w:bCs/>
                      <w:color w:val="auto"/>
                      <w:szCs w:val="21"/>
                      <w:lang w:bidi="ar"/>
                    </w:rPr>
                  </w:pPr>
                </w:p>
              </w:tc>
              <w:tc>
                <w:tcPr>
                  <w:tcW w:w="1397" w:type="dxa"/>
                  <w:vMerge w:val="continue"/>
                  <w:tcBorders>
                    <w:bottom w:val="single" w:color="000000" w:sz="4" w:space="0"/>
                  </w:tcBorders>
                  <w:noWrap w:val="0"/>
                  <w:vAlign w:val="center"/>
                </w:tcPr>
                <w:p>
                  <w:pPr>
                    <w:pStyle w:val="79"/>
                    <w:rPr>
                      <w:bCs/>
                      <w:color w:val="auto"/>
                      <w:szCs w:val="21"/>
                      <w:lang w:bidi="ar"/>
                    </w:rPr>
                  </w:pPr>
                </w:p>
              </w:tc>
              <w:tc>
                <w:tcPr>
                  <w:tcW w:w="1015" w:type="dxa"/>
                  <w:tcBorders>
                    <w:top w:val="single" w:color="000000" w:sz="4" w:space="0"/>
                    <w:bottom w:val="single" w:color="000000" w:sz="4" w:space="0"/>
                  </w:tcBorders>
                  <w:noWrap w:val="0"/>
                  <w:vAlign w:val="center"/>
                </w:tcPr>
                <w:p>
                  <w:pPr>
                    <w:pStyle w:val="79"/>
                    <w:rPr>
                      <w:bCs/>
                      <w:color w:val="auto"/>
                      <w:szCs w:val="21"/>
                      <w:lang w:bidi="ar"/>
                    </w:rPr>
                  </w:pPr>
                  <w:r>
                    <w:rPr>
                      <w:color w:val="auto"/>
                    </w:rPr>
                    <w:t>北侧</w:t>
                  </w:r>
                </w:p>
              </w:tc>
              <w:tc>
                <w:tcPr>
                  <w:tcW w:w="1083" w:type="dxa"/>
                  <w:tcBorders>
                    <w:top w:val="single" w:color="000000" w:sz="4" w:space="0"/>
                    <w:bottom w:val="single" w:color="000000" w:sz="4" w:space="0"/>
                  </w:tcBorders>
                  <w:noWrap w:val="0"/>
                  <w:vAlign w:val="center"/>
                </w:tcPr>
                <w:p>
                  <w:pPr>
                    <w:pStyle w:val="79"/>
                    <w:rPr>
                      <w:bCs/>
                      <w:color w:val="auto"/>
                      <w:szCs w:val="21"/>
                      <w:lang w:bidi="ar"/>
                    </w:rPr>
                  </w:pPr>
                  <w:r>
                    <w:rPr>
                      <w:color w:val="auto"/>
                    </w:rPr>
                    <w:t>5m</w:t>
                  </w:r>
                </w:p>
              </w:tc>
              <w:tc>
                <w:tcPr>
                  <w:tcW w:w="1183" w:type="dxa"/>
                  <w:vMerge w:val="continue"/>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993" w:type="dxa"/>
                  <w:vMerge w:val="continue"/>
                  <w:noWrap w:val="0"/>
                  <w:vAlign w:val="center"/>
                </w:tcPr>
                <w:p>
                  <w:pPr>
                    <w:pStyle w:val="79"/>
                    <w:rPr>
                      <w:bCs/>
                      <w:color w:val="auto"/>
                      <w:szCs w:val="21"/>
                      <w:lang w:bidi="ar"/>
                    </w:rPr>
                  </w:pPr>
                </w:p>
              </w:tc>
              <w:tc>
                <w:tcPr>
                  <w:tcW w:w="1403" w:type="dxa"/>
                  <w:tcBorders>
                    <w:top w:val="single" w:color="000000" w:sz="4" w:space="0"/>
                    <w:bottom w:val="single" w:color="000000" w:sz="4" w:space="0"/>
                  </w:tcBorders>
                  <w:noWrap w:val="0"/>
                  <w:vAlign w:val="center"/>
                </w:tcPr>
                <w:p>
                  <w:pPr>
                    <w:pStyle w:val="79"/>
                    <w:rPr>
                      <w:bCs/>
                      <w:color w:val="auto"/>
                      <w:szCs w:val="21"/>
                      <w:lang w:bidi="ar"/>
                    </w:rPr>
                  </w:pPr>
                  <w:r>
                    <w:rPr>
                      <w:bCs/>
                      <w:color w:val="auto"/>
                      <w:lang w:bidi="ar"/>
                    </w:rPr>
                    <w:t>“化粪池1+MBR一体化设备”</w:t>
                  </w:r>
                </w:p>
              </w:tc>
              <w:tc>
                <w:tcPr>
                  <w:tcW w:w="1397" w:type="dxa"/>
                  <w:tcBorders>
                    <w:top w:val="single" w:color="000000" w:sz="4" w:space="0"/>
                    <w:bottom w:val="single" w:color="000000" w:sz="4" w:space="0"/>
                  </w:tcBorders>
                  <w:noWrap w:val="0"/>
                  <w:vAlign w:val="center"/>
                </w:tcPr>
                <w:p>
                  <w:pPr>
                    <w:jc w:val="center"/>
                    <w:rPr>
                      <w:bCs/>
                      <w:color w:val="auto"/>
                      <w:sz w:val="21"/>
                      <w:szCs w:val="21"/>
                      <w:lang w:bidi="ar"/>
                    </w:rPr>
                  </w:pPr>
                  <w:r>
                    <w:rPr>
                      <w:bCs/>
                      <w:color w:val="auto"/>
                      <w:sz w:val="21"/>
                      <w:szCs w:val="21"/>
                      <w:lang w:bidi="ar"/>
                    </w:rPr>
                    <w:t>宜坪乡桐花村</w:t>
                  </w:r>
                  <w:r>
                    <w:rPr>
                      <w:color w:val="auto"/>
                      <w:sz w:val="21"/>
                      <w:szCs w:val="21"/>
                    </w:rPr>
                    <w:t>农户</w:t>
                  </w:r>
                </w:p>
              </w:tc>
              <w:tc>
                <w:tcPr>
                  <w:tcW w:w="1015" w:type="dxa"/>
                  <w:tcBorders>
                    <w:top w:val="single" w:color="000000" w:sz="4" w:space="0"/>
                    <w:bottom w:val="single" w:color="000000" w:sz="4" w:space="0"/>
                  </w:tcBorders>
                  <w:noWrap w:val="0"/>
                  <w:vAlign w:val="center"/>
                </w:tcPr>
                <w:p>
                  <w:pPr>
                    <w:pStyle w:val="79"/>
                    <w:rPr>
                      <w:bCs/>
                      <w:color w:val="auto"/>
                      <w:szCs w:val="21"/>
                      <w:lang w:bidi="ar"/>
                    </w:rPr>
                  </w:pPr>
                  <w:r>
                    <w:rPr>
                      <w:color w:val="auto"/>
                      <w:szCs w:val="21"/>
                    </w:rPr>
                    <w:t>北面</w:t>
                  </w:r>
                </w:p>
              </w:tc>
              <w:tc>
                <w:tcPr>
                  <w:tcW w:w="1083" w:type="dxa"/>
                  <w:tcBorders>
                    <w:top w:val="single" w:color="000000" w:sz="4" w:space="0"/>
                    <w:bottom w:val="single" w:color="000000" w:sz="4" w:space="0"/>
                  </w:tcBorders>
                  <w:noWrap w:val="0"/>
                  <w:vAlign w:val="center"/>
                </w:tcPr>
                <w:p>
                  <w:pPr>
                    <w:pStyle w:val="79"/>
                    <w:rPr>
                      <w:bCs/>
                      <w:color w:val="auto"/>
                      <w:szCs w:val="21"/>
                      <w:lang w:bidi="ar"/>
                    </w:rPr>
                  </w:pPr>
                  <w:r>
                    <w:rPr>
                      <w:color w:val="auto"/>
                      <w:szCs w:val="21"/>
                    </w:rPr>
                    <w:t>100m</w:t>
                  </w:r>
                </w:p>
              </w:tc>
              <w:tc>
                <w:tcPr>
                  <w:tcW w:w="1183" w:type="dxa"/>
                  <w:vMerge w:val="continue"/>
                  <w:tcBorders>
                    <w:bottom w:val="single" w:color="000000" w:sz="4" w:space="0"/>
                  </w:tcBorders>
                  <w:noWrap w:val="0"/>
                  <w:vAlign w:val="center"/>
                </w:tcPr>
                <w:p>
                  <w:pPr>
                    <w:pStyle w:val="79"/>
                    <w:rPr>
                      <w:bCs/>
                      <w:color w:val="auto"/>
                      <w:szCs w:val="21"/>
                      <w:lang w:bidi="ar"/>
                    </w:rPr>
                  </w:pPr>
                </w:p>
              </w:tc>
              <w:tc>
                <w:tcPr>
                  <w:tcW w:w="1981" w:type="dxa"/>
                  <w:vMerge w:val="continue"/>
                  <w:noWrap w:val="0"/>
                  <w:vAlign w:val="center"/>
                </w:tcPr>
                <w:p>
                  <w:pPr>
                    <w:pStyle w:val="79"/>
                    <w:rPr>
                      <w:bCs/>
                      <w:color w:val="auto"/>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3" w:type="dxa"/>
                  <w:noWrap w:val="0"/>
                  <w:vAlign w:val="center"/>
                </w:tcPr>
                <w:p>
                  <w:pPr>
                    <w:pStyle w:val="79"/>
                    <w:rPr>
                      <w:color w:val="auto"/>
                      <w:szCs w:val="21"/>
                    </w:rPr>
                  </w:pPr>
                  <w:r>
                    <w:rPr>
                      <w:color w:val="auto"/>
                      <w:szCs w:val="21"/>
                    </w:rPr>
                    <w:t>地表水</w:t>
                  </w:r>
                </w:p>
              </w:tc>
              <w:tc>
                <w:tcPr>
                  <w:tcW w:w="2800" w:type="dxa"/>
                  <w:gridSpan w:val="2"/>
                  <w:noWrap w:val="0"/>
                  <w:vAlign w:val="center"/>
                </w:tcPr>
                <w:p>
                  <w:pPr>
                    <w:pStyle w:val="79"/>
                    <w:rPr>
                      <w:color w:val="auto"/>
                      <w:szCs w:val="21"/>
                    </w:rPr>
                  </w:pPr>
                  <w:r>
                    <w:rPr>
                      <w:color w:val="auto"/>
                      <w:szCs w:val="21"/>
                    </w:rPr>
                    <w:t>官料河</w:t>
                  </w:r>
                </w:p>
              </w:tc>
              <w:tc>
                <w:tcPr>
                  <w:tcW w:w="1015" w:type="dxa"/>
                  <w:noWrap w:val="0"/>
                  <w:vAlign w:val="center"/>
                </w:tcPr>
                <w:p>
                  <w:pPr>
                    <w:pStyle w:val="79"/>
                    <w:rPr>
                      <w:color w:val="auto"/>
                      <w:szCs w:val="21"/>
                    </w:rPr>
                  </w:pPr>
                  <w:r>
                    <w:rPr>
                      <w:color w:val="auto"/>
                      <w:szCs w:val="21"/>
                    </w:rPr>
                    <w:t>南面</w:t>
                  </w:r>
                </w:p>
              </w:tc>
              <w:tc>
                <w:tcPr>
                  <w:tcW w:w="1083" w:type="dxa"/>
                  <w:noWrap w:val="0"/>
                  <w:vAlign w:val="center"/>
                </w:tcPr>
                <w:p>
                  <w:pPr>
                    <w:pStyle w:val="79"/>
                    <w:rPr>
                      <w:color w:val="auto"/>
                      <w:szCs w:val="21"/>
                    </w:rPr>
                  </w:pPr>
                  <w:r>
                    <w:rPr>
                      <w:color w:val="auto"/>
                      <w:szCs w:val="21"/>
                    </w:rPr>
                    <w:t>20m</w:t>
                  </w:r>
                </w:p>
              </w:tc>
              <w:tc>
                <w:tcPr>
                  <w:tcW w:w="1183" w:type="dxa"/>
                  <w:noWrap w:val="0"/>
                  <w:vAlign w:val="center"/>
                </w:tcPr>
                <w:p>
                  <w:pPr>
                    <w:pStyle w:val="79"/>
                    <w:rPr>
                      <w:color w:val="auto"/>
                      <w:szCs w:val="21"/>
                    </w:rPr>
                  </w:pPr>
                  <w:r>
                    <w:rPr>
                      <w:color w:val="auto"/>
                      <w:szCs w:val="21"/>
                    </w:rPr>
                    <w:t>/</w:t>
                  </w:r>
                </w:p>
              </w:tc>
              <w:tc>
                <w:tcPr>
                  <w:tcW w:w="1981" w:type="dxa"/>
                  <w:noWrap w:val="0"/>
                  <w:vAlign w:val="center"/>
                </w:tcPr>
                <w:p>
                  <w:pPr>
                    <w:pStyle w:val="79"/>
                    <w:rPr>
                      <w:color w:val="auto"/>
                      <w:szCs w:val="21"/>
                    </w:rPr>
                  </w:pPr>
                  <w:r>
                    <w:rPr>
                      <w:bCs/>
                      <w:color w:val="auto"/>
                      <w:szCs w:val="21"/>
                      <w:lang w:bidi="ar"/>
                    </w:rPr>
                    <w:t>《地表水环境质量标准》（GB3838-2002）Ⅲ类标准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3" w:type="dxa"/>
                  <w:noWrap w:val="0"/>
                  <w:vAlign w:val="center"/>
                </w:tcPr>
                <w:p>
                  <w:pPr>
                    <w:pStyle w:val="79"/>
                    <w:rPr>
                      <w:color w:val="auto"/>
                      <w:szCs w:val="21"/>
                    </w:rPr>
                  </w:pPr>
                  <w:r>
                    <w:rPr>
                      <w:color w:val="auto"/>
                      <w:szCs w:val="21"/>
                    </w:rPr>
                    <w:t>地下水环境</w:t>
                  </w:r>
                </w:p>
              </w:tc>
              <w:tc>
                <w:tcPr>
                  <w:tcW w:w="2800" w:type="dxa"/>
                  <w:gridSpan w:val="2"/>
                  <w:noWrap w:val="0"/>
                  <w:vAlign w:val="center"/>
                </w:tcPr>
                <w:p>
                  <w:pPr>
                    <w:pStyle w:val="79"/>
                    <w:rPr>
                      <w:color w:val="auto"/>
                      <w:szCs w:val="21"/>
                    </w:rPr>
                  </w:pPr>
                  <w:r>
                    <w:rPr>
                      <w:color w:val="auto"/>
                      <w:szCs w:val="21"/>
                    </w:rPr>
                    <w:t>潜水含水层</w:t>
                  </w:r>
                </w:p>
              </w:tc>
              <w:tc>
                <w:tcPr>
                  <w:tcW w:w="3281" w:type="dxa"/>
                  <w:gridSpan w:val="3"/>
                  <w:noWrap w:val="0"/>
                  <w:vAlign w:val="center"/>
                </w:tcPr>
                <w:p>
                  <w:pPr>
                    <w:pStyle w:val="79"/>
                    <w:rPr>
                      <w:color w:val="auto"/>
                      <w:szCs w:val="21"/>
                    </w:rPr>
                  </w:pPr>
                  <w:r>
                    <w:rPr>
                      <w:color w:val="auto"/>
                      <w:szCs w:val="21"/>
                    </w:rPr>
                    <w:t>位于本项目区下含水层，主要保护第四系松散岩类孔隙含水、红层风化带裂隙水</w:t>
                  </w:r>
                </w:p>
              </w:tc>
              <w:tc>
                <w:tcPr>
                  <w:tcW w:w="1981" w:type="dxa"/>
                  <w:noWrap w:val="0"/>
                  <w:vAlign w:val="center"/>
                </w:tcPr>
                <w:p>
                  <w:pPr>
                    <w:pStyle w:val="79"/>
                    <w:rPr>
                      <w:bCs/>
                      <w:color w:val="auto"/>
                      <w:szCs w:val="21"/>
                      <w:lang w:bidi="ar"/>
                    </w:rPr>
                  </w:pPr>
                  <w:r>
                    <w:rPr>
                      <w:bCs/>
                      <w:color w:val="auto"/>
                      <w:szCs w:val="21"/>
                      <w:lang w:bidi="ar"/>
                    </w:rPr>
                    <w:t>《地下水质量标准》（GB/T14848-2017）Ⅲ类标准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3" w:type="dxa"/>
                  <w:noWrap w:val="0"/>
                  <w:vAlign w:val="center"/>
                </w:tcPr>
                <w:p>
                  <w:pPr>
                    <w:pStyle w:val="79"/>
                    <w:rPr>
                      <w:color w:val="auto"/>
                      <w:szCs w:val="21"/>
                    </w:rPr>
                  </w:pPr>
                  <w:r>
                    <w:rPr>
                      <w:color w:val="auto"/>
                      <w:szCs w:val="21"/>
                    </w:rPr>
                    <w:t>土壤</w:t>
                  </w:r>
                </w:p>
              </w:tc>
              <w:tc>
                <w:tcPr>
                  <w:tcW w:w="6081" w:type="dxa"/>
                  <w:gridSpan w:val="5"/>
                  <w:noWrap w:val="0"/>
                  <w:vAlign w:val="center"/>
                </w:tcPr>
                <w:p>
                  <w:pPr>
                    <w:pStyle w:val="79"/>
                    <w:rPr>
                      <w:color w:val="auto"/>
                      <w:szCs w:val="21"/>
                    </w:rPr>
                  </w:pPr>
                  <w:r>
                    <w:rPr>
                      <w:color w:val="auto"/>
                      <w:szCs w:val="21"/>
                    </w:rPr>
                    <w:t>工程施工期直接影响和间接影响的区域</w:t>
                  </w:r>
                </w:p>
              </w:tc>
              <w:tc>
                <w:tcPr>
                  <w:tcW w:w="1981" w:type="dxa"/>
                  <w:noWrap w:val="0"/>
                  <w:vAlign w:val="center"/>
                </w:tcPr>
                <w:p>
                  <w:pPr>
                    <w:pStyle w:val="79"/>
                    <w:rPr>
                      <w:bCs/>
                      <w:color w:val="auto"/>
                      <w:szCs w:val="21"/>
                      <w:lang w:bidi="ar"/>
                    </w:rPr>
                  </w:pPr>
                  <w:r>
                    <w:rPr>
                      <w:bCs/>
                      <w:color w:val="auto"/>
                      <w:szCs w:val="21"/>
                      <w:lang w:bidi="ar"/>
                    </w:rPr>
                    <w:t>《土壤环境质量  建设用地土壤污染风险管控标准（试行）》（GB36600-2018）筛选值中的“第二类用地”标准限值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8" w:hRule="atLeast"/>
                <w:jc w:val="center"/>
              </w:trPr>
              <w:tc>
                <w:tcPr>
                  <w:tcW w:w="993" w:type="dxa"/>
                  <w:noWrap w:val="0"/>
                  <w:vAlign w:val="center"/>
                </w:tcPr>
                <w:p>
                  <w:pPr>
                    <w:pStyle w:val="79"/>
                    <w:rPr>
                      <w:color w:val="auto"/>
                      <w:szCs w:val="21"/>
                    </w:rPr>
                  </w:pPr>
                  <w:r>
                    <w:rPr>
                      <w:color w:val="auto"/>
                      <w:szCs w:val="21"/>
                    </w:rPr>
                    <w:t>生态环境</w:t>
                  </w:r>
                </w:p>
              </w:tc>
              <w:tc>
                <w:tcPr>
                  <w:tcW w:w="6081" w:type="dxa"/>
                  <w:gridSpan w:val="5"/>
                  <w:noWrap w:val="0"/>
                  <w:vAlign w:val="center"/>
                </w:tcPr>
                <w:p>
                  <w:pPr>
                    <w:pStyle w:val="79"/>
                    <w:rPr>
                      <w:color w:val="auto"/>
                      <w:szCs w:val="21"/>
                    </w:rPr>
                  </w:pPr>
                  <w:r>
                    <w:rPr>
                      <w:color w:val="auto"/>
                      <w:szCs w:val="21"/>
                    </w:rPr>
                    <w:t>工程施工期直接影响和间接影响的区域</w:t>
                  </w:r>
                </w:p>
              </w:tc>
              <w:tc>
                <w:tcPr>
                  <w:tcW w:w="1981" w:type="dxa"/>
                  <w:noWrap w:val="0"/>
                  <w:vAlign w:val="center"/>
                </w:tcPr>
                <w:p>
                  <w:pPr>
                    <w:pStyle w:val="79"/>
                    <w:rPr>
                      <w:bCs/>
                      <w:color w:val="auto"/>
                      <w:szCs w:val="21"/>
                      <w:lang w:bidi="ar"/>
                    </w:rPr>
                  </w:pPr>
                  <w:r>
                    <w:rPr>
                      <w:bCs/>
                      <w:color w:val="auto"/>
                      <w:szCs w:val="21"/>
                      <w:lang w:bidi="ar"/>
                    </w:rPr>
                    <w:t>/</w:t>
                  </w:r>
                </w:p>
              </w:tc>
            </w:tr>
          </w:tbl>
          <w:p>
            <w:pPr>
              <w:adjustRightInd w:val="0"/>
              <w:snapToGrid w:val="0"/>
              <w:spacing w:line="360" w:lineRule="auto"/>
              <w:ind w:firstLine="482" w:firstLineChars="200"/>
              <w:rPr>
                <w:b/>
                <w:bCs/>
                <w:color w:val="auto"/>
              </w:rPr>
            </w:pPr>
            <w:r>
              <w:rPr>
                <w:b/>
                <w:bCs/>
                <w:color w:val="auto"/>
              </w:rPr>
              <w:t>4.4风险防范措施</w:t>
            </w:r>
          </w:p>
          <w:p>
            <w:pPr>
              <w:adjustRightInd w:val="0"/>
              <w:snapToGrid w:val="0"/>
              <w:spacing w:line="360" w:lineRule="auto"/>
              <w:ind w:firstLine="480" w:firstLineChars="200"/>
              <w:rPr>
                <w:color w:val="auto"/>
              </w:rPr>
            </w:pPr>
            <w:r>
              <w:rPr>
                <w:color w:val="auto"/>
              </w:rPr>
              <w:t>（1）对进水水质污染事故防范措施</w:t>
            </w:r>
          </w:p>
          <w:p>
            <w:pPr>
              <w:autoSpaceDE w:val="0"/>
              <w:autoSpaceDN w:val="0"/>
              <w:adjustRightInd w:val="0"/>
              <w:snapToGrid w:val="0"/>
              <w:spacing w:line="360" w:lineRule="auto"/>
              <w:ind w:firstLine="480" w:firstLineChars="200"/>
              <w:rPr>
                <w:color w:val="auto"/>
                <w:kern w:val="0"/>
              </w:rPr>
            </w:pPr>
            <w:r>
              <w:rPr>
                <w:color w:val="auto"/>
                <w:kern w:val="0"/>
              </w:rPr>
              <w:t>项目仅收集和处理生活污水，如其他废水（如含重金属工业废水）不慎进入项目进水中，进水水质将受到污染，项目建设单位应采取如下防治措施：</w:t>
            </w:r>
          </w:p>
          <w:p>
            <w:pPr>
              <w:autoSpaceDE w:val="0"/>
              <w:autoSpaceDN w:val="0"/>
              <w:adjustRightInd w:val="0"/>
              <w:snapToGrid w:val="0"/>
              <w:spacing w:line="360" w:lineRule="auto"/>
              <w:ind w:firstLine="480" w:firstLineChars="200"/>
              <w:rPr>
                <w:color w:val="auto"/>
                <w:kern w:val="0"/>
              </w:rPr>
            </w:pPr>
            <w:r>
              <w:rPr>
                <w:color w:val="auto"/>
                <w:kern w:val="0"/>
              </w:rPr>
              <w:t>①建设单位应针对可能发生的污染事故，建立合适的事故处理程序、机制和措施。一旦发生事故，则采取相应的措施，将事故对环境的影响控制在最小或较小范围内。</w:t>
            </w:r>
          </w:p>
          <w:p>
            <w:pPr>
              <w:autoSpaceDE w:val="0"/>
              <w:autoSpaceDN w:val="0"/>
              <w:adjustRightInd w:val="0"/>
              <w:snapToGrid w:val="0"/>
              <w:spacing w:line="360" w:lineRule="auto"/>
              <w:ind w:firstLine="480" w:firstLineChars="200"/>
              <w:rPr>
                <w:color w:val="auto"/>
                <w:kern w:val="0"/>
              </w:rPr>
            </w:pPr>
            <w:r>
              <w:rPr>
                <w:color w:val="auto"/>
                <w:kern w:val="0"/>
              </w:rPr>
              <w:t>②人为因素往往是事故发生的主要原因，因此严格管理，做好人的工作是预防事故发生的重要环节。对于污水管网这类隐蔽工程，建设单位应加强施工期间的管理、检查，确保施工质量。</w:t>
            </w:r>
          </w:p>
          <w:p>
            <w:pPr>
              <w:autoSpaceDE w:val="0"/>
              <w:autoSpaceDN w:val="0"/>
              <w:adjustRightInd w:val="0"/>
              <w:snapToGrid w:val="0"/>
              <w:spacing w:line="360" w:lineRule="auto"/>
              <w:ind w:firstLine="480" w:firstLineChars="200"/>
              <w:rPr>
                <w:color w:val="auto"/>
                <w:kern w:val="0"/>
              </w:rPr>
            </w:pPr>
            <w:r>
              <w:rPr>
                <w:color w:val="auto"/>
                <w:kern w:val="0"/>
              </w:rPr>
              <w:t>③建设单位应加强对职工的思想教育，以提高工作人员的责任心和工作主动性；加强沿线管道和检查井的日常检查，特别是加强沿线新建项目施工的检查，避免施工不慎导致污水管道破损。</w:t>
            </w:r>
          </w:p>
          <w:p>
            <w:pPr>
              <w:autoSpaceDE w:val="0"/>
              <w:autoSpaceDN w:val="0"/>
              <w:adjustRightInd w:val="0"/>
              <w:snapToGrid w:val="0"/>
              <w:spacing w:line="360" w:lineRule="auto"/>
              <w:ind w:firstLine="480" w:firstLineChars="200"/>
              <w:rPr>
                <w:color w:val="auto"/>
                <w:kern w:val="0"/>
              </w:rPr>
            </w:pPr>
            <w:r>
              <w:rPr>
                <w:color w:val="auto"/>
                <w:kern w:val="0"/>
              </w:rPr>
              <w:t>④一旦发生事故，及时向有关部门反映，采取有效处理措施，最大限度降低对周围环境及财产造成的危害。</w:t>
            </w:r>
          </w:p>
          <w:p>
            <w:pPr>
              <w:autoSpaceDE w:val="0"/>
              <w:autoSpaceDN w:val="0"/>
              <w:adjustRightInd w:val="0"/>
              <w:snapToGrid w:val="0"/>
              <w:spacing w:line="360" w:lineRule="auto"/>
              <w:ind w:firstLine="480" w:firstLineChars="200"/>
              <w:rPr>
                <w:color w:val="auto"/>
                <w:kern w:val="0"/>
              </w:rPr>
            </w:pPr>
            <w:r>
              <w:rPr>
                <w:color w:val="auto"/>
                <w:kern w:val="0"/>
              </w:rPr>
              <w:t>⑤当事故发生后，立即截断污水来源和杜绝事故排放，及时发现不良水质进入污水处理站。</w:t>
            </w:r>
          </w:p>
          <w:p>
            <w:pPr>
              <w:autoSpaceDE w:val="0"/>
              <w:autoSpaceDN w:val="0"/>
              <w:adjustRightInd w:val="0"/>
              <w:snapToGrid w:val="0"/>
              <w:spacing w:line="360" w:lineRule="auto"/>
              <w:ind w:firstLine="480" w:firstLineChars="200"/>
              <w:rPr>
                <w:color w:val="auto"/>
                <w:kern w:val="0"/>
              </w:rPr>
            </w:pPr>
            <w:r>
              <w:rPr>
                <w:color w:val="auto"/>
                <w:kern w:val="0"/>
              </w:rPr>
              <w:t>（2）设备故障事故防范措施</w:t>
            </w:r>
          </w:p>
          <w:p>
            <w:pPr>
              <w:autoSpaceDE w:val="0"/>
              <w:autoSpaceDN w:val="0"/>
              <w:adjustRightInd w:val="0"/>
              <w:snapToGrid w:val="0"/>
              <w:spacing w:line="360" w:lineRule="auto"/>
              <w:ind w:firstLine="480" w:firstLineChars="200"/>
              <w:rPr>
                <w:color w:val="auto"/>
                <w:kern w:val="0"/>
              </w:rPr>
            </w:pPr>
            <w:r>
              <w:rPr>
                <w:color w:val="auto"/>
                <w:kern w:val="0"/>
              </w:rPr>
              <w:t>①为使在事故状态下污水处理站仪表等设备正常运转，必须选择质量优良、事故率低、便于维修的产品。关键设备应有备用，易损部件也要有备用，在事故出现时做到及时更换。</w:t>
            </w:r>
          </w:p>
          <w:p>
            <w:pPr>
              <w:autoSpaceDE w:val="0"/>
              <w:autoSpaceDN w:val="0"/>
              <w:adjustRightInd w:val="0"/>
              <w:snapToGrid w:val="0"/>
              <w:spacing w:line="360" w:lineRule="auto"/>
              <w:ind w:firstLine="480" w:firstLineChars="200"/>
              <w:rPr>
                <w:color w:val="auto"/>
                <w:kern w:val="0"/>
              </w:rPr>
            </w:pPr>
            <w:r>
              <w:rPr>
                <w:color w:val="auto"/>
                <w:kern w:val="0"/>
              </w:rPr>
              <w:t>②加强事故苗头控制，做到定期巡检，调节、保养、维修，及时发现可能引起事故的异常运行苗头，消除事故隐患。</w:t>
            </w:r>
          </w:p>
          <w:p>
            <w:pPr>
              <w:autoSpaceDE w:val="0"/>
              <w:autoSpaceDN w:val="0"/>
              <w:adjustRightInd w:val="0"/>
              <w:snapToGrid w:val="0"/>
              <w:spacing w:line="360" w:lineRule="auto"/>
              <w:ind w:firstLine="480" w:firstLineChars="200"/>
              <w:rPr>
                <w:color w:val="auto"/>
                <w:kern w:val="0"/>
              </w:rPr>
            </w:pPr>
            <w:r>
              <w:rPr>
                <w:color w:val="auto"/>
                <w:kern w:val="0"/>
              </w:rPr>
              <w:t>③严格控制处理单元的水量、水质、停留时间、负荷强度等，确保处理效果的稳定性，定期采样监测，操作人员及时调整，使设备处于最佳工况，发现不正常现象，应立即采取预防措施。</w:t>
            </w:r>
          </w:p>
          <w:p>
            <w:pPr>
              <w:autoSpaceDE w:val="0"/>
              <w:autoSpaceDN w:val="0"/>
              <w:adjustRightInd w:val="0"/>
              <w:snapToGrid w:val="0"/>
              <w:spacing w:line="360" w:lineRule="auto"/>
              <w:ind w:firstLine="480" w:firstLineChars="200"/>
              <w:rPr>
                <w:color w:val="auto"/>
                <w:kern w:val="0"/>
              </w:rPr>
            </w:pPr>
            <w:r>
              <w:rPr>
                <w:color w:val="auto"/>
                <w:kern w:val="0"/>
              </w:rPr>
              <w:t>④加强污水处理站人员操作技能的培训。</w:t>
            </w:r>
          </w:p>
          <w:p>
            <w:pPr>
              <w:autoSpaceDE w:val="0"/>
              <w:autoSpaceDN w:val="0"/>
              <w:adjustRightInd w:val="0"/>
              <w:snapToGrid w:val="0"/>
              <w:spacing w:line="360" w:lineRule="auto"/>
              <w:ind w:firstLine="480" w:firstLineChars="200"/>
              <w:rPr>
                <w:color w:val="auto"/>
                <w:kern w:val="0"/>
              </w:rPr>
            </w:pPr>
            <w:r>
              <w:rPr>
                <w:color w:val="auto"/>
                <w:kern w:val="0"/>
              </w:rPr>
              <w:t>⑤加强运行管理和进出水的监测工作，未经处理达标的污水严禁外排。</w:t>
            </w:r>
          </w:p>
          <w:p>
            <w:pPr>
              <w:autoSpaceDE w:val="0"/>
              <w:autoSpaceDN w:val="0"/>
              <w:adjustRightInd w:val="0"/>
              <w:snapToGrid w:val="0"/>
              <w:spacing w:line="360" w:lineRule="auto"/>
              <w:ind w:firstLine="480" w:firstLineChars="200"/>
              <w:rPr>
                <w:color w:val="auto"/>
                <w:kern w:val="0"/>
              </w:rPr>
            </w:pPr>
            <w:r>
              <w:rPr>
                <w:color w:val="auto"/>
                <w:kern w:val="0"/>
              </w:rPr>
              <w:t>（3）受洪水冲刷的工程预防措施</w:t>
            </w:r>
          </w:p>
          <w:p>
            <w:pPr>
              <w:tabs>
                <w:tab w:val="left" w:pos="6300"/>
              </w:tabs>
              <w:adjustRightInd w:val="0"/>
              <w:snapToGrid w:val="0"/>
              <w:spacing w:line="360" w:lineRule="auto"/>
              <w:ind w:firstLine="540"/>
              <w:rPr>
                <w:color w:val="auto"/>
                <w:kern w:val="0"/>
              </w:rPr>
            </w:pPr>
            <w:r>
              <w:rPr>
                <w:color w:val="auto"/>
                <w:kern w:val="0"/>
              </w:rPr>
              <w:t>①地震、气候变化等自然因素造成的事故不能避免，只能在事故发生后尽早发现及时补救。</w:t>
            </w:r>
          </w:p>
          <w:p>
            <w:pPr>
              <w:adjustRightInd w:val="0"/>
              <w:snapToGrid w:val="0"/>
              <w:spacing w:line="360" w:lineRule="auto"/>
              <w:ind w:firstLine="480" w:firstLineChars="200"/>
              <w:rPr>
                <w:color w:val="auto"/>
                <w:kern w:val="0"/>
              </w:rPr>
            </w:pPr>
            <w:r>
              <w:rPr>
                <w:color w:val="auto"/>
                <w:kern w:val="0"/>
              </w:rPr>
              <w:t>②为防止大雨时厂内地面积水，影响正常生产巡检，厂内设雨水管道，及时排除雨水，保证安全生产。</w:t>
            </w:r>
          </w:p>
          <w:p>
            <w:pPr>
              <w:adjustRightInd w:val="0"/>
              <w:snapToGrid w:val="0"/>
              <w:spacing w:line="360" w:lineRule="auto"/>
              <w:ind w:firstLine="480" w:firstLineChars="200"/>
              <w:rPr>
                <w:color w:val="auto"/>
              </w:rPr>
            </w:pPr>
            <w:r>
              <w:rPr>
                <w:color w:val="auto"/>
              </w:rPr>
              <w:t>（4）污染事故应急预案</w:t>
            </w:r>
          </w:p>
          <w:p>
            <w:pPr>
              <w:autoSpaceDE w:val="0"/>
              <w:autoSpaceDN w:val="0"/>
              <w:adjustRightInd w:val="0"/>
              <w:snapToGrid w:val="0"/>
              <w:spacing w:line="360" w:lineRule="auto"/>
              <w:ind w:firstLine="480" w:firstLineChars="200"/>
              <w:rPr>
                <w:color w:val="auto"/>
                <w:kern w:val="0"/>
              </w:rPr>
            </w:pPr>
            <w:r>
              <w:rPr>
                <w:color w:val="auto"/>
                <w:kern w:val="0"/>
              </w:rPr>
              <w:t>污水处理站一旦发生停电</w:t>
            </w:r>
            <w:r>
              <w:rPr>
                <w:rFonts w:hint="eastAsia"/>
                <w:color w:val="auto"/>
                <w:kern w:val="0"/>
              </w:rPr>
              <w:t>或</w:t>
            </w:r>
            <w:r>
              <w:rPr>
                <w:color w:val="auto"/>
                <w:kern w:val="0"/>
              </w:rPr>
              <w:t>设备故障</w:t>
            </w:r>
            <w:r>
              <w:rPr>
                <w:rFonts w:hint="eastAsia"/>
                <w:color w:val="auto"/>
                <w:kern w:val="0"/>
              </w:rPr>
              <w:t>时</w:t>
            </w:r>
            <w:r>
              <w:rPr>
                <w:color w:val="auto"/>
                <w:kern w:val="0"/>
              </w:rPr>
              <w:t>，均要进行事故排放。一旦出现事故排放，必须按事先拟定的方案进行紧急处理，尽快找到事故原因，制定解决办法，将影响降到最低限度，同时需要及时向环保、市政部门报告，因突发性污染事件造成或者可能造成跨行政区域河流污染的，有关责任单位、个人和负责监管职责的部门以及相关人民政府必须按照国家和省的有关规定及时报告，事件发生地人民政府应当及时通报可能受污染区域的人民政府。</w:t>
            </w:r>
          </w:p>
          <w:p>
            <w:pPr>
              <w:adjustRightInd w:val="0"/>
              <w:snapToGrid w:val="0"/>
              <w:spacing w:line="360" w:lineRule="auto"/>
              <w:ind w:firstLine="480" w:firstLineChars="200"/>
              <w:rPr>
                <w:color w:val="auto"/>
              </w:rPr>
            </w:pPr>
            <w:r>
              <w:rPr>
                <w:color w:val="auto"/>
                <w:kern w:val="0"/>
              </w:rPr>
              <w:t>突发性污染事件发生后，相关人民政府及具有关部门应当启动应急预案，实施应急监测，采取有效措施，控制或者切断污染源。应急方案应包括应急状态分类、应急计划区、事故级水平、应急防护处理等。其主要内容如下：</w:t>
            </w:r>
          </w:p>
          <w:p>
            <w:pPr>
              <w:autoSpaceDE w:val="0"/>
              <w:autoSpaceDN w:val="0"/>
              <w:adjustRightInd w:val="0"/>
              <w:snapToGrid w:val="0"/>
              <w:spacing w:line="360" w:lineRule="auto"/>
              <w:ind w:firstLine="482" w:firstLineChars="200"/>
              <w:rPr>
                <w:color w:val="auto"/>
                <w:kern w:val="0"/>
              </w:rPr>
            </w:pPr>
            <w:r>
              <w:rPr>
                <w:b/>
                <w:color w:val="auto"/>
                <w:kern w:val="0"/>
              </w:rPr>
              <w:t>风险源概况：</w:t>
            </w:r>
            <w:r>
              <w:rPr>
                <w:color w:val="auto"/>
                <w:kern w:val="0"/>
              </w:rPr>
              <w:t>详述风险源类型、源强大小及其位置。</w:t>
            </w:r>
          </w:p>
          <w:p>
            <w:pPr>
              <w:autoSpaceDE w:val="0"/>
              <w:autoSpaceDN w:val="0"/>
              <w:adjustRightInd w:val="0"/>
              <w:snapToGrid w:val="0"/>
              <w:spacing w:line="360" w:lineRule="auto"/>
              <w:ind w:firstLine="482" w:firstLineChars="200"/>
              <w:rPr>
                <w:color w:val="auto"/>
                <w:kern w:val="0"/>
              </w:rPr>
            </w:pPr>
            <w:r>
              <w:rPr>
                <w:b/>
                <w:color w:val="auto"/>
                <w:kern w:val="0"/>
              </w:rPr>
              <w:t>紧急计划区：</w:t>
            </w:r>
            <w:r>
              <w:rPr>
                <w:color w:val="auto"/>
                <w:kern w:val="0"/>
              </w:rPr>
              <w:t>包括厂区、及村庄有关部门。</w:t>
            </w:r>
          </w:p>
          <w:p>
            <w:pPr>
              <w:autoSpaceDE w:val="0"/>
              <w:autoSpaceDN w:val="0"/>
              <w:adjustRightInd w:val="0"/>
              <w:snapToGrid w:val="0"/>
              <w:spacing w:line="360" w:lineRule="auto"/>
              <w:ind w:firstLine="482" w:firstLineChars="200"/>
              <w:rPr>
                <w:color w:val="auto"/>
                <w:kern w:val="0"/>
              </w:rPr>
            </w:pPr>
            <w:r>
              <w:rPr>
                <w:b/>
                <w:color w:val="auto"/>
                <w:kern w:val="0"/>
              </w:rPr>
              <w:t>紧急组织：</w:t>
            </w:r>
            <w:r>
              <w:rPr>
                <w:color w:val="auto"/>
                <w:kern w:val="0"/>
              </w:rPr>
              <w:t>厂指挥部负责现场全面指挥，专业抢修队伍负责事故或故障进行排除或抢修。</w:t>
            </w:r>
          </w:p>
          <w:p>
            <w:pPr>
              <w:autoSpaceDE w:val="0"/>
              <w:autoSpaceDN w:val="0"/>
              <w:adjustRightInd w:val="0"/>
              <w:snapToGrid w:val="0"/>
              <w:spacing w:line="360" w:lineRule="auto"/>
              <w:ind w:firstLine="482" w:firstLineChars="200"/>
              <w:rPr>
                <w:color w:val="auto"/>
                <w:kern w:val="0"/>
              </w:rPr>
            </w:pPr>
            <w:r>
              <w:rPr>
                <w:b/>
                <w:color w:val="auto"/>
                <w:kern w:val="0"/>
              </w:rPr>
              <w:t>应急状态分类及应急响应程序：</w:t>
            </w:r>
            <w:r>
              <w:rPr>
                <w:color w:val="auto"/>
                <w:kern w:val="0"/>
              </w:rPr>
              <w:t>规定事故的级别及相应的应急分类，响应程序。</w:t>
            </w:r>
          </w:p>
          <w:p>
            <w:pPr>
              <w:autoSpaceDE w:val="0"/>
              <w:autoSpaceDN w:val="0"/>
              <w:adjustRightInd w:val="0"/>
              <w:snapToGrid w:val="0"/>
              <w:spacing w:line="360" w:lineRule="auto"/>
              <w:ind w:firstLine="482" w:firstLineChars="200"/>
              <w:rPr>
                <w:color w:val="auto"/>
                <w:kern w:val="0"/>
              </w:rPr>
            </w:pPr>
            <w:r>
              <w:rPr>
                <w:b/>
                <w:color w:val="auto"/>
                <w:kern w:val="0"/>
              </w:rPr>
              <w:t>应急设施、设备与材料：</w:t>
            </w:r>
            <w:r>
              <w:rPr>
                <w:color w:val="auto"/>
                <w:kern w:val="0"/>
              </w:rPr>
              <w:t>配备有关的备用设备，设施与材料。</w:t>
            </w:r>
          </w:p>
          <w:p>
            <w:pPr>
              <w:autoSpaceDE w:val="0"/>
              <w:autoSpaceDN w:val="0"/>
              <w:adjustRightInd w:val="0"/>
              <w:snapToGrid w:val="0"/>
              <w:spacing w:line="360" w:lineRule="auto"/>
              <w:ind w:firstLine="482" w:firstLineChars="200"/>
              <w:rPr>
                <w:color w:val="auto"/>
                <w:kern w:val="0"/>
              </w:rPr>
            </w:pPr>
            <w:r>
              <w:rPr>
                <w:b/>
                <w:color w:val="auto"/>
                <w:kern w:val="0"/>
              </w:rPr>
              <w:t>应急通讯，通知和交通：</w:t>
            </w:r>
            <w:r>
              <w:rPr>
                <w:color w:val="auto"/>
                <w:kern w:val="0"/>
              </w:rPr>
              <w:t>规定应急状态下的联络通知方式，通知有关方面采取求援行动，对事故现场进行管制，确保抢修队伍及时到达。</w:t>
            </w:r>
          </w:p>
          <w:p>
            <w:pPr>
              <w:autoSpaceDE w:val="0"/>
              <w:autoSpaceDN w:val="0"/>
              <w:adjustRightInd w:val="0"/>
              <w:snapToGrid w:val="0"/>
              <w:spacing w:line="360" w:lineRule="auto"/>
              <w:ind w:firstLine="482" w:firstLineChars="200"/>
              <w:rPr>
                <w:color w:val="auto"/>
                <w:kern w:val="0"/>
              </w:rPr>
            </w:pPr>
            <w:r>
              <w:rPr>
                <w:b/>
                <w:color w:val="auto"/>
                <w:kern w:val="0"/>
              </w:rPr>
              <w:t>应急环境监测及事故后果评估：</w:t>
            </w:r>
            <w:r>
              <w:rPr>
                <w:color w:val="auto"/>
                <w:kern w:val="0"/>
              </w:rPr>
              <w:t>对较大的事故现场附近的水环境进行监测，对事故性质、参数与后果进行评估，为有关部门提供决策依据。</w:t>
            </w:r>
          </w:p>
          <w:p>
            <w:pPr>
              <w:autoSpaceDE w:val="0"/>
              <w:autoSpaceDN w:val="0"/>
              <w:adjustRightInd w:val="0"/>
              <w:snapToGrid w:val="0"/>
              <w:spacing w:line="360" w:lineRule="auto"/>
              <w:ind w:firstLine="482" w:firstLineChars="200"/>
              <w:rPr>
                <w:color w:val="auto"/>
                <w:kern w:val="0"/>
              </w:rPr>
            </w:pPr>
            <w:r>
              <w:rPr>
                <w:b/>
                <w:color w:val="auto"/>
                <w:kern w:val="0"/>
              </w:rPr>
              <w:t>应急防护措施：</w:t>
            </w:r>
            <w:r>
              <w:rPr>
                <w:color w:val="auto"/>
                <w:kern w:val="0"/>
              </w:rPr>
              <w:t>控制事故，防止扩大、蔓延及连锁反应，降低危害。</w:t>
            </w:r>
          </w:p>
          <w:p>
            <w:pPr>
              <w:autoSpaceDE w:val="0"/>
              <w:autoSpaceDN w:val="0"/>
              <w:adjustRightInd w:val="0"/>
              <w:snapToGrid w:val="0"/>
              <w:spacing w:line="360" w:lineRule="auto"/>
              <w:ind w:firstLine="482" w:firstLineChars="200"/>
              <w:rPr>
                <w:color w:val="auto"/>
                <w:kern w:val="0"/>
              </w:rPr>
            </w:pPr>
            <w:r>
              <w:rPr>
                <w:b/>
                <w:color w:val="auto"/>
                <w:kern w:val="0"/>
              </w:rPr>
              <w:t>应急状况终止与恢复措施：</w:t>
            </w:r>
            <w:r>
              <w:rPr>
                <w:color w:val="auto"/>
                <w:kern w:val="0"/>
              </w:rPr>
              <w:t>规定应急状态终止程序，事故现场善后处理，迅速恢复污水站的正常生产转运。</w:t>
            </w:r>
          </w:p>
          <w:p>
            <w:pPr>
              <w:autoSpaceDE w:val="0"/>
              <w:autoSpaceDN w:val="0"/>
              <w:adjustRightInd w:val="0"/>
              <w:snapToGrid w:val="0"/>
              <w:spacing w:line="360" w:lineRule="auto"/>
              <w:ind w:firstLine="482" w:firstLineChars="200"/>
              <w:rPr>
                <w:color w:val="auto"/>
                <w:kern w:val="0"/>
              </w:rPr>
            </w:pPr>
            <w:r>
              <w:rPr>
                <w:b/>
                <w:color w:val="auto"/>
                <w:kern w:val="0"/>
              </w:rPr>
              <w:t>人员培训与演练：</w:t>
            </w:r>
            <w:r>
              <w:rPr>
                <w:color w:val="auto"/>
                <w:kern w:val="0"/>
              </w:rPr>
              <w:t>应急计划制定后，平时安排有关人员培训与演习。</w:t>
            </w:r>
          </w:p>
          <w:p>
            <w:pPr>
              <w:autoSpaceDE w:val="0"/>
              <w:autoSpaceDN w:val="0"/>
              <w:adjustRightInd w:val="0"/>
              <w:snapToGrid w:val="0"/>
              <w:spacing w:line="360" w:lineRule="auto"/>
              <w:ind w:firstLine="482" w:firstLineChars="200"/>
              <w:rPr>
                <w:color w:val="auto"/>
                <w:kern w:val="0"/>
              </w:rPr>
            </w:pPr>
            <w:r>
              <w:rPr>
                <w:b/>
                <w:color w:val="auto"/>
                <w:kern w:val="0"/>
              </w:rPr>
              <w:t>记录报告：</w:t>
            </w:r>
            <w:r>
              <w:rPr>
                <w:color w:val="auto"/>
                <w:kern w:val="0"/>
              </w:rPr>
              <w:t>设置事故专业记录，建档案和专业报告制度，设专人负责管理。</w:t>
            </w:r>
          </w:p>
          <w:p>
            <w:pPr>
              <w:autoSpaceDE w:val="0"/>
              <w:autoSpaceDN w:val="0"/>
              <w:adjustRightInd w:val="0"/>
              <w:snapToGrid w:val="0"/>
              <w:spacing w:line="360" w:lineRule="auto"/>
              <w:ind w:firstLine="480" w:firstLineChars="200"/>
              <w:rPr>
                <w:color w:val="auto"/>
                <w:kern w:val="0"/>
              </w:rPr>
            </w:pPr>
            <w:r>
              <w:rPr>
                <w:color w:val="auto"/>
                <w:kern w:val="0"/>
              </w:rPr>
              <w:t>（5）污染事故应急措施</w:t>
            </w:r>
          </w:p>
          <w:p>
            <w:pPr>
              <w:autoSpaceDE w:val="0"/>
              <w:autoSpaceDN w:val="0"/>
              <w:adjustRightInd w:val="0"/>
              <w:snapToGrid w:val="0"/>
              <w:spacing w:line="360" w:lineRule="auto"/>
              <w:ind w:firstLine="480" w:firstLineChars="200"/>
              <w:rPr>
                <w:color w:val="auto"/>
                <w:kern w:val="0"/>
              </w:rPr>
            </w:pPr>
            <w:r>
              <w:rPr>
                <w:color w:val="auto"/>
                <w:kern w:val="0"/>
              </w:rPr>
              <w:t>①成立污水处理站的事故应急指挥中心，制定事故应急方案，指挥中心负责人应由当地相关领导担任，成员由</w:t>
            </w:r>
            <w:r>
              <w:rPr>
                <w:rFonts w:hint="eastAsia"/>
                <w:color w:val="auto"/>
                <w:kern w:val="0"/>
              </w:rPr>
              <w:t>峨边彝族自治县</w:t>
            </w:r>
            <w:r>
              <w:rPr>
                <w:color w:val="auto"/>
                <w:kern w:val="0"/>
              </w:rPr>
              <w:t>水利、环保和污水处理站等单位负责人组成。</w:t>
            </w:r>
          </w:p>
          <w:p>
            <w:pPr>
              <w:adjustRightInd w:val="0"/>
              <w:snapToGrid w:val="0"/>
              <w:spacing w:line="360" w:lineRule="auto"/>
              <w:ind w:firstLine="480" w:firstLineChars="200"/>
              <w:jc w:val="left"/>
              <w:rPr>
                <w:color w:val="auto"/>
                <w:kern w:val="28"/>
              </w:rPr>
            </w:pPr>
            <w:r>
              <w:rPr>
                <w:color w:val="auto"/>
                <w:kern w:val="0"/>
              </w:rPr>
              <w:t>②一旦发生污染事故，现场操作人员应立即向污水站负责人报警。污水站负责人在接报后立即了解事故情况，及时向事故应急指挥中心报告。事故应急指挥中心在接报后，立即向下游各镇政府、自来水厂和环保部门发出报警，一方面指挥污水站的抢修工作，另一方面指挥有关工厂、企业等采取停产或其它有效措施，停止或减少污水进入污水站。</w:t>
            </w:r>
          </w:p>
          <w:p>
            <w:pPr>
              <w:autoSpaceDE w:val="0"/>
              <w:autoSpaceDN w:val="0"/>
              <w:adjustRightInd w:val="0"/>
              <w:snapToGrid w:val="0"/>
              <w:spacing w:line="360" w:lineRule="auto"/>
              <w:ind w:firstLine="480" w:firstLineChars="200"/>
              <w:rPr>
                <w:color w:val="auto"/>
                <w:kern w:val="0"/>
              </w:rPr>
            </w:pPr>
            <w:r>
              <w:rPr>
                <w:color w:val="auto"/>
                <w:kern w:val="0"/>
              </w:rPr>
              <w:t>③污水站负责人在向指挥中心报警的同时，立即启动污水站应急方案。</w:t>
            </w:r>
          </w:p>
          <w:p>
            <w:pPr>
              <w:autoSpaceDE w:val="0"/>
              <w:autoSpaceDN w:val="0"/>
              <w:adjustRightInd w:val="0"/>
              <w:snapToGrid w:val="0"/>
              <w:spacing w:line="360" w:lineRule="auto"/>
              <w:ind w:firstLine="480" w:firstLineChars="200"/>
              <w:rPr>
                <w:color w:val="auto"/>
                <w:kern w:val="0"/>
              </w:rPr>
            </w:pPr>
            <w:r>
              <w:rPr>
                <w:color w:val="auto"/>
                <w:kern w:val="0"/>
              </w:rPr>
              <w:t>水利部门在接到报警后，应向自来水厂和环保部门通告水文情况以及污水运行情况，协助两部门掌握污水动向。自来水厂在接报后及时不断地与水利环保部门保持联系，密切监视污水动向和水质浓度变化，环保部门应根据应急方案规定，设点进行连续监测水质，发现超标后立即关闭水厂取水口，停止取水。</w:t>
            </w:r>
          </w:p>
          <w:p>
            <w:pPr>
              <w:autoSpaceDE w:val="0"/>
              <w:autoSpaceDN w:val="0"/>
              <w:adjustRightInd w:val="0"/>
              <w:snapToGrid w:val="0"/>
              <w:spacing w:line="360" w:lineRule="auto"/>
              <w:ind w:firstLine="480" w:firstLineChars="200"/>
              <w:rPr>
                <w:color w:val="auto"/>
                <w:kern w:val="0"/>
              </w:rPr>
            </w:pPr>
            <w:r>
              <w:rPr>
                <w:color w:val="auto"/>
                <w:kern w:val="0"/>
              </w:rPr>
              <w:t>环保部门在实施水质监测，弄清污水污染的范围和程度的同时，还应在现场监督污水污染事故的应急处理，协助指挥抢险工作。</w:t>
            </w:r>
          </w:p>
          <w:p>
            <w:pPr>
              <w:adjustRightInd w:val="0"/>
              <w:snapToGrid w:val="0"/>
              <w:spacing w:line="360" w:lineRule="auto"/>
              <w:ind w:firstLine="482" w:firstLineChars="200"/>
              <w:jc w:val="left"/>
              <w:rPr>
                <w:b/>
                <w:bCs/>
                <w:color w:val="auto"/>
                <w:kern w:val="28"/>
              </w:rPr>
            </w:pPr>
            <w:r>
              <w:rPr>
                <w:b/>
                <w:bCs/>
                <w:color w:val="auto"/>
                <w:kern w:val="28"/>
              </w:rPr>
              <w:t>4.5管网工程环境风险评价</w:t>
            </w:r>
          </w:p>
          <w:p>
            <w:pPr>
              <w:adjustRightInd w:val="0"/>
              <w:snapToGrid w:val="0"/>
              <w:spacing w:line="360" w:lineRule="auto"/>
              <w:ind w:firstLine="480" w:firstLineChars="200"/>
              <w:rPr>
                <w:color w:val="auto"/>
                <w:kern w:val="28"/>
              </w:rPr>
            </w:pPr>
            <w:r>
              <w:rPr>
                <w:color w:val="auto"/>
                <w:kern w:val="28"/>
              </w:rPr>
              <w:t>（1）环境风险识别</w:t>
            </w:r>
          </w:p>
          <w:p>
            <w:pPr>
              <w:autoSpaceDE w:val="0"/>
              <w:autoSpaceDN w:val="0"/>
              <w:adjustRightInd w:val="0"/>
              <w:snapToGrid w:val="0"/>
              <w:spacing w:line="360" w:lineRule="auto"/>
              <w:ind w:firstLine="480" w:firstLineChars="200"/>
              <w:rPr>
                <w:color w:val="auto"/>
                <w:kern w:val="0"/>
              </w:rPr>
            </w:pPr>
            <w:r>
              <w:rPr>
                <w:color w:val="auto"/>
                <w:kern w:val="0"/>
              </w:rPr>
              <w:t>本项目污水管网投产后，在正常运行的情况下，不会对环境造成不良影响，但是管线处于非正常状态下（即事故状态），将对外环境尤其是地下水环境、地表水环境乃至环境空气产生一定影响，非正常运行状态主要是指可能发生的管线破裂、断裂以及堵塞等。原因主要有两个方面，一是自然因素，即地震、气候变化等；二是人为因素，即选材、施工、防腐、检修、操作以及管沟的回填土没有按规范要求进行以及后续建设项目施工损坏管道等。</w:t>
            </w:r>
          </w:p>
          <w:p>
            <w:pPr>
              <w:adjustRightInd w:val="0"/>
              <w:snapToGrid w:val="0"/>
              <w:spacing w:line="360" w:lineRule="auto"/>
              <w:ind w:firstLine="480" w:firstLineChars="200"/>
              <w:jc w:val="left"/>
              <w:rPr>
                <w:color w:val="auto"/>
                <w:kern w:val="0"/>
              </w:rPr>
            </w:pPr>
            <w:r>
              <w:rPr>
                <w:color w:val="auto"/>
                <w:kern w:val="0"/>
              </w:rPr>
              <w:t>自然因素造成的事故不能避免，只能在事故发生后尽早发现及时补救，对于人为因素造成的事故是可以避免的，经前面分析各种管网的选材是合理的、安全的，因此主要应在施工和运营期间严格管理，遵守有关规定，定期检查，规范操作，则各种人为因素造成事故发生机率可以大大降低。</w:t>
            </w:r>
          </w:p>
          <w:p>
            <w:pPr>
              <w:adjustRightInd w:val="0"/>
              <w:snapToGrid w:val="0"/>
              <w:spacing w:line="360" w:lineRule="auto"/>
              <w:ind w:firstLine="480" w:firstLineChars="200"/>
              <w:jc w:val="left"/>
              <w:rPr>
                <w:color w:val="auto"/>
                <w:kern w:val="0"/>
              </w:rPr>
            </w:pPr>
            <w:r>
              <w:rPr>
                <w:color w:val="auto"/>
                <w:kern w:val="0"/>
              </w:rPr>
              <w:t>当管线处于非正常运行状态，主要是指发生破裂、断裂和堵塞等，将从管网中溢出污水，可能对地表水或地下水环境造成污染。一般来讲，如管网堵塞严重，污水通过检查井外溢，流出地面造成地表水环境污染，这种现象易于发现，只要及时向相关部门反映即可可以降低污染程度和范围。但如管网因破裂、断裂发生渗漏，造成污水下渗，污染地下水，这种现象不易被发现，一般只能通过定期检查发现。</w:t>
            </w:r>
          </w:p>
          <w:p>
            <w:pPr>
              <w:adjustRightInd w:val="0"/>
              <w:snapToGrid w:val="0"/>
              <w:spacing w:line="360" w:lineRule="auto"/>
              <w:ind w:firstLine="480" w:firstLineChars="200"/>
              <w:jc w:val="left"/>
              <w:rPr>
                <w:color w:val="auto"/>
                <w:kern w:val="0"/>
              </w:rPr>
            </w:pPr>
            <w:r>
              <w:rPr>
                <w:color w:val="auto"/>
                <w:kern w:val="0"/>
              </w:rPr>
              <w:t>在施工期间或污水管道维护期间，施工人员在进入管道进行检测或者维修过程中出现中毒，造成突发环境安全事故。</w:t>
            </w:r>
          </w:p>
          <w:p>
            <w:pPr>
              <w:adjustRightInd w:val="0"/>
              <w:snapToGrid w:val="0"/>
              <w:spacing w:line="360" w:lineRule="auto"/>
              <w:ind w:firstLine="480" w:firstLineChars="200"/>
              <w:jc w:val="left"/>
              <w:rPr>
                <w:color w:val="auto"/>
                <w:kern w:val="0"/>
              </w:rPr>
            </w:pPr>
            <w:r>
              <w:rPr>
                <w:color w:val="auto"/>
                <w:kern w:val="0"/>
              </w:rPr>
              <w:t>（2）环境风险事故分析</w:t>
            </w:r>
          </w:p>
          <w:p>
            <w:pPr>
              <w:autoSpaceDE w:val="0"/>
              <w:autoSpaceDN w:val="0"/>
              <w:adjustRightInd w:val="0"/>
              <w:snapToGrid w:val="0"/>
              <w:spacing w:line="360" w:lineRule="auto"/>
              <w:ind w:firstLine="480" w:firstLineChars="200"/>
              <w:rPr>
                <w:color w:val="auto"/>
                <w:kern w:val="0"/>
              </w:rPr>
            </w:pPr>
            <w:r>
              <w:rPr>
                <w:color w:val="auto"/>
                <w:kern w:val="0"/>
              </w:rPr>
              <w:t>对风险污染事故发生的各类环节，分析风险污染事故发生后，对环境的影响方式。污水管网一旦发生事故，对周围环境及人员人身安全、健康均可能造成影响。</w:t>
            </w:r>
          </w:p>
          <w:p>
            <w:pPr>
              <w:autoSpaceDE w:val="0"/>
              <w:autoSpaceDN w:val="0"/>
              <w:adjustRightInd w:val="0"/>
              <w:snapToGrid w:val="0"/>
              <w:spacing w:line="360" w:lineRule="auto"/>
              <w:ind w:firstLine="480" w:firstLineChars="200"/>
              <w:rPr>
                <w:color w:val="auto"/>
                <w:kern w:val="0"/>
              </w:rPr>
            </w:pPr>
            <w:r>
              <w:rPr>
                <w:color w:val="auto"/>
                <w:kern w:val="0"/>
              </w:rPr>
              <w:t>一般情况下，污水管网不会发生堵塞、破裂和爆炸。发生该类事故的可能原因主要有管网设计不合理、往下水道倾倒大量固体废物和易燃易爆物质等。</w:t>
            </w:r>
          </w:p>
          <w:p>
            <w:pPr>
              <w:autoSpaceDE w:val="0"/>
              <w:autoSpaceDN w:val="0"/>
              <w:adjustRightInd w:val="0"/>
              <w:snapToGrid w:val="0"/>
              <w:spacing w:line="360" w:lineRule="auto"/>
              <w:ind w:firstLine="480" w:firstLineChars="200"/>
              <w:rPr>
                <w:color w:val="auto"/>
                <w:kern w:val="0"/>
              </w:rPr>
            </w:pPr>
            <w:r>
              <w:rPr>
                <w:color w:val="auto"/>
                <w:kern w:val="0"/>
              </w:rPr>
              <w:t>①本项目排水系统的设计抗震强度为7度，因此地震对污水处理系统的破坏风险较小。在强震时，可能造成污水收集系统毁坏或其它事故，使污水外溢流入就近河涌，对水体环境产生一定影响。</w:t>
            </w:r>
          </w:p>
          <w:p>
            <w:pPr>
              <w:autoSpaceDE w:val="0"/>
              <w:autoSpaceDN w:val="0"/>
              <w:adjustRightInd w:val="0"/>
              <w:snapToGrid w:val="0"/>
              <w:spacing w:line="360" w:lineRule="auto"/>
              <w:ind w:firstLine="480" w:firstLineChars="200"/>
              <w:rPr>
                <w:color w:val="auto"/>
                <w:kern w:val="0"/>
              </w:rPr>
            </w:pPr>
            <w:r>
              <w:rPr>
                <w:color w:val="auto"/>
                <w:kern w:val="0"/>
              </w:rPr>
              <w:t>②市政工程施工（维护）中毒事故的主要原因是：一是污水管网作业中，未经过检测下水井有毒气体或者检测不清即下井；二是涉及人工挖孔桩作业中，施工人员下井前不进行毒气检测或者检测方法不对，或通风措施不满足要求，盲目下井作业；三是发生中毒事故后，由于缺乏救护知识及防毒救护用具，施工人员盲目施救造成伤忙，造成环境安全事故。</w:t>
            </w:r>
          </w:p>
          <w:p>
            <w:pPr>
              <w:adjustRightInd w:val="0"/>
              <w:snapToGrid w:val="0"/>
              <w:spacing w:line="360" w:lineRule="auto"/>
              <w:ind w:firstLine="480" w:firstLineChars="200"/>
              <w:jc w:val="left"/>
              <w:rPr>
                <w:color w:val="auto"/>
                <w:kern w:val="28"/>
              </w:rPr>
            </w:pPr>
            <w:r>
              <w:rPr>
                <w:color w:val="auto"/>
                <w:kern w:val="0"/>
              </w:rPr>
              <w:t>③事故发生时污水未经处理直接排入水体，使区域地表水和地下水水质有较大的影响，如果长时间排放至受纳水体，将导致周围水体水质恢复至现有环境情况。</w:t>
            </w:r>
          </w:p>
          <w:p>
            <w:pPr>
              <w:adjustRightInd w:val="0"/>
              <w:snapToGrid w:val="0"/>
              <w:spacing w:line="360" w:lineRule="auto"/>
              <w:ind w:firstLine="480" w:firstLineChars="200"/>
              <w:jc w:val="left"/>
              <w:rPr>
                <w:color w:val="auto"/>
                <w:kern w:val="28"/>
              </w:rPr>
            </w:pPr>
            <w:r>
              <w:rPr>
                <w:color w:val="auto"/>
                <w:kern w:val="28"/>
              </w:rPr>
              <w:t>（3）事故防范措施及对策建议</w:t>
            </w:r>
          </w:p>
          <w:p>
            <w:pPr>
              <w:adjustRightInd w:val="0"/>
              <w:snapToGrid w:val="0"/>
              <w:spacing w:line="360" w:lineRule="auto"/>
              <w:ind w:firstLine="480" w:firstLineChars="200"/>
              <w:jc w:val="left"/>
              <w:rPr>
                <w:color w:val="auto"/>
                <w:kern w:val="28"/>
              </w:rPr>
            </w:pPr>
            <w:r>
              <w:rPr>
                <w:color w:val="auto"/>
                <w:kern w:val="28"/>
              </w:rPr>
              <w:t>1）管网维护及措施</w:t>
            </w:r>
          </w:p>
          <w:p>
            <w:pPr>
              <w:autoSpaceDE w:val="0"/>
              <w:autoSpaceDN w:val="0"/>
              <w:adjustRightInd w:val="0"/>
              <w:snapToGrid w:val="0"/>
              <w:spacing w:line="360" w:lineRule="auto"/>
              <w:ind w:firstLine="480" w:firstLineChars="200"/>
              <w:rPr>
                <w:color w:val="auto"/>
                <w:kern w:val="0"/>
              </w:rPr>
            </w:pPr>
            <w:r>
              <w:rPr>
                <w:color w:val="auto"/>
                <w:kern w:val="0"/>
              </w:rPr>
              <w:t>为了防止排水管网发生爆裂、堵塞而发生污水溢流外排事故。建议采取如下防治措施：</w:t>
            </w:r>
          </w:p>
          <w:p>
            <w:pPr>
              <w:autoSpaceDE w:val="0"/>
              <w:autoSpaceDN w:val="0"/>
              <w:adjustRightInd w:val="0"/>
              <w:snapToGrid w:val="0"/>
              <w:spacing w:line="360" w:lineRule="auto"/>
              <w:ind w:firstLine="480" w:firstLineChars="200"/>
              <w:rPr>
                <w:color w:val="auto"/>
                <w:kern w:val="0"/>
              </w:rPr>
            </w:pPr>
            <w:r>
              <w:rPr>
                <w:color w:val="auto"/>
                <w:kern w:val="0"/>
              </w:rPr>
              <w:t>①应十分重视管网的维护及管理，防止泥沙沉积堵塞而影响管道的过水能力。</w:t>
            </w:r>
          </w:p>
          <w:p>
            <w:pPr>
              <w:autoSpaceDE w:val="0"/>
              <w:autoSpaceDN w:val="0"/>
              <w:adjustRightInd w:val="0"/>
              <w:snapToGrid w:val="0"/>
              <w:spacing w:line="360" w:lineRule="auto"/>
              <w:ind w:firstLine="480" w:firstLineChars="200"/>
              <w:rPr>
                <w:color w:val="auto"/>
                <w:kern w:val="0"/>
              </w:rPr>
            </w:pPr>
            <w:r>
              <w:rPr>
                <w:color w:val="auto"/>
                <w:kern w:val="0"/>
              </w:rPr>
              <w:t>②管道衔接应防止泄漏污染地下水和掏空地基，淤塞应及时疏浚，保证管道通畅，同时最大限度地收集生活污水和农副产品生产废水。</w:t>
            </w:r>
          </w:p>
          <w:p>
            <w:pPr>
              <w:autoSpaceDE w:val="0"/>
              <w:autoSpaceDN w:val="0"/>
              <w:adjustRightInd w:val="0"/>
              <w:snapToGrid w:val="0"/>
              <w:spacing w:line="360" w:lineRule="auto"/>
              <w:ind w:firstLine="480" w:firstLineChars="200"/>
              <w:rPr>
                <w:color w:val="auto"/>
                <w:kern w:val="0"/>
              </w:rPr>
            </w:pPr>
            <w:r>
              <w:rPr>
                <w:color w:val="auto"/>
                <w:kern w:val="0"/>
              </w:rPr>
              <w:t>③干管和支管设计中，选择适当充满度和最小设计流速，防止污泥沉积。</w:t>
            </w:r>
          </w:p>
          <w:p>
            <w:pPr>
              <w:autoSpaceDE w:val="0"/>
              <w:autoSpaceDN w:val="0"/>
              <w:adjustRightInd w:val="0"/>
              <w:snapToGrid w:val="0"/>
              <w:spacing w:line="360" w:lineRule="auto"/>
              <w:ind w:firstLine="480" w:firstLineChars="200"/>
              <w:rPr>
                <w:color w:val="auto"/>
                <w:kern w:val="0"/>
              </w:rPr>
            </w:pPr>
            <w:r>
              <w:rPr>
                <w:color w:val="auto"/>
                <w:kern w:val="0"/>
              </w:rPr>
              <w:t>④日常维护期间，工作人员要严格按照维修操作制度，在进入管网检查期间，先检查是否适合人员进去的环境，防止工作人员进入检查期间发生窒息事件，建议工作人员穿好防护服进入污水管网进行检查。</w:t>
            </w:r>
          </w:p>
          <w:p>
            <w:pPr>
              <w:autoSpaceDE w:val="0"/>
              <w:autoSpaceDN w:val="0"/>
              <w:adjustRightInd w:val="0"/>
              <w:snapToGrid w:val="0"/>
              <w:spacing w:line="360" w:lineRule="auto"/>
              <w:ind w:firstLine="480" w:firstLineChars="200"/>
              <w:rPr>
                <w:color w:val="auto"/>
                <w:kern w:val="0"/>
              </w:rPr>
            </w:pPr>
            <w:r>
              <w:rPr>
                <w:color w:val="auto"/>
                <w:kern w:val="0"/>
              </w:rPr>
              <w:t>⑤管网应制定严格的维修制度，用户应严格执行国家、地方的有关排放标准，确保污水管网收集的污水符合进水水质标准《污水排入城市下水道水质标准》（CJ343-2010）以及桐花村污水处理站的进水水质要求。</w:t>
            </w:r>
          </w:p>
          <w:p>
            <w:pPr>
              <w:adjustRightInd w:val="0"/>
              <w:snapToGrid w:val="0"/>
              <w:spacing w:line="360" w:lineRule="auto"/>
              <w:ind w:firstLine="480" w:firstLineChars="200"/>
              <w:jc w:val="left"/>
              <w:rPr>
                <w:color w:val="auto"/>
                <w:kern w:val="28"/>
              </w:rPr>
            </w:pPr>
            <w:r>
              <w:rPr>
                <w:color w:val="auto"/>
                <w:kern w:val="0"/>
              </w:rPr>
              <w:t>⑥建议配设巡视员，日常巡视管网的运行情况，及时发现事故隐患，排除事故，及时进行维修。</w:t>
            </w:r>
          </w:p>
          <w:p>
            <w:pPr>
              <w:adjustRightInd w:val="0"/>
              <w:snapToGrid w:val="0"/>
              <w:spacing w:line="360" w:lineRule="auto"/>
              <w:ind w:firstLine="480" w:firstLineChars="200"/>
              <w:jc w:val="left"/>
              <w:rPr>
                <w:color w:val="auto"/>
                <w:kern w:val="28"/>
              </w:rPr>
            </w:pPr>
            <w:r>
              <w:rPr>
                <w:color w:val="auto"/>
                <w:kern w:val="28"/>
              </w:rPr>
              <w:t>2）管网维护期间发生中毒事件的防护措施</w:t>
            </w:r>
          </w:p>
          <w:p>
            <w:pPr>
              <w:autoSpaceDE w:val="0"/>
              <w:autoSpaceDN w:val="0"/>
              <w:adjustRightInd w:val="0"/>
              <w:snapToGrid w:val="0"/>
              <w:spacing w:line="360" w:lineRule="auto"/>
              <w:ind w:firstLine="480" w:firstLineChars="200"/>
              <w:rPr>
                <w:color w:val="auto"/>
                <w:kern w:val="0"/>
              </w:rPr>
            </w:pPr>
            <w:r>
              <w:rPr>
                <w:color w:val="auto"/>
                <w:kern w:val="0"/>
              </w:rPr>
              <w:t>针对施工期间及项目维护期间可能发生的中毒事故，本项目拟采取如下的防范措施：</w:t>
            </w:r>
          </w:p>
          <w:p>
            <w:pPr>
              <w:autoSpaceDE w:val="0"/>
              <w:autoSpaceDN w:val="0"/>
              <w:adjustRightInd w:val="0"/>
              <w:snapToGrid w:val="0"/>
              <w:spacing w:line="360" w:lineRule="auto"/>
              <w:ind w:firstLine="480" w:firstLineChars="200"/>
              <w:rPr>
                <w:color w:val="auto"/>
                <w:kern w:val="0"/>
              </w:rPr>
            </w:pPr>
            <w:r>
              <w:rPr>
                <w:color w:val="auto"/>
                <w:kern w:val="0"/>
              </w:rPr>
              <w:t>①对涉及到市政污水管道（井）、人工挖桩等可能发生有害毒气中毒的，施工单位必须编制专项施工方案；经监理单位签字后方可实施。</w:t>
            </w:r>
          </w:p>
          <w:p>
            <w:pPr>
              <w:autoSpaceDE w:val="0"/>
              <w:autoSpaceDN w:val="0"/>
              <w:adjustRightInd w:val="0"/>
              <w:snapToGrid w:val="0"/>
              <w:spacing w:line="360" w:lineRule="auto"/>
              <w:ind w:firstLine="480" w:firstLineChars="200"/>
              <w:rPr>
                <w:color w:val="auto"/>
                <w:kern w:val="0"/>
              </w:rPr>
            </w:pPr>
            <w:r>
              <w:rPr>
                <w:color w:val="auto"/>
                <w:kern w:val="0"/>
              </w:rPr>
              <w:t>②工地现场负责人要在作业人员进入市政污水管道（井）等作业环境前，认真向现场作业人员进行技术交底，并为作业人员配备防毒用具。经仪器检测井下空气，并符合安全生产标准要求，经过施工现场负责人签字确认后，方可下井作业。</w:t>
            </w:r>
          </w:p>
          <w:p>
            <w:pPr>
              <w:autoSpaceDE w:val="0"/>
              <w:autoSpaceDN w:val="0"/>
              <w:adjustRightInd w:val="0"/>
              <w:snapToGrid w:val="0"/>
              <w:spacing w:line="360" w:lineRule="auto"/>
              <w:ind w:firstLine="480" w:firstLineChars="200"/>
              <w:rPr>
                <w:color w:val="auto"/>
                <w:kern w:val="0"/>
              </w:rPr>
            </w:pPr>
            <w:r>
              <w:rPr>
                <w:color w:val="auto"/>
                <w:kern w:val="0"/>
              </w:rPr>
              <w:t>③采取可靠的通风措施，保证作业面的安全条件；作业过程中，要安排专人对作业人员实施作业监护，一旦发生中毒事故，要按照预案科学施救。</w:t>
            </w:r>
          </w:p>
          <w:p>
            <w:pPr>
              <w:autoSpaceDE w:val="0"/>
              <w:autoSpaceDN w:val="0"/>
              <w:adjustRightInd w:val="0"/>
              <w:snapToGrid w:val="0"/>
              <w:spacing w:line="360" w:lineRule="auto"/>
              <w:ind w:firstLine="480" w:firstLineChars="200"/>
              <w:rPr>
                <w:color w:val="auto"/>
                <w:kern w:val="0"/>
              </w:rPr>
            </w:pPr>
            <w:r>
              <w:rPr>
                <w:color w:val="auto"/>
                <w:kern w:val="0"/>
              </w:rPr>
              <w:t>④施工单位认真制定完善施工（维护）中毒事故的应急预案。</w:t>
            </w:r>
          </w:p>
          <w:p>
            <w:pPr>
              <w:autoSpaceDE w:val="0"/>
              <w:autoSpaceDN w:val="0"/>
              <w:adjustRightInd w:val="0"/>
              <w:snapToGrid w:val="0"/>
              <w:spacing w:line="360" w:lineRule="auto"/>
              <w:ind w:firstLine="480" w:firstLineChars="200"/>
              <w:rPr>
                <w:color w:val="auto"/>
                <w:kern w:val="0"/>
              </w:rPr>
            </w:pPr>
            <w:r>
              <w:rPr>
                <w:color w:val="auto"/>
                <w:kern w:val="0"/>
              </w:rPr>
              <w:t>⑤施工单位应强化施工（维护）人员防护救护知识的培训教育。</w:t>
            </w:r>
          </w:p>
          <w:p>
            <w:pPr>
              <w:adjustRightInd w:val="0"/>
              <w:snapToGrid w:val="0"/>
              <w:spacing w:line="360" w:lineRule="auto"/>
              <w:ind w:firstLine="480" w:firstLineChars="200"/>
              <w:jc w:val="left"/>
              <w:rPr>
                <w:color w:val="auto"/>
                <w:kern w:val="28"/>
              </w:rPr>
            </w:pPr>
            <w:r>
              <w:rPr>
                <w:color w:val="auto"/>
                <w:kern w:val="0"/>
              </w:rPr>
              <w:t>⑥在施工前应当清楚了解施工区域的地下设施，如给水管、电力电讯及煤气管道等，避免施工事故的发生。</w:t>
            </w:r>
          </w:p>
          <w:p>
            <w:pPr>
              <w:adjustRightInd w:val="0"/>
              <w:snapToGrid w:val="0"/>
              <w:spacing w:line="360" w:lineRule="auto"/>
              <w:ind w:firstLine="480" w:firstLineChars="200"/>
              <w:jc w:val="left"/>
              <w:rPr>
                <w:color w:val="auto"/>
                <w:kern w:val="28"/>
              </w:rPr>
            </w:pPr>
            <w:r>
              <w:rPr>
                <w:color w:val="auto"/>
                <w:kern w:val="28"/>
              </w:rPr>
              <w:t>（4）污染事故应急预案</w:t>
            </w:r>
          </w:p>
          <w:p>
            <w:pPr>
              <w:adjustRightInd w:val="0"/>
              <w:snapToGrid w:val="0"/>
              <w:spacing w:line="360" w:lineRule="auto"/>
              <w:ind w:firstLine="480" w:firstLineChars="200"/>
              <w:jc w:val="left"/>
              <w:rPr>
                <w:bCs/>
                <w:color w:val="auto"/>
                <w:kern w:val="28"/>
              </w:rPr>
            </w:pPr>
            <w:r>
              <w:rPr>
                <w:bCs/>
                <w:color w:val="auto"/>
                <w:kern w:val="0"/>
              </w:rPr>
              <w:t>1）应急计划区</w:t>
            </w:r>
          </w:p>
          <w:p>
            <w:pPr>
              <w:autoSpaceDE w:val="0"/>
              <w:autoSpaceDN w:val="0"/>
              <w:adjustRightInd w:val="0"/>
              <w:snapToGrid w:val="0"/>
              <w:spacing w:line="360" w:lineRule="auto"/>
              <w:ind w:firstLine="480" w:firstLineChars="200"/>
              <w:rPr>
                <w:color w:val="auto"/>
                <w:kern w:val="0"/>
              </w:rPr>
            </w:pPr>
            <w:r>
              <w:rPr>
                <w:color w:val="auto"/>
                <w:kern w:val="0"/>
              </w:rPr>
              <w:t>工程发生事故主要是管网受到堵塞、破裂而至污水外溢致周围水体。因此事故应急计划区为事故发生现场及附近水体。</w:t>
            </w:r>
          </w:p>
          <w:p>
            <w:pPr>
              <w:autoSpaceDE w:val="0"/>
              <w:autoSpaceDN w:val="0"/>
              <w:adjustRightInd w:val="0"/>
              <w:snapToGrid w:val="0"/>
              <w:spacing w:line="360" w:lineRule="auto"/>
              <w:ind w:firstLine="480" w:firstLineChars="200"/>
              <w:rPr>
                <w:b/>
                <w:color w:val="auto"/>
                <w:kern w:val="0"/>
              </w:rPr>
            </w:pPr>
            <w:r>
              <w:rPr>
                <w:bCs/>
                <w:color w:val="auto"/>
                <w:kern w:val="0"/>
              </w:rPr>
              <w:t>2）应急机构</w:t>
            </w:r>
          </w:p>
          <w:p>
            <w:pPr>
              <w:autoSpaceDE w:val="0"/>
              <w:autoSpaceDN w:val="0"/>
              <w:adjustRightInd w:val="0"/>
              <w:snapToGrid w:val="0"/>
              <w:spacing w:line="360" w:lineRule="auto"/>
              <w:ind w:firstLine="480" w:firstLineChars="200"/>
              <w:rPr>
                <w:color w:val="auto"/>
                <w:kern w:val="0"/>
              </w:rPr>
            </w:pPr>
            <w:r>
              <w:rPr>
                <w:color w:val="auto"/>
                <w:kern w:val="0"/>
              </w:rPr>
              <w:t>为了防范突发事故的发生，应成立环境风险事故应急救援“指挥领导小组”，相关负责人及安全、环保、保卫等部门领导组成，下设应急救援办公室，日常工作由安全和环保部门兼管，制定快速抢修预案。发生重大事故时，以指挥领导小组为基础，立即成立风险事故应急救援指挥部，负责应急抢修工作的组织和指挥。</w:t>
            </w:r>
          </w:p>
          <w:p>
            <w:pPr>
              <w:autoSpaceDE w:val="0"/>
              <w:autoSpaceDN w:val="0"/>
              <w:adjustRightInd w:val="0"/>
              <w:snapToGrid w:val="0"/>
              <w:spacing w:line="360" w:lineRule="auto"/>
              <w:ind w:firstLine="480" w:firstLineChars="200"/>
              <w:rPr>
                <w:b/>
                <w:color w:val="auto"/>
                <w:kern w:val="0"/>
              </w:rPr>
            </w:pPr>
            <w:r>
              <w:rPr>
                <w:bCs/>
                <w:color w:val="auto"/>
                <w:kern w:val="0"/>
              </w:rPr>
              <w:t>3）应急保障器材</w:t>
            </w:r>
          </w:p>
          <w:p>
            <w:pPr>
              <w:autoSpaceDE w:val="0"/>
              <w:autoSpaceDN w:val="0"/>
              <w:adjustRightInd w:val="0"/>
              <w:snapToGrid w:val="0"/>
              <w:spacing w:line="360" w:lineRule="auto"/>
              <w:ind w:firstLine="480" w:firstLineChars="200"/>
              <w:rPr>
                <w:color w:val="auto"/>
                <w:kern w:val="0"/>
              </w:rPr>
            </w:pPr>
            <w:r>
              <w:rPr>
                <w:color w:val="auto"/>
                <w:kern w:val="0"/>
              </w:rPr>
              <w:t>配备一定的快速抢修设备，包括：独特的破路挖土机具；大功率抽排水设施；钢管的快速焊补工艺；不同管材的快速卡固修复措施；不同管材的切断工具；柔性连接快速通水器材等。</w:t>
            </w:r>
          </w:p>
          <w:p>
            <w:pPr>
              <w:autoSpaceDE w:val="0"/>
              <w:autoSpaceDN w:val="0"/>
              <w:adjustRightInd w:val="0"/>
              <w:snapToGrid w:val="0"/>
              <w:spacing w:line="360" w:lineRule="auto"/>
              <w:ind w:firstLine="480" w:firstLineChars="200"/>
              <w:rPr>
                <w:color w:val="auto"/>
                <w:kern w:val="0"/>
              </w:rPr>
            </w:pPr>
            <w:r>
              <w:rPr>
                <w:color w:val="auto"/>
                <w:kern w:val="0"/>
              </w:rPr>
              <w:t>此外，还应配备应急通信系统，应急电源、照明。所有应急设施平时要专人维护、保管、检验，确保器材始终处于完好状态，保证能有效使用。</w:t>
            </w:r>
          </w:p>
          <w:p>
            <w:pPr>
              <w:autoSpaceDE w:val="0"/>
              <w:autoSpaceDN w:val="0"/>
              <w:adjustRightInd w:val="0"/>
              <w:snapToGrid w:val="0"/>
              <w:spacing w:line="360" w:lineRule="auto"/>
              <w:ind w:firstLine="480" w:firstLineChars="200"/>
              <w:rPr>
                <w:color w:val="auto"/>
                <w:kern w:val="0"/>
              </w:rPr>
            </w:pPr>
            <w:r>
              <w:rPr>
                <w:color w:val="auto"/>
                <w:kern w:val="0"/>
              </w:rPr>
              <w:t>对各种通讯工具、警报及事故信号，平时必须做出明确规定；报警方法、联络号码和信号使用规定要置于明显位置，使每一位值班人员熟练掌握。</w:t>
            </w:r>
          </w:p>
          <w:p>
            <w:pPr>
              <w:autoSpaceDE w:val="0"/>
              <w:autoSpaceDN w:val="0"/>
              <w:adjustRightInd w:val="0"/>
              <w:snapToGrid w:val="0"/>
              <w:spacing w:line="360" w:lineRule="auto"/>
              <w:ind w:firstLine="480" w:firstLineChars="200"/>
              <w:rPr>
                <w:b/>
                <w:color w:val="auto"/>
                <w:kern w:val="0"/>
              </w:rPr>
            </w:pPr>
            <w:r>
              <w:rPr>
                <w:bCs/>
                <w:color w:val="auto"/>
                <w:kern w:val="0"/>
              </w:rPr>
              <w:t>4）事故报告程序及通信方式</w:t>
            </w:r>
          </w:p>
          <w:p>
            <w:pPr>
              <w:autoSpaceDE w:val="0"/>
              <w:autoSpaceDN w:val="0"/>
              <w:adjustRightInd w:val="0"/>
              <w:snapToGrid w:val="0"/>
              <w:spacing w:line="360" w:lineRule="auto"/>
              <w:ind w:firstLine="480" w:firstLineChars="200"/>
              <w:rPr>
                <w:color w:val="auto"/>
                <w:kern w:val="0"/>
              </w:rPr>
            </w:pPr>
            <w:r>
              <w:rPr>
                <w:color w:val="auto"/>
                <w:kern w:val="0"/>
              </w:rPr>
              <w:t>发生污水泄漏事故，现场发现人员应立即向值班人员报告。接到泄漏报告后，立即启动预案，展开抢修工作。</w:t>
            </w:r>
          </w:p>
          <w:p>
            <w:pPr>
              <w:adjustRightInd w:val="0"/>
              <w:snapToGrid w:val="0"/>
              <w:spacing w:line="360" w:lineRule="auto"/>
              <w:ind w:firstLine="480" w:firstLineChars="200"/>
              <w:jc w:val="left"/>
              <w:rPr>
                <w:color w:val="auto"/>
                <w:kern w:val="28"/>
              </w:rPr>
            </w:pPr>
            <w:r>
              <w:rPr>
                <w:bCs/>
                <w:color w:val="auto"/>
                <w:kern w:val="0"/>
              </w:rPr>
              <w:t>5）应急环境监测、抢险、救援及控制措施</w:t>
            </w:r>
          </w:p>
          <w:p>
            <w:pPr>
              <w:autoSpaceDE w:val="0"/>
              <w:autoSpaceDN w:val="0"/>
              <w:adjustRightInd w:val="0"/>
              <w:snapToGrid w:val="0"/>
              <w:spacing w:line="360" w:lineRule="auto"/>
              <w:ind w:firstLine="480" w:firstLineChars="200"/>
              <w:rPr>
                <w:color w:val="auto"/>
                <w:kern w:val="0"/>
              </w:rPr>
            </w:pPr>
            <w:r>
              <w:rPr>
                <w:color w:val="auto"/>
                <w:kern w:val="0"/>
              </w:rPr>
              <w:t>①泄漏发生后，应立即向市、区环境管理部门汇报情况，请求环境管理部门应急监测工作组进行应急监测。</w:t>
            </w:r>
          </w:p>
          <w:p>
            <w:pPr>
              <w:autoSpaceDE w:val="0"/>
              <w:autoSpaceDN w:val="0"/>
              <w:adjustRightInd w:val="0"/>
              <w:snapToGrid w:val="0"/>
              <w:spacing w:line="360" w:lineRule="auto"/>
              <w:ind w:firstLine="480" w:firstLineChars="200"/>
              <w:rPr>
                <w:color w:val="auto"/>
                <w:kern w:val="0"/>
              </w:rPr>
            </w:pPr>
            <w:r>
              <w:rPr>
                <w:color w:val="auto"/>
                <w:kern w:val="0"/>
              </w:rPr>
              <w:t>②环境管理部门应急监测工作组应根据污染物的扩散速度和事件发生地的气象和地域特点，确定污染物扩散范围。</w:t>
            </w:r>
          </w:p>
          <w:p>
            <w:pPr>
              <w:autoSpaceDE w:val="0"/>
              <w:autoSpaceDN w:val="0"/>
              <w:adjustRightInd w:val="0"/>
              <w:snapToGrid w:val="0"/>
              <w:spacing w:line="360" w:lineRule="auto"/>
              <w:ind w:firstLine="480" w:firstLineChars="200"/>
              <w:rPr>
                <w:color w:val="auto"/>
                <w:kern w:val="0"/>
              </w:rPr>
            </w:pPr>
            <w:r>
              <w:rPr>
                <w:color w:val="auto"/>
                <w:kern w:val="0"/>
              </w:rPr>
              <w:t>③根据监测结果，综合分析突发环境事件污染变化趋势，并通过专家咨询和讨论的方式，预测并报告突发污染事故的发展情况和污染物的变化情况，作为突发环境事件应急决策的依据。</w:t>
            </w:r>
          </w:p>
          <w:p>
            <w:pPr>
              <w:adjustRightInd w:val="0"/>
              <w:snapToGrid w:val="0"/>
              <w:spacing w:line="360" w:lineRule="auto"/>
              <w:ind w:firstLine="480" w:firstLineChars="200"/>
              <w:rPr>
                <w:color w:val="auto"/>
                <w:kern w:val="28"/>
              </w:rPr>
            </w:pPr>
            <w:r>
              <w:rPr>
                <w:color w:val="auto"/>
                <w:kern w:val="28"/>
              </w:rPr>
              <w:t>6）应急措施</w:t>
            </w:r>
          </w:p>
          <w:p>
            <w:pPr>
              <w:pStyle w:val="3"/>
              <w:adjustRightInd w:val="0"/>
              <w:snapToGrid w:val="0"/>
              <w:spacing w:line="360" w:lineRule="auto"/>
              <w:ind w:firstLineChars="200"/>
              <w:rPr>
                <w:rFonts w:hint="default" w:ascii="Times New Roman" w:hAnsi="Times New Roman"/>
                <w:color w:val="auto"/>
              </w:rPr>
            </w:pPr>
            <w:r>
              <w:rPr>
                <w:rFonts w:hint="default" w:ascii="Times New Roman" w:hAnsi="Times New Roman"/>
                <w:color w:val="auto"/>
              </w:rPr>
              <w:t>泄漏事故发生后，应当及时进行抢修工作，待情况得到控制后，应立即清除现场污染物，清扫现场。</w:t>
            </w:r>
          </w:p>
          <w:p>
            <w:pPr>
              <w:adjustRightInd w:val="0"/>
              <w:snapToGrid w:val="0"/>
              <w:spacing w:line="360" w:lineRule="auto"/>
              <w:ind w:firstLine="482" w:firstLineChars="200"/>
              <w:rPr>
                <w:b/>
                <w:bCs/>
                <w:color w:val="auto"/>
              </w:rPr>
            </w:pPr>
            <w:r>
              <w:rPr>
                <w:b/>
                <w:bCs/>
                <w:color w:val="auto"/>
              </w:rPr>
              <w:t>4.6环境风险分析结论</w:t>
            </w:r>
          </w:p>
          <w:p>
            <w:pPr>
              <w:widowControl/>
              <w:adjustRightInd w:val="0"/>
              <w:snapToGrid w:val="0"/>
              <w:spacing w:line="360" w:lineRule="auto"/>
              <w:ind w:firstLine="480" w:firstLineChars="200"/>
              <w:jc w:val="left"/>
              <w:rPr>
                <w:color w:val="auto"/>
              </w:rPr>
            </w:pPr>
            <w:r>
              <w:rPr>
                <w:color w:val="auto"/>
                <w:kern w:val="0"/>
                <w:lang w:bidi="ar"/>
              </w:rPr>
              <w:t>综上，本项目运营中不涉及危险化学品，无重大危险源，因此生产中存在的主要危险是污水管道泄露和污水站事故排放。只要建设单位严格按照本环境风险评价的要求加强风险防范措施，并在生产中进一步落实和完善应急预案，本项目的环境风险处于可接受的水平。</w:t>
            </w:r>
          </w:p>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五、环保竣工验收</w:t>
            </w:r>
          </w:p>
          <w:p>
            <w:pPr>
              <w:widowControl/>
              <w:adjustRightInd w:val="0"/>
              <w:snapToGrid w:val="0"/>
              <w:spacing w:line="360" w:lineRule="auto"/>
              <w:ind w:firstLine="482" w:firstLineChars="200"/>
              <w:jc w:val="left"/>
              <w:rPr>
                <w:b/>
                <w:color w:val="auto"/>
                <w:kern w:val="0"/>
                <w:lang w:bidi="ar"/>
              </w:rPr>
            </w:pPr>
            <w:r>
              <w:rPr>
                <w:b/>
                <w:color w:val="auto"/>
                <w:kern w:val="0"/>
                <w:lang w:bidi="ar"/>
              </w:rPr>
              <w:t>1、竣工验收要求</w:t>
            </w:r>
          </w:p>
          <w:p>
            <w:pPr>
              <w:widowControl/>
              <w:adjustRightInd w:val="0"/>
              <w:snapToGrid w:val="0"/>
              <w:spacing w:line="360" w:lineRule="auto"/>
              <w:ind w:firstLine="482" w:firstLineChars="200"/>
              <w:jc w:val="left"/>
              <w:rPr>
                <w:color w:val="auto"/>
              </w:rPr>
            </w:pPr>
            <w:r>
              <w:rPr>
                <w:b/>
                <w:color w:val="auto"/>
                <w:kern w:val="0"/>
                <w:lang w:bidi="ar"/>
              </w:rPr>
              <w:t>根据《建设项目环境保护管理条例》（国务院第682号令），第三章环境保护设施建设第十七条</w:t>
            </w:r>
            <w:r>
              <w:rPr>
                <w:color w:val="auto"/>
                <w:kern w:val="0"/>
                <w:lang w:bidi="ar"/>
              </w:rPr>
              <w:t>“编制环境影响报告书、环境影响报告表的建设项目竣工后，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除按照国家规定需要保密的情形外，建设单位应当依法向社会公开验收报告。”</w:t>
            </w:r>
            <w:r>
              <w:rPr>
                <w:b/>
                <w:color w:val="auto"/>
                <w:kern w:val="0"/>
                <w:lang w:bidi="ar"/>
              </w:rPr>
              <w:t>第十九条</w:t>
            </w:r>
            <w:r>
              <w:rPr>
                <w:color w:val="auto"/>
                <w:kern w:val="0"/>
                <w:lang w:bidi="ar"/>
              </w:rPr>
              <w:t>“编制环境影响报告书、环境影响报告表的建设项目，其配套建设的环境保护设施经验收合格，方可投入生产或者使用；未经验收或者验收不合格的，不得投入生产或者使用。前款规定的建设项目投入生产或者使用后，应当按照国务院环境保护行政主管部门的规定开展环境影响后评价。”</w:t>
            </w:r>
          </w:p>
          <w:p>
            <w:pPr>
              <w:widowControl/>
              <w:adjustRightInd w:val="0"/>
              <w:snapToGrid w:val="0"/>
              <w:spacing w:line="360" w:lineRule="auto"/>
              <w:ind w:firstLine="480" w:firstLineChars="200"/>
              <w:jc w:val="left"/>
              <w:rPr>
                <w:color w:val="auto"/>
              </w:rPr>
            </w:pPr>
            <w:r>
              <w:rPr>
                <w:color w:val="auto"/>
                <w:kern w:val="0"/>
                <w:lang w:bidi="ar"/>
              </w:rPr>
              <w:t>根据环境保护部《建设项目竣工环境保护验收暂行办法》（国环规环评[2017]4号），第五条“建设项目竣工后，建设单位应当如实查验、监测、记载建设项目环境保护设施的建设和调试情况，编制验收监测（调查）报告。”第十一条“除按照国家规定需要保密的情形外，建设单位应当通过其网站或其他便于公众知晓的方式，向社会公开下列信息：（一）建设项目配套建设的环境保护设施竣工后，公开竣工日期；（二）对建设项目配套建设的环境保护设施进行调试前，公开调试的起止日期；（三）验收报告编制完成后5个工作日内，公开验收报告，公示的期限不得小于20个作日。”第十二条“除需要取得排污许可证的水和大气污染防治设施外，其他环境保护设施的验收期限一般不超过3个月；需要对该类环境保护设施进行调试或者整改的，验收期限可以适当延期，但最长不超过12个月。”</w:t>
            </w:r>
          </w:p>
          <w:p>
            <w:pPr>
              <w:widowControl/>
              <w:adjustRightInd w:val="0"/>
              <w:snapToGrid w:val="0"/>
              <w:spacing w:line="360" w:lineRule="auto"/>
              <w:ind w:firstLine="482" w:firstLineChars="200"/>
              <w:jc w:val="left"/>
              <w:rPr>
                <w:color w:val="auto"/>
              </w:rPr>
            </w:pPr>
            <w:r>
              <w:rPr>
                <w:b/>
                <w:color w:val="auto"/>
                <w:kern w:val="0"/>
                <w:lang w:bidi="ar"/>
              </w:rPr>
              <w:t>2、环保竣工验收一览表</w:t>
            </w:r>
          </w:p>
          <w:p>
            <w:pPr>
              <w:widowControl/>
              <w:adjustRightInd w:val="0"/>
              <w:snapToGrid w:val="0"/>
              <w:spacing w:line="360" w:lineRule="auto"/>
              <w:ind w:firstLine="480" w:firstLineChars="200"/>
              <w:jc w:val="left"/>
              <w:rPr>
                <w:rFonts w:eastAsia="黑体"/>
                <w:bCs/>
                <w:color w:val="auto"/>
              </w:rPr>
            </w:pPr>
            <w:r>
              <w:rPr>
                <w:color w:val="auto"/>
                <w:kern w:val="0"/>
                <w:lang w:bidi="ar"/>
              </w:rPr>
              <w:t>工程竣工后，建设单位应委托有编制能力的单位对工程采取的环境保护措施和工程投入运行后造成的新的环境影响问题进行调查，并编制竣工环境保护验收调查报告。建设项目竣工环保验收一览表见下表。</w:t>
            </w:r>
          </w:p>
          <w:p>
            <w:pPr>
              <w:adjustRightInd w:val="0"/>
              <w:snapToGrid w:val="0"/>
              <w:spacing w:line="360" w:lineRule="auto"/>
              <w:jc w:val="center"/>
              <w:rPr>
                <w:rFonts w:eastAsia="黑体"/>
                <w:color w:val="auto"/>
              </w:rPr>
            </w:pPr>
            <w:r>
              <w:rPr>
                <w:rFonts w:eastAsia="黑体"/>
                <w:color w:val="auto"/>
              </w:rPr>
              <w:t>表7-36  本项目环保验收一览表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619"/>
              <w:gridCol w:w="3000"/>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center"/>
                </w:tcPr>
                <w:p>
                  <w:pPr>
                    <w:pStyle w:val="79"/>
                    <w:rPr>
                      <w:b/>
                      <w:bCs/>
                      <w:color w:val="auto"/>
                      <w:szCs w:val="21"/>
                    </w:rPr>
                  </w:pPr>
                  <w:r>
                    <w:rPr>
                      <w:b/>
                      <w:bCs/>
                      <w:color w:val="auto"/>
                      <w:szCs w:val="21"/>
                    </w:rPr>
                    <w:t>类型</w:t>
                  </w:r>
                </w:p>
              </w:tc>
              <w:tc>
                <w:tcPr>
                  <w:tcW w:w="1619" w:type="dxa"/>
                  <w:noWrap w:val="0"/>
                  <w:vAlign w:val="center"/>
                </w:tcPr>
                <w:p>
                  <w:pPr>
                    <w:pStyle w:val="79"/>
                    <w:rPr>
                      <w:b/>
                      <w:bCs/>
                      <w:color w:val="auto"/>
                      <w:szCs w:val="21"/>
                    </w:rPr>
                  </w:pPr>
                  <w:r>
                    <w:rPr>
                      <w:b/>
                      <w:bCs/>
                      <w:color w:val="auto"/>
                      <w:szCs w:val="21"/>
                    </w:rPr>
                    <w:t>污染物名称</w:t>
                  </w:r>
                </w:p>
              </w:tc>
              <w:tc>
                <w:tcPr>
                  <w:tcW w:w="3000" w:type="dxa"/>
                  <w:noWrap w:val="0"/>
                  <w:vAlign w:val="center"/>
                </w:tcPr>
                <w:p>
                  <w:pPr>
                    <w:pStyle w:val="79"/>
                    <w:rPr>
                      <w:b/>
                      <w:bCs/>
                      <w:color w:val="auto"/>
                      <w:szCs w:val="21"/>
                    </w:rPr>
                  </w:pPr>
                  <w:r>
                    <w:rPr>
                      <w:b/>
                      <w:bCs/>
                      <w:color w:val="auto"/>
                      <w:szCs w:val="21"/>
                    </w:rPr>
                    <w:t>治理措施</w:t>
                  </w:r>
                </w:p>
              </w:tc>
              <w:tc>
                <w:tcPr>
                  <w:tcW w:w="3605" w:type="dxa"/>
                  <w:noWrap w:val="0"/>
                  <w:vAlign w:val="center"/>
                </w:tcPr>
                <w:p>
                  <w:pPr>
                    <w:pStyle w:val="79"/>
                    <w:rPr>
                      <w:b/>
                      <w:bCs/>
                      <w:color w:val="auto"/>
                      <w:szCs w:val="21"/>
                    </w:rPr>
                  </w:pPr>
                  <w:r>
                    <w:rPr>
                      <w:b/>
                      <w:bCs/>
                      <w:color w:val="auto"/>
                      <w:szCs w:val="21"/>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77" w:type="dxa"/>
                  <w:noWrap w:val="0"/>
                  <w:vAlign w:val="center"/>
                </w:tcPr>
                <w:p>
                  <w:pPr>
                    <w:pStyle w:val="79"/>
                    <w:rPr>
                      <w:color w:val="auto"/>
                      <w:szCs w:val="21"/>
                    </w:rPr>
                  </w:pPr>
                  <w:r>
                    <w:rPr>
                      <w:color w:val="auto"/>
                      <w:szCs w:val="21"/>
                    </w:rPr>
                    <w:t>废气</w:t>
                  </w:r>
                </w:p>
              </w:tc>
              <w:tc>
                <w:tcPr>
                  <w:tcW w:w="1619" w:type="dxa"/>
                  <w:noWrap w:val="0"/>
                  <w:vAlign w:val="center"/>
                </w:tcPr>
                <w:p>
                  <w:pPr>
                    <w:pStyle w:val="79"/>
                    <w:rPr>
                      <w:color w:val="auto"/>
                      <w:szCs w:val="21"/>
                    </w:rPr>
                  </w:pPr>
                  <w:r>
                    <w:rPr>
                      <w:color w:val="auto"/>
                      <w:szCs w:val="21"/>
                    </w:rPr>
                    <w:t>恶臭气体</w:t>
                  </w:r>
                </w:p>
              </w:tc>
              <w:tc>
                <w:tcPr>
                  <w:tcW w:w="3000" w:type="dxa"/>
                  <w:noWrap w:val="0"/>
                  <w:vAlign w:val="center"/>
                </w:tcPr>
                <w:p>
                  <w:pPr>
                    <w:pStyle w:val="79"/>
                    <w:rPr>
                      <w:color w:val="auto"/>
                      <w:szCs w:val="21"/>
                    </w:rPr>
                  </w:pPr>
                  <w:r>
                    <w:rPr>
                      <w:color w:val="auto"/>
                      <w:szCs w:val="21"/>
                    </w:rPr>
                    <w:t>喷洒生物除臭剂、加强通风、密闭产污点，处理后有组织排放</w:t>
                  </w:r>
                </w:p>
              </w:tc>
              <w:tc>
                <w:tcPr>
                  <w:tcW w:w="3605" w:type="dxa"/>
                  <w:noWrap w:val="0"/>
                  <w:vAlign w:val="center"/>
                </w:tcPr>
                <w:p>
                  <w:pPr>
                    <w:widowControl/>
                    <w:jc w:val="center"/>
                    <w:rPr>
                      <w:color w:val="auto"/>
                      <w:sz w:val="21"/>
                      <w:szCs w:val="21"/>
                    </w:rPr>
                  </w:pPr>
                  <w:r>
                    <w:rPr>
                      <w:rFonts w:hint="eastAsia"/>
                      <w:color w:val="auto"/>
                      <w:kern w:val="0"/>
                      <w:sz w:val="21"/>
                      <w:szCs w:val="21"/>
                      <w:lang w:bidi="ar"/>
                    </w:rPr>
                    <w:t>《恶臭污染物排放标准》（GB14554-93）二级标准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77" w:type="dxa"/>
                  <w:noWrap w:val="0"/>
                  <w:vAlign w:val="center"/>
                </w:tcPr>
                <w:p>
                  <w:pPr>
                    <w:pStyle w:val="79"/>
                    <w:rPr>
                      <w:color w:val="auto"/>
                      <w:szCs w:val="21"/>
                    </w:rPr>
                  </w:pPr>
                  <w:r>
                    <w:rPr>
                      <w:color w:val="auto"/>
                      <w:szCs w:val="21"/>
                    </w:rPr>
                    <w:t>噪声</w:t>
                  </w:r>
                </w:p>
              </w:tc>
              <w:tc>
                <w:tcPr>
                  <w:tcW w:w="1619" w:type="dxa"/>
                  <w:noWrap w:val="0"/>
                  <w:vAlign w:val="center"/>
                </w:tcPr>
                <w:p>
                  <w:pPr>
                    <w:pStyle w:val="79"/>
                    <w:rPr>
                      <w:color w:val="auto"/>
                      <w:szCs w:val="21"/>
                    </w:rPr>
                  </w:pPr>
                  <w:r>
                    <w:rPr>
                      <w:color w:val="auto"/>
                      <w:szCs w:val="21"/>
                    </w:rPr>
                    <w:t>设备噪声</w:t>
                  </w:r>
                </w:p>
              </w:tc>
              <w:tc>
                <w:tcPr>
                  <w:tcW w:w="3000" w:type="dxa"/>
                  <w:noWrap w:val="0"/>
                  <w:vAlign w:val="center"/>
                </w:tcPr>
                <w:p>
                  <w:pPr>
                    <w:pStyle w:val="79"/>
                    <w:rPr>
                      <w:color w:val="auto"/>
                      <w:szCs w:val="21"/>
                    </w:rPr>
                  </w:pPr>
                  <w:r>
                    <w:rPr>
                      <w:color w:val="auto"/>
                      <w:szCs w:val="21"/>
                    </w:rPr>
                    <w:t>合理布局、基础减震、距离衰减、墙体隔声</w:t>
                  </w:r>
                </w:p>
              </w:tc>
              <w:tc>
                <w:tcPr>
                  <w:tcW w:w="3605" w:type="dxa"/>
                  <w:noWrap w:val="0"/>
                  <w:vAlign w:val="center"/>
                </w:tcPr>
                <w:p>
                  <w:pPr>
                    <w:pStyle w:val="79"/>
                    <w:rPr>
                      <w:color w:val="auto"/>
                      <w:szCs w:val="21"/>
                    </w:rPr>
                  </w:pPr>
                  <w:r>
                    <w:rPr>
                      <w:color w:val="auto"/>
                      <w:kern w:val="0"/>
                      <w:szCs w:val="21"/>
                      <w:lang w:bidi="ar"/>
                    </w:rPr>
                    <w:t>《工业企业厂界环境噪声排放标准》</w:t>
                  </w:r>
                  <w:r>
                    <w:rPr>
                      <w:color w:val="auto"/>
                      <w:szCs w:val="21"/>
                    </w:rPr>
                    <w:t>（GB12348-2008）2类标准。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center"/>
                </w:tcPr>
                <w:p>
                  <w:pPr>
                    <w:pStyle w:val="79"/>
                    <w:rPr>
                      <w:color w:val="auto"/>
                      <w:szCs w:val="21"/>
                    </w:rPr>
                  </w:pPr>
                  <w:r>
                    <w:rPr>
                      <w:color w:val="auto"/>
                      <w:szCs w:val="21"/>
                    </w:rPr>
                    <w:t>废水</w:t>
                  </w:r>
                </w:p>
              </w:tc>
              <w:tc>
                <w:tcPr>
                  <w:tcW w:w="1619" w:type="dxa"/>
                  <w:noWrap w:val="0"/>
                  <w:vAlign w:val="center"/>
                </w:tcPr>
                <w:p>
                  <w:pPr>
                    <w:pStyle w:val="79"/>
                    <w:rPr>
                      <w:color w:val="auto"/>
                      <w:szCs w:val="21"/>
                    </w:rPr>
                  </w:pPr>
                  <w:r>
                    <w:rPr>
                      <w:color w:val="auto"/>
                      <w:szCs w:val="21"/>
                    </w:rPr>
                    <w:t>排污口污水</w:t>
                  </w:r>
                </w:p>
              </w:tc>
              <w:tc>
                <w:tcPr>
                  <w:tcW w:w="3000" w:type="dxa"/>
                  <w:noWrap w:val="0"/>
                  <w:vAlign w:val="center"/>
                </w:tcPr>
                <w:p>
                  <w:pPr>
                    <w:pStyle w:val="79"/>
                    <w:rPr>
                      <w:rFonts w:hint="eastAsia"/>
                      <w:color w:val="auto"/>
                      <w:szCs w:val="21"/>
                    </w:rPr>
                  </w:pPr>
                  <w:r>
                    <w:rPr>
                      <w:rFonts w:hint="eastAsia"/>
                      <w:color w:val="auto"/>
                      <w:szCs w:val="21"/>
                    </w:rPr>
                    <w:t>加强出水日常监管</w:t>
                  </w:r>
                </w:p>
              </w:tc>
              <w:tc>
                <w:tcPr>
                  <w:tcW w:w="3605" w:type="dxa"/>
                  <w:noWrap w:val="0"/>
                  <w:vAlign w:val="center"/>
                </w:tcPr>
                <w:p>
                  <w:pPr>
                    <w:pStyle w:val="79"/>
                    <w:rPr>
                      <w:color w:val="auto"/>
                      <w:szCs w:val="21"/>
                    </w:rPr>
                  </w:pPr>
                  <w:r>
                    <w:rPr>
                      <w:color w:val="auto"/>
                      <w:spacing w:val="5"/>
                      <w:kern w:val="0"/>
                      <w:szCs w:val="21"/>
                    </w:rPr>
                    <w:t>《农村生活污水处理设施水污染物排放标准》（DB51/ 2626-2019）一级标准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Merge w:val="restart"/>
                  <w:noWrap w:val="0"/>
                  <w:vAlign w:val="center"/>
                </w:tcPr>
                <w:p>
                  <w:pPr>
                    <w:pStyle w:val="79"/>
                    <w:rPr>
                      <w:color w:val="auto"/>
                      <w:szCs w:val="21"/>
                    </w:rPr>
                  </w:pPr>
                  <w:r>
                    <w:rPr>
                      <w:color w:val="auto"/>
                      <w:szCs w:val="21"/>
                    </w:rPr>
                    <w:t>固废</w:t>
                  </w:r>
                </w:p>
              </w:tc>
              <w:tc>
                <w:tcPr>
                  <w:tcW w:w="1619" w:type="dxa"/>
                  <w:noWrap w:val="0"/>
                  <w:vAlign w:val="center"/>
                </w:tcPr>
                <w:p>
                  <w:pPr>
                    <w:pStyle w:val="79"/>
                    <w:rPr>
                      <w:color w:val="auto"/>
                      <w:szCs w:val="21"/>
                    </w:rPr>
                  </w:pPr>
                  <w:r>
                    <w:rPr>
                      <w:color w:val="auto"/>
                      <w:szCs w:val="21"/>
                    </w:rPr>
                    <w:t>生活垃圾、栅渣</w:t>
                  </w:r>
                </w:p>
              </w:tc>
              <w:tc>
                <w:tcPr>
                  <w:tcW w:w="3000" w:type="dxa"/>
                  <w:noWrap w:val="0"/>
                  <w:vAlign w:val="center"/>
                </w:tcPr>
                <w:p>
                  <w:pPr>
                    <w:pStyle w:val="79"/>
                    <w:rPr>
                      <w:color w:val="auto"/>
                      <w:szCs w:val="21"/>
                    </w:rPr>
                  </w:pPr>
                  <w:r>
                    <w:rPr>
                      <w:color w:val="auto"/>
                      <w:szCs w:val="21"/>
                    </w:rPr>
                    <w:t>收集后送乡镇垃圾收集点</w:t>
                  </w:r>
                </w:p>
              </w:tc>
              <w:tc>
                <w:tcPr>
                  <w:tcW w:w="3605" w:type="dxa"/>
                  <w:vMerge w:val="restart"/>
                  <w:noWrap w:val="0"/>
                  <w:vAlign w:val="center"/>
                </w:tcPr>
                <w:p>
                  <w:pPr>
                    <w:pStyle w:val="79"/>
                    <w:ind w:firstLine="630" w:firstLineChars="300"/>
                    <w:jc w:val="both"/>
                    <w:rPr>
                      <w:color w:val="auto"/>
                      <w:szCs w:val="21"/>
                    </w:rPr>
                  </w:pPr>
                  <w:r>
                    <w:rPr>
                      <w:color w:val="auto"/>
                      <w:szCs w:val="21"/>
                    </w:rPr>
                    <w:t>妥善处置，达到环保要求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77" w:type="dxa"/>
                  <w:vMerge w:val="continue"/>
                  <w:noWrap w:val="0"/>
                  <w:vAlign w:val="center"/>
                </w:tcPr>
                <w:p>
                  <w:pPr>
                    <w:pStyle w:val="79"/>
                    <w:rPr>
                      <w:color w:val="auto"/>
                    </w:rPr>
                  </w:pPr>
                </w:p>
              </w:tc>
              <w:tc>
                <w:tcPr>
                  <w:tcW w:w="1619" w:type="dxa"/>
                  <w:noWrap w:val="0"/>
                  <w:vAlign w:val="center"/>
                </w:tcPr>
                <w:p>
                  <w:pPr>
                    <w:pStyle w:val="79"/>
                    <w:rPr>
                      <w:color w:val="auto"/>
                    </w:rPr>
                  </w:pPr>
                  <w:r>
                    <w:rPr>
                      <w:color w:val="auto"/>
                    </w:rPr>
                    <w:t>污泥</w:t>
                  </w:r>
                </w:p>
              </w:tc>
              <w:tc>
                <w:tcPr>
                  <w:tcW w:w="3000" w:type="dxa"/>
                  <w:noWrap w:val="0"/>
                  <w:vAlign w:val="center"/>
                </w:tcPr>
                <w:p>
                  <w:pPr>
                    <w:pStyle w:val="79"/>
                    <w:rPr>
                      <w:color w:val="auto"/>
                    </w:rPr>
                  </w:pPr>
                  <w:r>
                    <w:rPr>
                      <w:color w:val="auto"/>
                    </w:rPr>
                    <w:t>外运至峨边彝族自治县城市生活污水处理厂处理</w:t>
                  </w:r>
                </w:p>
              </w:tc>
              <w:tc>
                <w:tcPr>
                  <w:tcW w:w="3605" w:type="dxa"/>
                  <w:vMerge w:val="continue"/>
                  <w:noWrap w:val="0"/>
                  <w:vAlign w:val="center"/>
                </w:tcPr>
                <w:p>
                  <w:pPr>
                    <w:pStyle w:val="79"/>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777" w:type="dxa"/>
                  <w:vMerge w:val="continue"/>
                  <w:noWrap w:val="0"/>
                  <w:vAlign w:val="center"/>
                </w:tcPr>
                <w:p>
                  <w:pPr>
                    <w:pStyle w:val="79"/>
                    <w:rPr>
                      <w:color w:val="auto"/>
                    </w:rPr>
                  </w:pPr>
                </w:p>
              </w:tc>
              <w:tc>
                <w:tcPr>
                  <w:tcW w:w="1619" w:type="dxa"/>
                  <w:noWrap w:val="0"/>
                  <w:vAlign w:val="center"/>
                </w:tcPr>
                <w:p>
                  <w:pPr>
                    <w:pStyle w:val="79"/>
                    <w:rPr>
                      <w:color w:val="auto"/>
                    </w:rPr>
                  </w:pPr>
                  <w:r>
                    <w:rPr>
                      <w:color w:val="auto"/>
                    </w:rPr>
                    <w:t>废旧填料</w:t>
                  </w:r>
                </w:p>
              </w:tc>
              <w:tc>
                <w:tcPr>
                  <w:tcW w:w="3000" w:type="dxa"/>
                  <w:noWrap w:val="0"/>
                  <w:vAlign w:val="center"/>
                </w:tcPr>
                <w:p>
                  <w:pPr>
                    <w:pStyle w:val="79"/>
                    <w:rPr>
                      <w:color w:val="auto"/>
                    </w:rPr>
                  </w:pPr>
                  <w:r>
                    <w:rPr>
                      <w:color w:val="auto"/>
                    </w:rPr>
                    <w:t>交由厂家回收处置</w:t>
                  </w:r>
                </w:p>
              </w:tc>
              <w:tc>
                <w:tcPr>
                  <w:tcW w:w="3605" w:type="dxa"/>
                  <w:vMerge w:val="continue"/>
                  <w:noWrap w:val="0"/>
                  <w:vAlign w:val="center"/>
                </w:tcPr>
                <w:p>
                  <w:pPr>
                    <w:pStyle w:val="79"/>
                    <w:rPr>
                      <w:color w:val="auto"/>
                    </w:rPr>
                  </w:pPr>
                </w:p>
              </w:tc>
            </w:tr>
          </w:tbl>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六、环境管理和环境监测</w:t>
            </w:r>
          </w:p>
          <w:p>
            <w:pPr>
              <w:pStyle w:val="3"/>
              <w:adjustRightInd w:val="0"/>
              <w:snapToGrid w:val="0"/>
              <w:spacing w:line="360" w:lineRule="auto"/>
              <w:ind w:firstLine="482" w:firstLineChars="200"/>
              <w:jc w:val="both"/>
              <w:rPr>
                <w:rFonts w:hint="default" w:ascii="Times New Roman" w:hAnsi="Times New Roman"/>
                <w:b/>
                <w:bCs/>
                <w:color w:val="auto"/>
                <w:kern w:val="2"/>
                <w:szCs w:val="20"/>
              </w:rPr>
            </w:pPr>
            <w:r>
              <w:rPr>
                <w:rFonts w:hint="default" w:ascii="Times New Roman" w:hAnsi="Times New Roman"/>
                <w:b/>
                <w:bCs/>
                <w:color w:val="auto"/>
                <w:kern w:val="2"/>
                <w:szCs w:val="20"/>
              </w:rPr>
              <w:t>1.环境管理目的</w:t>
            </w:r>
          </w:p>
          <w:p>
            <w:pPr>
              <w:adjustRightInd w:val="0"/>
              <w:snapToGrid w:val="0"/>
              <w:spacing w:line="360" w:lineRule="auto"/>
              <w:ind w:firstLine="480" w:firstLineChars="200"/>
              <w:rPr>
                <w:color w:val="auto"/>
              </w:rPr>
            </w:pPr>
            <w:r>
              <w:rPr>
                <w:color w:val="auto"/>
              </w:rPr>
              <w:t>通过环境管理计划的实施，达到预防、消减、缓解或补偿工程建设带来的不利影响的最终目的。在工程营运期间，通过先进的环境管理方式，指导并监督工程的环境保护工作，预防并减缓工程建设和生产过程中对周围环境的不利影响，保障各污染治理设施的正常运转，消减大气污染物、水污染物和固体废物对环境的不利影响，充分发挥工程建设的社会效益和生态环境效益；明确各管理部门的职责，更好落实工程的环境管理工作：落实各项目的生态保护和污染防治设施，使其达到相应的环保要求。</w:t>
            </w:r>
          </w:p>
          <w:p>
            <w:pPr>
              <w:pStyle w:val="3"/>
              <w:adjustRightInd w:val="0"/>
              <w:snapToGrid w:val="0"/>
              <w:spacing w:line="360" w:lineRule="auto"/>
              <w:ind w:firstLine="482" w:firstLineChars="200"/>
              <w:jc w:val="both"/>
              <w:rPr>
                <w:rFonts w:hint="default" w:ascii="Times New Roman" w:hAnsi="Times New Roman"/>
                <w:b/>
                <w:bCs/>
                <w:color w:val="auto"/>
                <w:kern w:val="2"/>
                <w:szCs w:val="20"/>
              </w:rPr>
            </w:pPr>
            <w:r>
              <w:rPr>
                <w:rFonts w:hint="default" w:ascii="Times New Roman" w:hAnsi="Times New Roman"/>
                <w:b/>
                <w:bCs/>
                <w:color w:val="auto"/>
                <w:kern w:val="2"/>
                <w:szCs w:val="20"/>
              </w:rPr>
              <w:t>2.环境管理原则</w:t>
            </w:r>
          </w:p>
          <w:p>
            <w:pPr>
              <w:adjustRightInd w:val="0"/>
              <w:snapToGrid w:val="0"/>
              <w:spacing w:line="360" w:lineRule="auto"/>
              <w:ind w:firstLine="480" w:firstLineChars="200"/>
              <w:rPr>
                <w:color w:val="auto"/>
                <w:kern w:val="28"/>
              </w:rPr>
            </w:pPr>
            <w:r>
              <w:rPr>
                <w:color w:val="auto"/>
                <w:kern w:val="28"/>
              </w:rPr>
              <w:t>项目建成运行后，应将环境管理纳入日常管理中，根据环境保护的有关规定和自身特点，制定环境管理的具体内容。环境管理应遵循以下基本原则：</w:t>
            </w:r>
          </w:p>
          <w:p>
            <w:pPr>
              <w:adjustRightInd w:val="0"/>
              <w:snapToGrid w:val="0"/>
              <w:spacing w:line="360" w:lineRule="auto"/>
              <w:ind w:firstLine="480" w:firstLineChars="200"/>
              <w:rPr>
                <w:color w:val="auto"/>
                <w:kern w:val="28"/>
              </w:rPr>
            </w:pPr>
            <w:r>
              <w:rPr>
                <w:color w:val="auto"/>
                <w:kern w:val="28"/>
              </w:rPr>
              <w:t>①严格执行各项国家和地方的环保法律、法规。</w:t>
            </w:r>
          </w:p>
          <w:p>
            <w:pPr>
              <w:adjustRightInd w:val="0"/>
              <w:snapToGrid w:val="0"/>
              <w:spacing w:line="360" w:lineRule="auto"/>
              <w:ind w:firstLine="480" w:firstLineChars="200"/>
              <w:rPr>
                <w:color w:val="auto"/>
                <w:kern w:val="28"/>
              </w:rPr>
            </w:pPr>
            <w:r>
              <w:rPr>
                <w:color w:val="auto"/>
                <w:kern w:val="28"/>
              </w:rPr>
              <w:t>②正确处理发展生产和保护环境的关系，把经济效益和环境效益统一起来。</w:t>
            </w:r>
          </w:p>
          <w:p>
            <w:pPr>
              <w:adjustRightInd w:val="0"/>
              <w:snapToGrid w:val="0"/>
              <w:spacing w:line="360" w:lineRule="auto"/>
              <w:ind w:firstLine="480" w:firstLineChars="200"/>
              <w:rPr>
                <w:color w:val="auto"/>
                <w:kern w:val="28"/>
              </w:rPr>
            </w:pPr>
            <w:r>
              <w:rPr>
                <w:color w:val="auto"/>
                <w:kern w:val="28"/>
              </w:rPr>
              <w:t>③环境管理应贯穿于生产全过程，将环境指标纳入生产计划指标，同时进行考核。</w:t>
            </w:r>
          </w:p>
          <w:p>
            <w:pPr>
              <w:adjustRightInd w:val="0"/>
              <w:snapToGrid w:val="0"/>
              <w:spacing w:line="360" w:lineRule="auto"/>
              <w:ind w:firstLine="480" w:firstLineChars="200"/>
              <w:rPr>
                <w:color w:val="auto"/>
                <w:kern w:val="28"/>
              </w:rPr>
            </w:pPr>
            <w:r>
              <w:rPr>
                <w:color w:val="auto"/>
                <w:kern w:val="28"/>
              </w:rPr>
              <w:t>④加强居民环境保护意识，开展经常性的培训和教育活动。</w:t>
            </w:r>
          </w:p>
          <w:p>
            <w:pPr>
              <w:pStyle w:val="3"/>
              <w:adjustRightInd w:val="0"/>
              <w:snapToGrid w:val="0"/>
              <w:spacing w:line="360" w:lineRule="auto"/>
              <w:ind w:firstLine="482" w:firstLineChars="200"/>
              <w:jc w:val="both"/>
              <w:rPr>
                <w:rFonts w:hint="default" w:ascii="Times New Roman" w:hAnsi="Times New Roman" w:eastAsia="黑体"/>
                <w:color w:val="auto"/>
                <w:kern w:val="2"/>
                <w:szCs w:val="20"/>
              </w:rPr>
            </w:pPr>
            <w:r>
              <w:rPr>
                <w:rFonts w:hint="default" w:ascii="Times New Roman" w:hAnsi="Times New Roman"/>
                <w:b/>
                <w:bCs/>
                <w:color w:val="auto"/>
                <w:kern w:val="2"/>
                <w:szCs w:val="20"/>
              </w:rPr>
              <w:t>3.环境管理内容</w:t>
            </w:r>
          </w:p>
          <w:p>
            <w:pPr>
              <w:adjustRightInd w:val="0"/>
              <w:snapToGrid w:val="0"/>
              <w:spacing w:line="360" w:lineRule="auto"/>
              <w:ind w:firstLine="480" w:firstLineChars="200"/>
              <w:rPr>
                <w:color w:val="auto"/>
              </w:rPr>
            </w:pPr>
            <w:r>
              <w:rPr>
                <w:color w:val="auto"/>
                <w:kern w:val="28"/>
              </w:rPr>
              <w:t>①</w:t>
            </w:r>
            <w:r>
              <w:rPr>
                <w:color w:val="auto"/>
              </w:rPr>
              <w:t>建立健全污水处理站环境管理规章制度，强化管理手段来管理和实施有关的监测计划，实施有效的质量控制，切实监督、落实执行所有规章制度。</w:t>
            </w:r>
          </w:p>
          <w:p>
            <w:pPr>
              <w:adjustRightInd w:val="0"/>
              <w:snapToGrid w:val="0"/>
              <w:spacing w:line="360" w:lineRule="auto"/>
              <w:ind w:firstLine="480" w:firstLineChars="200"/>
              <w:rPr>
                <w:color w:val="auto"/>
                <w:kern w:val="28"/>
              </w:rPr>
            </w:pPr>
            <w:r>
              <w:rPr>
                <w:color w:val="auto"/>
                <w:kern w:val="28"/>
              </w:rPr>
              <w:t>②</w:t>
            </w:r>
            <w:r>
              <w:rPr>
                <w:color w:val="auto"/>
              </w:rPr>
              <w:t>加强运行期生产管理严格实行污水处理岗位责任制，根据进厂水质、水量变化，及时调整运行条件，出现问题立即解决。加强污水处理运行设备的保养、维护和处理设施正常运行，杜绝事故性排放的发生。</w:t>
            </w:r>
          </w:p>
          <w:p>
            <w:pPr>
              <w:adjustRightInd w:val="0"/>
              <w:snapToGrid w:val="0"/>
              <w:spacing w:line="360" w:lineRule="auto"/>
              <w:ind w:firstLine="480" w:firstLineChars="200"/>
              <w:rPr>
                <w:color w:val="auto"/>
              </w:rPr>
            </w:pPr>
            <w:r>
              <w:rPr>
                <w:color w:val="auto"/>
                <w:kern w:val="28"/>
              </w:rPr>
              <w:t>③</w:t>
            </w:r>
            <w:r>
              <w:rPr>
                <w:color w:val="auto"/>
              </w:rPr>
              <w:t>建设规范化排污口，加强排污口、排污管网和泵站的管理。</w:t>
            </w:r>
          </w:p>
          <w:p>
            <w:pPr>
              <w:adjustRightInd w:val="0"/>
              <w:snapToGrid w:val="0"/>
              <w:spacing w:line="360" w:lineRule="auto"/>
              <w:ind w:firstLine="480" w:firstLineChars="200"/>
              <w:rPr>
                <w:color w:val="auto"/>
              </w:rPr>
            </w:pPr>
            <w:r>
              <w:rPr>
                <w:color w:val="auto"/>
              </w:rPr>
              <w:t>根据国家环境保护总局《关于开展排污口规范化整治工作的通知》（环发[1999]24号），污水处理站尾水排放口设置排放口标志牌。</w:t>
            </w:r>
          </w:p>
          <w:p>
            <w:pPr>
              <w:adjustRightInd w:val="0"/>
              <w:snapToGrid w:val="0"/>
              <w:spacing w:line="360" w:lineRule="auto"/>
              <w:ind w:firstLine="480" w:firstLineChars="200"/>
              <w:rPr>
                <w:color w:val="auto"/>
              </w:rPr>
            </w:pPr>
            <w:r>
              <w:rPr>
                <w:color w:val="auto"/>
                <w:kern w:val="28"/>
              </w:rPr>
              <w:t>④</w:t>
            </w:r>
            <w:r>
              <w:rPr>
                <w:color w:val="auto"/>
              </w:rPr>
              <w:t>加强绿化景观管理。</w:t>
            </w:r>
          </w:p>
          <w:p>
            <w:pPr>
              <w:adjustRightInd w:val="0"/>
              <w:snapToGrid w:val="0"/>
              <w:spacing w:line="360" w:lineRule="auto"/>
              <w:ind w:firstLine="480" w:firstLineChars="200"/>
              <w:rPr>
                <w:color w:val="auto"/>
                <w:kern w:val="28"/>
              </w:rPr>
            </w:pPr>
            <w:r>
              <w:rPr>
                <w:color w:val="auto"/>
              </w:rPr>
              <w:t>对污水处理站从总体要求上来说，花园式的绿化建设十分重要，除在污水处理工程的设计建设阶段应予足够重视外，建成运行后，更应有持续发展的行为，应不断地种植、养护、更新、发展，使污水处理站绿化、美化措施落到实处。</w:t>
            </w:r>
          </w:p>
          <w:p>
            <w:pPr>
              <w:pStyle w:val="3"/>
              <w:adjustRightInd w:val="0"/>
              <w:snapToGrid w:val="0"/>
              <w:spacing w:line="360" w:lineRule="auto"/>
              <w:ind w:firstLine="482" w:firstLineChars="200"/>
              <w:jc w:val="both"/>
              <w:rPr>
                <w:rFonts w:hint="default" w:ascii="Times New Roman" w:hAnsi="Times New Roman"/>
                <w:b/>
                <w:bCs/>
                <w:color w:val="auto"/>
                <w:kern w:val="2"/>
                <w:szCs w:val="20"/>
              </w:rPr>
            </w:pPr>
            <w:r>
              <w:rPr>
                <w:rFonts w:hint="default" w:ascii="Times New Roman" w:hAnsi="Times New Roman"/>
                <w:b/>
                <w:bCs/>
                <w:color w:val="auto"/>
                <w:kern w:val="2"/>
                <w:szCs w:val="20"/>
              </w:rPr>
              <w:t>4.环境管理机构</w:t>
            </w:r>
          </w:p>
          <w:p>
            <w:pPr>
              <w:adjustRightInd w:val="0"/>
              <w:snapToGrid w:val="0"/>
              <w:spacing w:line="360" w:lineRule="auto"/>
              <w:ind w:firstLine="480" w:firstLineChars="200"/>
              <w:rPr>
                <w:color w:val="auto"/>
                <w:kern w:val="28"/>
              </w:rPr>
            </w:pPr>
            <w:r>
              <w:rPr>
                <w:color w:val="auto"/>
              </w:rPr>
              <w:t>宜坪乡桐花村污水治理设施环境管理应由峨边生态环境局负责，由专职环保人员具体实施环境管理工作</w:t>
            </w:r>
            <w:r>
              <w:rPr>
                <w:rFonts w:hint="eastAsia"/>
                <w:color w:val="auto"/>
              </w:rPr>
              <w:t>。</w:t>
            </w:r>
          </w:p>
          <w:p>
            <w:pPr>
              <w:pStyle w:val="3"/>
              <w:adjustRightInd w:val="0"/>
              <w:snapToGrid w:val="0"/>
              <w:spacing w:line="360" w:lineRule="auto"/>
              <w:ind w:firstLine="482" w:firstLineChars="200"/>
              <w:jc w:val="both"/>
              <w:rPr>
                <w:rFonts w:hint="default" w:ascii="Times New Roman" w:hAnsi="Times New Roman" w:eastAsia="黑体"/>
                <w:color w:val="auto"/>
                <w:kern w:val="2"/>
                <w:szCs w:val="20"/>
              </w:rPr>
            </w:pPr>
            <w:r>
              <w:rPr>
                <w:rFonts w:hint="default" w:ascii="Times New Roman" w:hAnsi="Times New Roman"/>
                <w:b/>
                <w:bCs/>
                <w:color w:val="auto"/>
                <w:kern w:val="2"/>
                <w:szCs w:val="20"/>
              </w:rPr>
              <w:t>5.环境监测计划</w:t>
            </w:r>
          </w:p>
          <w:p>
            <w:pPr>
              <w:tabs>
                <w:tab w:val="left" w:pos="4140"/>
              </w:tabs>
              <w:adjustRightInd w:val="0"/>
              <w:snapToGrid w:val="0"/>
              <w:spacing w:line="360" w:lineRule="auto"/>
              <w:ind w:firstLine="480" w:firstLineChars="200"/>
              <w:rPr>
                <w:color w:val="auto"/>
              </w:rPr>
            </w:pPr>
            <w:r>
              <w:rPr>
                <w:rFonts w:hint="eastAsia"/>
                <w:color w:val="auto"/>
              </w:rPr>
              <w:t>根据《固定污染源排污许可分类管理名录》（2</w:t>
            </w:r>
            <w:r>
              <w:rPr>
                <w:color w:val="auto"/>
              </w:rPr>
              <w:t>019</w:t>
            </w:r>
            <w:r>
              <w:rPr>
                <w:rFonts w:hint="eastAsia"/>
                <w:color w:val="auto"/>
              </w:rPr>
              <w:t>年版），本项目为登记表。参照</w:t>
            </w:r>
            <w:r>
              <w:rPr>
                <w:color w:val="auto"/>
              </w:rPr>
              <w:t>《排污许可证申请与核发技术规范 水处理（试行）》（HJ 978-2018），本项目为排污口为</w:t>
            </w:r>
            <w:r>
              <w:rPr>
                <w:rFonts w:hint="eastAsia"/>
                <w:color w:val="auto"/>
              </w:rPr>
              <w:t>一般</w:t>
            </w:r>
            <w:r>
              <w:rPr>
                <w:color w:val="auto"/>
              </w:rPr>
              <w:t>排放口，则项目营运期环境监测计划如下。</w:t>
            </w:r>
          </w:p>
          <w:p>
            <w:pPr>
              <w:adjustRightInd w:val="0"/>
              <w:snapToGrid w:val="0"/>
              <w:spacing w:line="360" w:lineRule="auto"/>
              <w:jc w:val="center"/>
              <w:rPr>
                <w:rFonts w:eastAsia="黑体"/>
                <w:color w:val="auto"/>
              </w:rPr>
            </w:pPr>
            <w:r>
              <w:rPr>
                <w:rFonts w:eastAsia="黑体"/>
                <w:color w:val="auto"/>
              </w:rPr>
              <w:t>表7-37  噪声、废气监测计划一览表</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443"/>
              <w:gridCol w:w="2177"/>
              <w:gridCol w:w="2387"/>
              <w:gridCol w:w="123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noWrap w:val="0"/>
                  <w:vAlign w:val="center"/>
                </w:tcPr>
                <w:p>
                  <w:pPr>
                    <w:widowControl/>
                    <w:adjustRightInd w:val="0"/>
                    <w:snapToGrid w:val="0"/>
                    <w:jc w:val="center"/>
                    <w:rPr>
                      <w:b/>
                      <w:bCs/>
                      <w:color w:val="auto"/>
                      <w:sz w:val="21"/>
                      <w:szCs w:val="21"/>
                    </w:rPr>
                  </w:pPr>
                  <w:r>
                    <w:rPr>
                      <w:b/>
                      <w:bCs/>
                      <w:color w:val="auto"/>
                      <w:sz w:val="21"/>
                      <w:szCs w:val="21"/>
                    </w:rPr>
                    <w:t>类别</w:t>
                  </w:r>
                </w:p>
              </w:tc>
              <w:tc>
                <w:tcPr>
                  <w:tcW w:w="1443" w:type="dxa"/>
                  <w:noWrap w:val="0"/>
                  <w:vAlign w:val="center"/>
                </w:tcPr>
                <w:p>
                  <w:pPr>
                    <w:widowControl/>
                    <w:adjustRightInd w:val="0"/>
                    <w:snapToGrid w:val="0"/>
                    <w:jc w:val="center"/>
                    <w:rPr>
                      <w:b/>
                      <w:bCs/>
                      <w:color w:val="auto"/>
                      <w:sz w:val="21"/>
                      <w:szCs w:val="21"/>
                    </w:rPr>
                  </w:pPr>
                  <w:r>
                    <w:rPr>
                      <w:b/>
                      <w:bCs/>
                      <w:color w:val="auto"/>
                      <w:sz w:val="21"/>
                      <w:szCs w:val="21"/>
                    </w:rPr>
                    <w:t>监测点位</w:t>
                  </w:r>
                </w:p>
              </w:tc>
              <w:tc>
                <w:tcPr>
                  <w:tcW w:w="2177" w:type="dxa"/>
                  <w:noWrap w:val="0"/>
                  <w:vAlign w:val="center"/>
                </w:tcPr>
                <w:p>
                  <w:pPr>
                    <w:widowControl/>
                    <w:adjustRightInd w:val="0"/>
                    <w:snapToGrid w:val="0"/>
                    <w:jc w:val="center"/>
                    <w:rPr>
                      <w:b/>
                      <w:bCs/>
                      <w:color w:val="auto"/>
                      <w:sz w:val="21"/>
                      <w:szCs w:val="21"/>
                    </w:rPr>
                  </w:pPr>
                  <w:r>
                    <w:rPr>
                      <w:b/>
                      <w:bCs/>
                      <w:color w:val="auto"/>
                      <w:sz w:val="21"/>
                      <w:szCs w:val="21"/>
                    </w:rPr>
                    <w:t>监测项目</w:t>
                  </w:r>
                </w:p>
              </w:tc>
              <w:tc>
                <w:tcPr>
                  <w:tcW w:w="2387" w:type="dxa"/>
                  <w:noWrap w:val="0"/>
                  <w:vAlign w:val="center"/>
                </w:tcPr>
                <w:p>
                  <w:pPr>
                    <w:widowControl/>
                    <w:adjustRightInd w:val="0"/>
                    <w:snapToGrid w:val="0"/>
                    <w:jc w:val="center"/>
                    <w:rPr>
                      <w:b/>
                      <w:bCs/>
                      <w:color w:val="auto"/>
                      <w:sz w:val="21"/>
                      <w:szCs w:val="21"/>
                    </w:rPr>
                  </w:pPr>
                  <w:r>
                    <w:rPr>
                      <w:b/>
                      <w:bCs/>
                      <w:color w:val="auto"/>
                      <w:sz w:val="21"/>
                      <w:szCs w:val="21"/>
                    </w:rPr>
                    <w:t>监测频率</w:t>
                  </w:r>
                </w:p>
              </w:tc>
              <w:tc>
                <w:tcPr>
                  <w:tcW w:w="1234" w:type="dxa"/>
                  <w:noWrap w:val="0"/>
                  <w:vAlign w:val="center"/>
                </w:tcPr>
                <w:p>
                  <w:pPr>
                    <w:tabs>
                      <w:tab w:val="left" w:pos="4140"/>
                    </w:tabs>
                    <w:adjustRightInd w:val="0"/>
                    <w:snapToGrid w:val="0"/>
                    <w:jc w:val="center"/>
                    <w:rPr>
                      <w:b/>
                      <w:bCs/>
                      <w:color w:val="auto"/>
                      <w:sz w:val="21"/>
                      <w:szCs w:val="21"/>
                    </w:rPr>
                  </w:pPr>
                  <w:r>
                    <w:rPr>
                      <w:b/>
                      <w:bCs/>
                      <w:color w:val="auto"/>
                      <w:sz w:val="21"/>
                      <w:szCs w:val="21"/>
                    </w:rPr>
                    <w:t>监测方法</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noWrap w:val="0"/>
                  <w:vAlign w:val="center"/>
                </w:tcPr>
                <w:p>
                  <w:pPr>
                    <w:widowControl/>
                    <w:adjustRightInd w:val="0"/>
                    <w:snapToGrid w:val="0"/>
                    <w:jc w:val="center"/>
                    <w:rPr>
                      <w:color w:val="auto"/>
                      <w:sz w:val="21"/>
                      <w:szCs w:val="21"/>
                    </w:rPr>
                  </w:pPr>
                  <w:r>
                    <w:rPr>
                      <w:color w:val="auto"/>
                      <w:sz w:val="21"/>
                      <w:szCs w:val="21"/>
                    </w:rPr>
                    <w:t>噪声</w:t>
                  </w:r>
                </w:p>
              </w:tc>
              <w:tc>
                <w:tcPr>
                  <w:tcW w:w="1443" w:type="dxa"/>
                  <w:noWrap w:val="0"/>
                  <w:vAlign w:val="center"/>
                </w:tcPr>
                <w:p>
                  <w:pPr>
                    <w:widowControl/>
                    <w:adjustRightInd w:val="0"/>
                    <w:snapToGrid w:val="0"/>
                    <w:jc w:val="center"/>
                    <w:rPr>
                      <w:color w:val="auto"/>
                      <w:sz w:val="21"/>
                      <w:szCs w:val="21"/>
                    </w:rPr>
                  </w:pPr>
                  <w:r>
                    <w:rPr>
                      <w:color w:val="auto"/>
                      <w:sz w:val="21"/>
                      <w:szCs w:val="21"/>
                    </w:rPr>
                    <w:t>厂界四周</w:t>
                  </w:r>
                </w:p>
              </w:tc>
              <w:tc>
                <w:tcPr>
                  <w:tcW w:w="2177" w:type="dxa"/>
                  <w:noWrap w:val="0"/>
                  <w:vAlign w:val="center"/>
                </w:tcPr>
                <w:p>
                  <w:pPr>
                    <w:widowControl/>
                    <w:adjustRightInd w:val="0"/>
                    <w:snapToGrid w:val="0"/>
                    <w:jc w:val="center"/>
                    <w:rPr>
                      <w:color w:val="auto"/>
                      <w:sz w:val="21"/>
                      <w:szCs w:val="21"/>
                    </w:rPr>
                  </w:pPr>
                  <w:r>
                    <w:rPr>
                      <w:color w:val="auto"/>
                      <w:sz w:val="21"/>
                      <w:szCs w:val="21"/>
                    </w:rPr>
                    <w:t>等效声级</w:t>
                  </w:r>
                </w:p>
              </w:tc>
              <w:tc>
                <w:tcPr>
                  <w:tcW w:w="2387" w:type="dxa"/>
                  <w:noWrap w:val="0"/>
                  <w:vAlign w:val="center"/>
                </w:tcPr>
                <w:p>
                  <w:pPr>
                    <w:adjustRightInd w:val="0"/>
                    <w:snapToGrid w:val="0"/>
                    <w:jc w:val="center"/>
                    <w:rPr>
                      <w:color w:val="auto"/>
                      <w:sz w:val="21"/>
                      <w:szCs w:val="21"/>
                    </w:rPr>
                  </w:pPr>
                  <w:r>
                    <w:rPr>
                      <w:color w:val="auto"/>
                      <w:sz w:val="21"/>
                      <w:szCs w:val="21"/>
                    </w:rPr>
                    <w:t>每季度监测</w:t>
                  </w:r>
                  <w:r>
                    <w:rPr>
                      <w:rFonts w:eastAsia="Calibri"/>
                      <w:color w:val="auto"/>
                      <w:sz w:val="21"/>
                      <w:szCs w:val="21"/>
                    </w:rPr>
                    <w:t>1</w:t>
                  </w:r>
                  <w:r>
                    <w:rPr>
                      <w:color w:val="auto"/>
                      <w:sz w:val="21"/>
                      <w:szCs w:val="21"/>
                    </w:rPr>
                    <w:t>次，连续</w:t>
                  </w:r>
                  <w:r>
                    <w:rPr>
                      <w:rFonts w:eastAsia="Calibri"/>
                      <w:color w:val="auto"/>
                      <w:sz w:val="21"/>
                      <w:szCs w:val="21"/>
                    </w:rPr>
                    <w:t>2</w:t>
                  </w:r>
                  <w:r>
                    <w:rPr>
                      <w:color w:val="auto"/>
                      <w:sz w:val="21"/>
                      <w:szCs w:val="21"/>
                    </w:rPr>
                    <w:t>天，昼夜各</w:t>
                  </w:r>
                  <w:r>
                    <w:rPr>
                      <w:rFonts w:eastAsia="Calibri"/>
                      <w:color w:val="auto"/>
                      <w:sz w:val="21"/>
                      <w:szCs w:val="21"/>
                    </w:rPr>
                    <w:t>2</w:t>
                  </w:r>
                  <w:r>
                    <w:rPr>
                      <w:color w:val="auto"/>
                      <w:sz w:val="21"/>
                      <w:szCs w:val="21"/>
                    </w:rPr>
                    <w:t>次</w:t>
                  </w:r>
                </w:p>
              </w:tc>
              <w:tc>
                <w:tcPr>
                  <w:tcW w:w="1234" w:type="dxa"/>
                  <w:vMerge w:val="restart"/>
                  <w:noWrap w:val="0"/>
                  <w:vAlign w:val="center"/>
                </w:tcPr>
                <w:p>
                  <w:pPr>
                    <w:widowControl/>
                    <w:adjustRightInd w:val="0"/>
                    <w:snapToGrid w:val="0"/>
                    <w:jc w:val="center"/>
                    <w:rPr>
                      <w:color w:val="auto"/>
                      <w:sz w:val="21"/>
                      <w:szCs w:val="21"/>
                    </w:rPr>
                  </w:pPr>
                  <w:r>
                    <w:rPr>
                      <w:color w:val="auto"/>
                      <w:sz w:val="21"/>
                      <w:szCs w:val="21"/>
                    </w:rPr>
                    <w:t>按国家标准进行</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noWrap w:val="0"/>
                  <w:vAlign w:val="center"/>
                </w:tcPr>
                <w:p>
                  <w:pPr>
                    <w:widowControl/>
                    <w:adjustRightInd w:val="0"/>
                    <w:snapToGrid w:val="0"/>
                    <w:jc w:val="center"/>
                    <w:rPr>
                      <w:color w:val="auto"/>
                      <w:sz w:val="21"/>
                      <w:szCs w:val="21"/>
                    </w:rPr>
                  </w:pPr>
                  <w:r>
                    <w:rPr>
                      <w:color w:val="auto"/>
                      <w:sz w:val="21"/>
                      <w:szCs w:val="21"/>
                    </w:rPr>
                    <w:t>废气</w:t>
                  </w:r>
                </w:p>
              </w:tc>
              <w:tc>
                <w:tcPr>
                  <w:tcW w:w="1443" w:type="dxa"/>
                  <w:noWrap w:val="0"/>
                  <w:vAlign w:val="center"/>
                </w:tcPr>
                <w:p>
                  <w:pPr>
                    <w:widowControl/>
                    <w:adjustRightInd w:val="0"/>
                    <w:snapToGrid w:val="0"/>
                    <w:jc w:val="center"/>
                    <w:rPr>
                      <w:color w:val="auto"/>
                      <w:sz w:val="21"/>
                      <w:szCs w:val="21"/>
                    </w:rPr>
                  </w:pPr>
                  <w:r>
                    <w:rPr>
                      <w:color w:val="auto"/>
                      <w:sz w:val="21"/>
                      <w:szCs w:val="21"/>
                    </w:rPr>
                    <w:t>厂界上下风向</w:t>
                  </w:r>
                </w:p>
              </w:tc>
              <w:tc>
                <w:tcPr>
                  <w:tcW w:w="2177" w:type="dxa"/>
                  <w:noWrap w:val="0"/>
                  <w:vAlign w:val="center"/>
                </w:tcPr>
                <w:p>
                  <w:pPr>
                    <w:widowControl/>
                    <w:adjustRightInd w:val="0"/>
                    <w:snapToGrid w:val="0"/>
                    <w:jc w:val="center"/>
                    <w:rPr>
                      <w:color w:val="auto"/>
                      <w:sz w:val="21"/>
                      <w:szCs w:val="21"/>
                    </w:rPr>
                  </w:pPr>
                  <w:r>
                    <w:rPr>
                      <w:rFonts w:eastAsia="Calibri"/>
                      <w:color w:val="auto"/>
                      <w:sz w:val="21"/>
                      <w:szCs w:val="21"/>
                    </w:rPr>
                    <w:t>NH</w:t>
                  </w:r>
                  <w:r>
                    <w:rPr>
                      <w:rFonts w:eastAsia="Calibri"/>
                      <w:color w:val="auto"/>
                      <w:sz w:val="21"/>
                      <w:szCs w:val="21"/>
                      <w:vertAlign w:val="subscript"/>
                    </w:rPr>
                    <w:t>3</w:t>
                  </w:r>
                  <w:r>
                    <w:rPr>
                      <w:color w:val="auto"/>
                      <w:sz w:val="21"/>
                      <w:szCs w:val="21"/>
                    </w:rPr>
                    <w:t>、</w:t>
                  </w:r>
                  <w:r>
                    <w:rPr>
                      <w:rFonts w:eastAsia="Calibri"/>
                      <w:color w:val="auto"/>
                      <w:sz w:val="21"/>
                      <w:szCs w:val="21"/>
                    </w:rPr>
                    <w:t>H</w:t>
                  </w:r>
                  <w:r>
                    <w:rPr>
                      <w:rFonts w:eastAsia="Calibri"/>
                      <w:color w:val="auto"/>
                      <w:sz w:val="21"/>
                      <w:szCs w:val="21"/>
                      <w:vertAlign w:val="subscript"/>
                    </w:rPr>
                    <w:t>2</w:t>
                  </w:r>
                  <w:r>
                    <w:rPr>
                      <w:rFonts w:eastAsia="Calibri"/>
                      <w:color w:val="auto"/>
                      <w:sz w:val="21"/>
                      <w:szCs w:val="21"/>
                    </w:rPr>
                    <w:t>S</w:t>
                  </w:r>
                </w:p>
              </w:tc>
              <w:tc>
                <w:tcPr>
                  <w:tcW w:w="2387" w:type="dxa"/>
                  <w:noWrap w:val="0"/>
                  <w:vAlign w:val="center"/>
                </w:tcPr>
                <w:p>
                  <w:pPr>
                    <w:adjustRightInd w:val="0"/>
                    <w:snapToGrid w:val="0"/>
                    <w:jc w:val="center"/>
                    <w:rPr>
                      <w:color w:val="auto"/>
                      <w:sz w:val="21"/>
                      <w:szCs w:val="21"/>
                    </w:rPr>
                  </w:pPr>
                  <w:r>
                    <w:rPr>
                      <w:color w:val="auto"/>
                      <w:sz w:val="21"/>
                      <w:szCs w:val="21"/>
                    </w:rPr>
                    <w:t>厂界上下风向每半年一次</w:t>
                  </w:r>
                </w:p>
              </w:tc>
              <w:tc>
                <w:tcPr>
                  <w:tcW w:w="1234" w:type="dxa"/>
                  <w:vMerge w:val="continue"/>
                  <w:noWrap w:val="0"/>
                  <w:vAlign w:val="center"/>
                </w:tcPr>
                <w:p>
                  <w:pPr>
                    <w:widowControl/>
                    <w:adjustRightInd w:val="0"/>
                    <w:snapToGrid w:val="0"/>
                    <w:jc w:val="center"/>
                    <w:rPr>
                      <w:color w:val="auto"/>
                      <w:sz w:val="21"/>
                      <w:szCs w:val="21"/>
                    </w:rPr>
                  </w:pPr>
                </w:p>
              </w:tc>
            </w:tr>
          </w:tbl>
          <w:p>
            <w:pPr>
              <w:adjustRightInd w:val="0"/>
              <w:snapToGrid w:val="0"/>
              <w:spacing w:line="360" w:lineRule="auto"/>
              <w:jc w:val="center"/>
              <w:rPr>
                <w:rFonts w:eastAsia="黑体"/>
                <w:bCs/>
                <w:color w:val="auto"/>
                <w:sz w:val="21"/>
                <w:szCs w:val="21"/>
              </w:rPr>
            </w:pPr>
            <w:r>
              <w:rPr>
                <w:rFonts w:eastAsia="黑体"/>
                <w:color w:val="auto"/>
              </w:rPr>
              <w:t xml:space="preserve">表7-38  </w:t>
            </w:r>
            <w:r>
              <w:rPr>
                <w:rFonts w:hint="eastAsia" w:eastAsia="黑体"/>
                <w:color w:val="auto"/>
              </w:rPr>
              <w:t>出水</w:t>
            </w:r>
            <w:r>
              <w:rPr>
                <w:rFonts w:eastAsia="黑体"/>
                <w:color w:val="auto"/>
              </w:rPr>
              <w:t>监测指标及最低监测频次</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014"/>
              <w:gridCol w:w="3018"/>
              <w:gridCol w:w="302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3014" w:type="dxa"/>
                  <w:noWrap w:val="0"/>
                  <w:vAlign w:val="center"/>
                </w:tcPr>
                <w:p>
                  <w:pPr>
                    <w:widowControl/>
                    <w:adjustRightInd w:val="0"/>
                    <w:snapToGrid w:val="0"/>
                    <w:jc w:val="center"/>
                    <w:rPr>
                      <w:b/>
                      <w:bCs/>
                      <w:color w:val="auto"/>
                      <w:sz w:val="21"/>
                      <w:szCs w:val="21"/>
                    </w:rPr>
                  </w:pPr>
                  <w:r>
                    <w:rPr>
                      <w:b/>
                      <w:bCs/>
                      <w:color w:val="auto"/>
                      <w:sz w:val="21"/>
                      <w:szCs w:val="21"/>
                    </w:rPr>
                    <w:t>监测点位</w:t>
                  </w:r>
                </w:p>
              </w:tc>
              <w:tc>
                <w:tcPr>
                  <w:tcW w:w="3018" w:type="dxa"/>
                  <w:noWrap w:val="0"/>
                  <w:vAlign w:val="center"/>
                </w:tcPr>
                <w:p>
                  <w:pPr>
                    <w:widowControl/>
                    <w:adjustRightInd w:val="0"/>
                    <w:snapToGrid w:val="0"/>
                    <w:jc w:val="center"/>
                    <w:rPr>
                      <w:b/>
                      <w:bCs/>
                      <w:color w:val="auto"/>
                      <w:sz w:val="21"/>
                      <w:szCs w:val="21"/>
                    </w:rPr>
                  </w:pPr>
                  <w:r>
                    <w:rPr>
                      <w:b/>
                      <w:bCs/>
                      <w:color w:val="auto"/>
                      <w:sz w:val="21"/>
                      <w:szCs w:val="21"/>
                    </w:rPr>
                    <w:t>监测指标</w:t>
                  </w:r>
                </w:p>
              </w:tc>
              <w:tc>
                <w:tcPr>
                  <w:tcW w:w="3020" w:type="dxa"/>
                  <w:noWrap w:val="0"/>
                  <w:vAlign w:val="center"/>
                </w:tcPr>
                <w:p>
                  <w:pPr>
                    <w:widowControl/>
                    <w:adjustRightInd w:val="0"/>
                    <w:snapToGrid w:val="0"/>
                    <w:jc w:val="center"/>
                    <w:rPr>
                      <w:b/>
                      <w:bCs/>
                      <w:color w:val="auto"/>
                      <w:sz w:val="21"/>
                      <w:szCs w:val="21"/>
                    </w:rPr>
                  </w:pPr>
                  <w:r>
                    <w:rPr>
                      <w:b/>
                      <w:bCs/>
                      <w:color w:val="auto"/>
                      <w:sz w:val="21"/>
                      <w:szCs w:val="21"/>
                    </w:rPr>
                    <w:t>监测指标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3014" w:type="dxa"/>
                  <w:noWrap w:val="0"/>
                  <w:vAlign w:val="center"/>
                </w:tcPr>
                <w:p>
                  <w:pPr>
                    <w:widowControl/>
                    <w:adjustRightInd w:val="0"/>
                    <w:snapToGrid w:val="0"/>
                    <w:jc w:val="center"/>
                    <w:rPr>
                      <w:color w:val="auto"/>
                      <w:sz w:val="21"/>
                      <w:szCs w:val="21"/>
                    </w:rPr>
                  </w:pPr>
                  <w:r>
                    <w:rPr>
                      <w:rFonts w:hint="eastAsia"/>
                      <w:color w:val="auto"/>
                      <w:sz w:val="21"/>
                      <w:szCs w:val="21"/>
                    </w:rPr>
                    <w:t>总排口</w:t>
                  </w:r>
                </w:p>
              </w:tc>
              <w:tc>
                <w:tcPr>
                  <w:tcW w:w="3018" w:type="dxa"/>
                  <w:noWrap w:val="0"/>
                  <w:vAlign w:val="center"/>
                </w:tcPr>
                <w:p>
                  <w:pPr>
                    <w:widowControl/>
                    <w:adjustRightInd w:val="0"/>
                    <w:snapToGrid w:val="0"/>
                    <w:jc w:val="center"/>
                    <w:rPr>
                      <w:color w:val="auto"/>
                      <w:sz w:val="21"/>
                      <w:szCs w:val="21"/>
                    </w:rPr>
                  </w:pPr>
                  <w:r>
                    <w:rPr>
                      <w:color w:val="auto"/>
                      <w:sz w:val="21"/>
                      <w:szCs w:val="21"/>
                    </w:rPr>
                    <w:t>流量、化学需氧量</w:t>
                  </w:r>
                  <w:r>
                    <w:rPr>
                      <w:rFonts w:hint="eastAsia"/>
                      <w:color w:val="auto"/>
                      <w:sz w:val="21"/>
                      <w:szCs w:val="21"/>
                    </w:rPr>
                    <w:t>、五日生化需氧量、</w:t>
                  </w:r>
                  <w:r>
                    <w:rPr>
                      <w:color w:val="auto"/>
                      <w:sz w:val="21"/>
                      <w:szCs w:val="21"/>
                    </w:rPr>
                    <w:t>氨氮</w:t>
                  </w:r>
                  <w:r>
                    <w:rPr>
                      <w:rFonts w:hint="eastAsia"/>
                      <w:color w:val="auto"/>
                      <w:sz w:val="21"/>
                      <w:szCs w:val="21"/>
                    </w:rPr>
                    <w:t>、</w:t>
                  </w:r>
                  <w:r>
                    <w:rPr>
                      <w:color w:val="auto"/>
                      <w:sz w:val="21"/>
                      <w:szCs w:val="21"/>
                    </w:rPr>
                    <w:t>总磷、总氮</w:t>
                  </w:r>
                </w:p>
              </w:tc>
              <w:tc>
                <w:tcPr>
                  <w:tcW w:w="3020" w:type="dxa"/>
                  <w:noWrap w:val="0"/>
                  <w:vAlign w:val="center"/>
                </w:tcPr>
                <w:p>
                  <w:pPr>
                    <w:widowControl/>
                    <w:adjustRightInd w:val="0"/>
                    <w:snapToGrid w:val="0"/>
                    <w:jc w:val="center"/>
                    <w:rPr>
                      <w:rFonts w:hint="eastAsia"/>
                      <w:color w:val="auto"/>
                      <w:sz w:val="21"/>
                      <w:szCs w:val="21"/>
                    </w:rPr>
                  </w:pPr>
                  <w:r>
                    <w:rPr>
                      <w:rFonts w:hint="eastAsia"/>
                      <w:color w:val="auto"/>
                      <w:sz w:val="21"/>
                      <w:szCs w:val="21"/>
                    </w:rPr>
                    <w:t>半年一次</w:t>
                  </w:r>
                </w:p>
              </w:tc>
            </w:tr>
          </w:tbl>
          <w:p>
            <w:pPr>
              <w:pStyle w:val="11"/>
              <w:adjustRightInd w:val="0"/>
              <w:snapToGrid w:val="0"/>
              <w:spacing w:line="360" w:lineRule="auto"/>
              <w:ind w:firstLine="480" w:firstLineChars="200"/>
              <w:rPr>
                <w:color w:val="auto"/>
                <w:szCs w:val="22"/>
              </w:rPr>
            </w:pPr>
            <w:r>
              <w:rPr>
                <w:color w:val="auto"/>
                <w:szCs w:val="22"/>
              </w:rPr>
              <w:t>根据《环境影响评价技术导则-地下水环境》（HJ610-2016）要求，三级评价建设项目应至少在建设项目场地下游布置1个跟踪监测点位。</w:t>
            </w:r>
          </w:p>
          <w:p>
            <w:pPr>
              <w:adjustRightInd w:val="0"/>
              <w:snapToGrid w:val="0"/>
              <w:spacing w:line="360" w:lineRule="auto"/>
              <w:jc w:val="center"/>
              <w:rPr>
                <w:rFonts w:eastAsia="黑体"/>
                <w:color w:val="auto"/>
              </w:rPr>
            </w:pPr>
            <w:r>
              <w:rPr>
                <w:rFonts w:eastAsia="黑体"/>
                <w:color w:val="auto"/>
              </w:rPr>
              <w:t>表7-39  地下水监测计划</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619"/>
              <w:gridCol w:w="1219"/>
              <w:gridCol w:w="4212"/>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3619" w:type="dxa"/>
                  <w:noWrap w:val="0"/>
                  <w:vAlign w:val="center"/>
                </w:tcPr>
                <w:p>
                  <w:pPr>
                    <w:widowControl/>
                    <w:adjustRightInd w:val="0"/>
                    <w:snapToGrid w:val="0"/>
                    <w:jc w:val="center"/>
                    <w:rPr>
                      <w:b/>
                      <w:bCs/>
                      <w:color w:val="auto"/>
                      <w:sz w:val="21"/>
                      <w:szCs w:val="21"/>
                    </w:rPr>
                  </w:pPr>
                  <w:r>
                    <w:rPr>
                      <w:b/>
                      <w:bCs/>
                      <w:color w:val="auto"/>
                      <w:sz w:val="21"/>
                      <w:szCs w:val="21"/>
                    </w:rPr>
                    <w:t>监测点位</w:t>
                  </w:r>
                </w:p>
              </w:tc>
              <w:tc>
                <w:tcPr>
                  <w:tcW w:w="1219" w:type="dxa"/>
                  <w:noWrap w:val="0"/>
                  <w:vAlign w:val="center"/>
                </w:tcPr>
                <w:p>
                  <w:pPr>
                    <w:widowControl/>
                    <w:adjustRightInd w:val="0"/>
                    <w:snapToGrid w:val="0"/>
                    <w:jc w:val="center"/>
                    <w:rPr>
                      <w:b/>
                      <w:bCs/>
                      <w:color w:val="auto"/>
                      <w:sz w:val="21"/>
                      <w:szCs w:val="21"/>
                    </w:rPr>
                  </w:pPr>
                  <w:r>
                    <w:rPr>
                      <w:b/>
                      <w:bCs/>
                      <w:color w:val="auto"/>
                      <w:sz w:val="21"/>
                      <w:szCs w:val="21"/>
                    </w:rPr>
                    <w:t>监测频次</w:t>
                  </w:r>
                </w:p>
              </w:tc>
              <w:tc>
                <w:tcPr>
                  <w:tcW w:w="4212" w:type="dxa"/>
                  <w:noWrap w:val="0"/>
                  <w:vAlign w:val="center"/>
                </w:tcPr>
                <w:p>
                  <w:pPr>
                    <w:widowControl/>
                    <w:adjustRightInd w:val="0"/>
                    <w:snapToGrid w:val="0"/>
                    <w:jc w:val="center"/>
                    <w:rPr>
                      <w:b/>
                      <w:bCs/>
                      <w:color w:val="auto"/>
                      <w:sz w:val="21"/>
                      <w:szCs w:val="21"/>
                    </w:rPr>
                  </w:pPr>
                  <w:r>
                    <w:rPr>
                      <w:b/>
                      <w:bCs/>
                      <w:color w:val="auto"/>
                      <w:sz w:val="21"/>
                      <w:szCs w:val="21"/>
                    </w:rPr>
                    <w:t>监测因子</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3619" w:type="dxa"/>
                  <w:noWrap w:val="0"/>
                  <w:vAlign w:val="center"/>
                </w:tcPr>
                <w:p>
                  <w:pPr>
                    <w:widowControl/>
                    <w:adjustRightInd w:val="0"/>
                    <w:snapToGrid w:val="0"/>
                    <w:jc w:val="center"/>
                    <w:rPr>
                      <w:color w:val="auto"/>
                      <w:sz w:val="21"/>
                      <w:szCs w:val="21"/>
                    </w:rPr>
                  </w:pPr>
                  <w:r>
                    <w:rPr>
                      <w:color w:val="auto"/>
                      <w:sz w:val="21"/>
                      <w:szCs w:val="21"/>
                    </w:rPr>
                    <w:t>建设项目场地下游监测井内</w:t>
                  </w:r>
                </w:p>
              </w:tc>
              <w:tc>
                <w:tcPr>
                  <w:tcW w:w="1219" w:type="dxa"/>
                  <w:noWrap w:val="0"/>
                  <w:vAlign w:val="center"/>
                </w:tcPr>
                <w:p>
                  <w:pPr>
                    <w:widowControl/>
                    <w:adjustRightInd w:val="0"/>
                    <w:snapToGrid w:val="0"/>
                    <w:jc w:val="center"/>
                    <w:rPr>
                      <w:color w:val="auto"/>
                      <w:sz w:val="21"/>
                      <w:szCs w:val="21"/>
                    </w:rPr>
                  </w:pPr>
                  <w:r>
                    <w:rPr>
                      <w:color w:val="auto"/>
                      <w:sz w:val="21"/>
                      <w:szCs w:val="21"/>
                    </w:rPr>
                    <w:t>1次/年</w:t>
                  </w:r>
                </w:p>
              </w:tc>
              <w:tc>
                <w:tcPr>
                  <w:tcW w:w="4212" w:type="dxa"/>
                  <w:noWrap w:val="0"/>
                  <w:vAlign w:val="center"/>
                </w:tcPr>
                <w:p>
                  <w:pPr>
                    <w:widowControl/>
                    <w:adjustRightInd w:val="0"/>
                    <w:snapToGrid w:val="0"/>
                    <w:jc w:val="center"/>
                    <w:rPr>
                      <w:color w:val="auto"/>
                      <w:sz w:val="21"/>
                      <w:szCs w:val="21"/>
                    </w:rPr>
                  </w:pPr>
                  <w:r>
                    <w:rPr>
                      <w:color w:val="auto"/>
                      <w:sz w:val="21"/>
                      <w:szCs w:val="21"/>
                    </w:rPr>
                    <w:t>K</w:t>
                  </w:r>
                  <w:r>
                    <w:rPr>
                      <w:color w:val="auto"/>
                      <w:sz w:val="21"/>
                      <w:szCs w:val="21"/>
                      <w:vertAlign w:val="superscript"/>
                    </w:rPr>
                    <w:t>+</w:t>
                  </w:r>
                  <w:r>
                    <w:rPr>
                      <w:color w:val="auto"/>
                      <w:sz w:val="21"/>
                      <w:szCs w:val="21"/>
                    </w:rPr>
                    <w:t>+Na</w:t>
                  </w:r>
                  <w:r>
                    <w:rPr>
                      <w:color w:val="auto"/>
                      <w:sz w:val="21"/>
                      <w:szCs w:val="21"/>
                      <w:vertAlign w:val="superscript"/>
                    </w:rPr>
                    <w:t>+</w:t>
                  </w:r>
                  <w:r>
                    <w:rPr>
                      <w:color w:val="auto"/>
                      <w:sz w:val="21"/>
                      <w:szCs w:val="21"/>
                    </w:rPr>
                    <w:t>、Ca</w:t>
                  </w:r>
                  <w:r>
                    <w:rPr>
                      <w:color w:val="auto"/>
                      <w:sz w:val="21"/>
                      <w:szCs w:val="21"/>
                      <w:vertAlign w:val="superscript"/>
                    </w:rPr>
                    <w:t>2+</w:t>
                  </w:r>
                  <w:r>
                    <w:rPr>
                      <w:color w:val="auto"/>
                      <w:sz w:val="21"/>
                      <w:szCs w:val="21"/>
                    </w:rPr>
                    <w:t>、Mg</w:t>
                  </w:r>
                  <w:r>
                    <w:rPr>
                      <w:color w:val="auto"/>
                      <w:sz w:val="21"/>
                      <w:szCs w:val="21"/>
                      <w:vertAlign w:val="superscript"/>
                    </w:rPr>
                    <w:t>2+</w:t>
                  </w:r>
                  <w:r>
                    <w:rPr>
                      <w:color w:val="auto"/>
                      <w:sz w:val="21"/>
                      <w:szCs w:val="21"/>
                    </w:rPr>
                    <w:t>、CO</w:t>
                  </w:r>
                  <w:r>
                    <w:rPr>
                      <w:color w:val="auto"/>
                      <w:sz w:val="21"/>
                      <w:szCs w:val="21"/>
                      <w:vertAlign w:val="subscript"/>
                    </w:rPr>
                    <w:t>3</w:t>
                  </w:r>
                  <w:r>
                    <w:rPr>
                      <w:color w:val="auto"/>
                      <w:sz w:val="21"/>
                      <w:szCs w:val="21"/>
                      <w:vertAlign w:val="superscript"/>
                    </w:rPr>
                    <w:t>2-</w:t>
                  </w:r>
                  <w:r>
                    <w:rPr>
                      <w:color w:val="auto"/>
                      <w:sz w:val="21"/>
                      <w:szCs w:val="21"/>
                    </w:rPr>
                    <w:t>、HCO</w:t>
                  </w:r>
                  <w:r>
                    <w:rPr>
                      <w:color w:val="auto"/>
                      <w:sz w:val="21"/>
                      <w:szCs w:val="21"/>
                      <w:vertAlign w:val="subscript"/>
                    </w:rPr>
                    <w:t>3</w:t>
                  </w:r>
                  <w:r>
                    <w:rPr>
                      <w:color w:val="auto"/>
                      <w:sz w:val="21"/>
                      <w:szCs w:val="21"/>
                      <w:vertAlign w:val="superscript"/>
                    </w:rPr>
                    <w:t>-</w:t>
                  </w:r>
                  <w:r>
                    <w:rPr>
                      <w:color w:val="auto"/>
                      <w:sz w:val="21"/>
                      <w:szCs w:val="21"/>
                    </w:rPr>
                    <w:t>、Cl</w:t>
                  </w:r>
                  <w:r>
                    <w:rPr>
                      <w:color w:val="auto"/>
                      <w:sz w:val="21"/>
                      <w:szCs w:val="21"/>
                      <w:vertAlign w:val="superscript"/>
                    </w:rPr>
                    <w:t>-</w:t>
                  </w:r>
                  <w:r>
                    <w:rPr>
                      <w:color w:val="auto"/>
                      <w:sz w:val="21"/>
                      <w:szCs w:val="21"/>
                    </w:rPr>
                    <w:t>、SO</w:t>
                  </w:r>
                  <w:r>
                    <w:rPr>
                      <w:color w:val="auto"/>
                      <w:sz w:val="21"/>
                      <w:szCs w:val="21"/>
                      <w:vertAlign w:val="subscript"/>
                    </w:rPr>
                    <w:t>4</w:t>
                  </w:r>
                  <w:r>
                    <w:rPr>
                      <w:color w:val="auto"/>
                      <w:sz w:val="21"/>
                      <w:szCs w:val="21"/>
                      <w:vertAlign w:val="superscript"/>
                    </w:rPr>
                    <w:t>2-</w:t>
                  </w:r>
                  <w:r>
                    <w:rPr>
                      <w:color w:val="auto"/>
                      <w:sz w:val="21"/>
                      <w:szCs w:val="21"/>
                    </w:rPr>
                    <w:t>、pH值、挥发酚、氰化物、六价铬、氨氮、总磷、总大肠菌群（MPN/100ml）、亚硝酸盐氮、氯化物、硝酸盐氮、硫酸盐</w:t>
                  </w:r>
                </w:p>
              </w:tc>
            </w:tr>
          </w:tbl>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七、环保投资估算</w:t>
            </w:r>
          </w:p>
          <w:p>
            <w:pPr>
              <w:adjustRightInd w:val="0"/>
              <w:snapToGrid w:val="0"/>
              <w:spacing w:line="360" w:lineRule="auto"/>
              <w:ind w:firstLine="480" w:firstLineChars="200"/>
              <w:rPr>
                <w:color w:val="auto"/>
              </w:rPr>
            </w:pPr>
            <w:bookmarkStart w:id="10" w:name="_Toc451860370"/>
            <w:r>
              <w:rPr>
                <w:color w:val="auto"/>
              </w:rPr>
              <w:t>项目总投资178万元，其中</w:t>
            </w:r>
            <w:r>
              <w:rPr>
                <w:rFonts w:hint="eastAsia"/>
                <w:color w:val="auto"/>
              </w:rPr>
              <w:t>二次</w:t>
            </w:r>
            <w:r>
              <w:rPr>
                <w:color w:val="auto"/>
              </w:rPr>
              <w:t>环保投资为</w:t>
            </w:r>
            <w:r>
              <w:rPr>
                <w:rFonts w:hint="eastAsia"/>
                <w:color w:val="auto"/>
              </w:rPr>
              <w:t>8.5万元</w:t>
            </w:r>
            <w:r>
              <w:rPr>
                <w:color w:val="auto"/>
              </w:rPr>
              <w:t>，占总投资的4.7</w:t>
            </w:r>
            <w:r>
              <w:rPr>
                <w:rFonts w:hint="eastAsia"/>
                <w:color w:val="auto"/>
              </w:rPr>
              <w:t>%</w:t>
            </w:r>
            <w:r>
              <w:rPr>
                <w:color w:val="auto"/>
              </w:rPr>
              <w:t>。环保分项投资概算表见表7-40。</w:t>
            </w:r>
          </w:p>
          <w:p>
            <w:pPr>
              <w:adjustRightInd w:val="0"/>
              <w:snapToGrid w:val="0"/>
              <w:spacing w:line="360" w:lineRule="auto"/>
              <w:jc w:val="center"/>
              <w:rPr>
                <w:rFonts w:eastAsia="黑体"/>
                <w:color w:val="auto"/>
              </w:rPr>
            </w:pPr>
            <w:r>
              <w:rPr>
                <w:rFonts w:eastAsia="黑体"/>
                <w:color w:val="auto"/>
              </w:rPr>
              <w:t xml:space="preserve">表7-40  </w:t>
            </w:r>
            <w:r>
              <w:rPr>
                <w:rFonts w:hint="eastAsia" w:eastAsia="黑体"/>
                <w:color w:val="auto"/>
              </w:rPr>
              <w:t>二次</w:t>
            </w:r>
            <w:r>
              <w:rPr>
                <w:rFonts w:eastAsia="黑体"/>
                <w:color w:val="auto"/>
              </w:rPr>
              <w:t>环保分项投资概算表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2342"/>
              <w:gridCol w:w="1755"/>
              <w:gridCol w:w="1463"/>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noWrap w:val="0"/>
                  <w:vAlign w:val="center"/>
                </w:tcPr>
                <w:p>
                  <w:pPr>
                    <w:pStyle w:val="79"/>
                    <w:rPr>
                      <w:b/>
                      <w:bCs/>
                      <w:color w:val="auto"/>
                    </w:rPr>
                  </w:pPr>
                  <w:r>
                    <w:rPr>
                      <w:b/>
                      <w:bCs/>
                      <w:color w:val="auto"/>
                    </w:rPr>
                    <w:t>项目</w:t>
                  </w:r>
                </w:p>
              </w:tc>
              <w:tc>
                <w:tcPr>
                  <w:tcW w:w="2342" w:type="dxa"/>
                  <w:noWrap w:val="0"/>
                  <w:vAlign w:val="center"/>
                </w:tcPr>
                <w:p>
                  <w:pPr>
                    <w:pStyle w:val="79"/>
                    <w:rPr>
                      <w:b/>
                      <w:bCs/>
                      <w:color w:val="auto"/>
                    </w:rPr>
                  </w:pPr>
                  <w:r>
                    <w:rPr>
                      <w:b/>
                      <w:bCs/>
                      <w:color w:val="auto"/>
                    </w:rPr>
                    <w:t>内容</w:t>
                  </w:r>
                </w:p>
              </w:tc>
              <w:tc>
                <w:tcPr>
                  <w:tcW w:w="1755" w:type="dxa"/>
                  <w:noWrap w:val="0"/>
                  <w:vAlign w:val="center"/>
                </w:tcPr>
                <w:p>
                  <w:pPr>
                    <w:pStyle w:val="79"/>
                    <w:rPr>
                      <w:b/>
                      <w:bCs/>
                      <w:color w:val="auto"/>
                    </w:rPr>
                  </w:pPr>
                  <w:r>
                    <w:rPr>
                      <w:b/>
                      <w:bCs/>
                      <w:color w:val="auto"/>
                    </w:rPr>
                    <w:t>规格与数量</w:t>
                  </w:r>
                </w:p>
              </w:tc>
              <w:tc>
                <w:tcPr>
                  <w:tcW w:w="1463" w:type="dxa"/>
                  <w:noWrap w:val="0"/>
                  <w:vAlign w:val="center"/>
                </w:tcPr>
                <w:p>
                  <w:pPr>
                    <w:pStyle w:val="79"/>
                    <w:rPr>
                      <w:b/>
                      <w:bCs/>
                      <w:color w:val="auto"/>
                    </w:rPr>
                  </w:pPr>
                  <w:r>
                    <w:rPr>
                      <w:b/>
                      <w:bCs/>
                      <w:color w:val="auto"/>
                    </w:rPr>
                    <w:t>投资（万元）</w:t>
                  </w:r>
                </w:p>
              </w:tc>
              <w:tc>
                <w:tcPr>
                  <w:tcW w:w="2004" w:type="dxa"/>
                  <w:noWrap w:val="0"/>
                  <w:vAlign w:val="center"/>
                </w:tcPr>
                <w:p>
                  <w:pPr>
                    <w:pStyle w:val="79"/>
                    <w:rPr>
                      <w:b/>
                      <w:bCs/>
                      <w:color w:val="auto"/>
                    </w:rPr>
                  </w:pPr>
                  <w:r>
                    <w:rPr>
                      <w:b/>
                      <w:bCs/>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08" w:type="dxa"/>
                  <w:noWrap w:val="0"/>
                  <w:vAlign w:val="center"/>
                </w:tcPr>
                <w:p>
                  <w:pPr>
                    <w:pStyle w:val="79"/>
                    <w:rPr>
                      <w:color w:val="auto"/>
                    </w:rPr>
                  </w:pPr>
                  <w:r>
                    <w:rPr>
                      <w:color w:val="auto"/>
                    </w:rPr>
                    <w:t>废水治理</w:t>
                  </w:r>
                </w:p>
              </w:tc>
              <w:tc>
                <w:tcPr>
                  <w:tcW w:w="4097" w:type="dxa"/>
                  <w:gridSpan w:val="2"/>
                  <w:noWrap w:val="0"/>
                  <w:vAlign w:val="center"/>
                </w:tcPr>
                <w:p>
                  <w:pPr>
                    <w:pStyle w:val="79"/>
                    <w:rPr>
                      <w:color w:val="auto"/>
                    </w:rPr>
                  </w:pPr>
                  <w:r>
                    <w:rPr>
                      <w:rFonts w:hint="eastAsia"/>
                      <w:color w:val="auto"/>
                    </w:rPr>
                    <w:t>加强废水监管，进水废水监测</w:t>
                  </w:r>
                </w:p>
              </w:tc>
              <w:tc>
                <w:tcPr>
                  <w:tcW w:w="1463" w:type="dxa"/>
                  <w:noWrap w:val="0"/>
                  <w:vAlign w:val="center"/>
                </w:tcPr>
                <w:p>
                  <w:pPr>
                    <w:pStyle w:val="79"/>
                    <w:rPr>
                      <w:color w:val="auto"/>
                    </w:rPr>
                  </w:pPr>
                  <w:r>
                    <w:rPr>
                      <w:color w:val="auto"/>
                    </w:rPr>
                    <w:t>2.0</w:t>
                  </w:r>
                </w:p>
              </w:tc>
              <w:tc>
                <w:tcPr>
                  <w:tcW w:w="2004" w:type="dxa"/>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208" w:type="dxa"/>
                  <w:vMerge w:val="restart"/>
                  <w:noWrap w:val="0"/>
                  <w:vAlign w:val="center"/>
                </w:tcPr>
                <w:p>
                  <w:pPr>
                    <w:pStyle w:val="79"/>
                    <w:rPr>
                      <w:color w:val="auto"/>
                    </w:rPr>
                  </w:pPr>
                  <w:r>
                    <w:rPr>
                      <w:color w:val="auto"/>
                    </w:rPr>
                    <w:t>固废治理</w:t>
                  </w:r>
                </w:p>
              </w:tc>
              <w:tc>
                <w:tcPr>
                  <w:tcW w:w="4097" w:type="dxa"/>
                  <w:gridSpan w:val="2"/>
                  <w:noWrap w:val="0"/>
                  <w:vAlign w:val="center"/>
                </w:tcPr>
                <w:p>
                  <w:pPr>
                    <w:pStyle w:val="79"/>
                    <w:rPr>
                      <w:color w:val="auto"/>
                    </w:rPr>
                  </w:pPr>
                  <w:r>
                    <w:rPr>
                      <w:color w:val="auto"/>
                    </w:rPr>
                    <w:t>生活垃圾收集后交由环卫处理</w:t>
                  </w:r>
                </w:p>
              </w:tc>
              <w:tc>
                <w:tcPr>
                  <w:tcW w:w="1463" w:type="dxa"/>
                  <w:noWrap w:val="0"/>
                  <w:vAlign w:val="center"/>
                </w:tcPr>
                <w:p>
                  <w:pPr>
                    <w:pStyle w:val="79"/>
                    <w:rPr>
                      <w:color w:val="auto"/>
                    </w:rPr>
                  </w:pPr>
                  <w:r>
                    <w:rPr>
                      <w:color w:val="auto"/>
                    </w:rPr>
                    <w:t>0.5</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208" w:type="dxa"/>
                  <w:vMerge w:val="continue"/>
                  <w:noWrap w:val="0"/>
                  <w:vAlign w:val="center"/>
                </w:tcPr>
                <w:p>
                  <w:pPr>
                    <w:pStyle w:val="79"/>
                    <w:rPr>
                      <w:color w:val="auto"/>
                    </w:rPr>
                  </w:pPr>
                </w:p>
              </w:tc>
              <w:tc>
                <w:tcPr>
                  <w:tcW w:w="4097" w:type="dxa"/>
                  <w:gridSpan w:val="2"/>
                  <w:noWrap w:val="0"/>
                  <w:vAlign w:val="center"/>
                </w:tcPr>
                <w:p>
                  <w:pPr>
                    <w:pStyle w:val="79"/>
                    <w:rPr>
                      <w:color w:val="auto"/>
                    </w:rPr>
                  </w:pPr>
                  <w:r>
                    <w:rPr>
                      <w:color w:val="auto"/>
                    </w:rPr>
                    <w:t>栅渣收集后交由环卫处理</w:t>
                  </w:r>
                </w:p>
              </w:tc>
              <w:tc>
                <w:tcPr>
                  <w:tcW w:w="1463" w:type="dxa"/>
                  <w:noWrap w:val="0"/>
                  <w:vAlign w:val="center"/>
                </w:tcPr>
                <w:p>
                  <w:pPr>
                    <w:pStyle w:val="79"/>
                    <w:rPr>
                      <w:rFonts w:hint="eastAsia"/>
                      <w:color w:val="auto"/>
                    </w:rPr>
                  </w:pPr>
                  <w:r>
                    <w:rPr>
                      <w:color w:val="auto"/>
                    </w:rPr>
                    <w:t>0.</w:t>
                  </w:r>
                  <w:r>
                    <w:rPr>
                      <w:rFonts w:hint="eastAsia"/>
                      <w:color w:val="auto"/>
                    </w:rPr>
                    <w:t>5</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208" w:type="dxa"/>
                  <w:vMerge w:val="continue"/>
                  <w:noWrap w:val="0"/>
                  <w:vAlign w:val="center"/>
                </w:tcPr>
                <w:p>
                  <w:pPr>
                    <w:pStyle w:val="79"/>
                    <w:rPr>
                      <w:color w:val="auto"/>
                    </w:rPr>
                  </w:pPr>
                </w:p>
              </w:tc>
              <w:tc>
                <w:tcPr>
                  <w:tcW w:w="4097" w:type="dxa"/>
                  <w:gridSpan w:val="2"/>
                  <w:noWrap w:val="0"/>
                  <w:vAlign w:val="center"/>
                </w:tcPr>
                <w:p>
                  <w:pPr>
                    <w:pStyle w:val="79"/>
                    <w:rPr>
                      <w:color w:val="auto"/>
                    </w:rPr>
                  </w:pPr>
                  <w:r>
                    <w:rPr>
                      <w:color w:val="auto"/>
                    </w:rPr>
                    <w:t>污水处理站污泥定期清运</w:t>
                  </w:r>
                </w:p>
              </w:tc>
              <w:tc>
                <w:tcPr>
                  <w:tcW w:w="1463" w:type="dxa"/>
                  <w:noWrap w:val="0"/>
                  <w:vAlign w:val="center"/>
                </w:tcPr>
                <w:p>
                  <w:pPr>
                    <w:pStyle w:val="79"/>
                    <w:rPr>
                      <w:rFonts w:hint="eastAsia"/>
                      <w:color w:val="auto"/>
                    </w:rPr>
                  </w:pPr>
                  <w:r>
                    <w:rPr>
                      <w:rFonts w:hint="eastAsia"/>
                      <w:color w:val="auto"/>
                    </w:rPr>
                    <w:t>1.5</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08" w:type="dxa"/>
                  <w:vMerge w:val="continue"/>
                  <w:noWrap w:val="0"/>
                  <w:vAlign w:val="center"/>
                </w:tcPr>
                <w:p>
                  <w:pPr>
                    <w:pStyle w:val="79"/>
                    <w:rPr>
                      <w:color w:val="auto"/>
                    </w:rPr>
                  </w:pPr>
                </w:p>
              </w:tc>
              <w:tc>
                <w:tcPr>
                  <w:tcW w:w="4097" w:type="dxa"/>
                  <w:gridSpan w:val="2"/>
                  <w:noWrap w:val="0"/>
                  <w:vAlign w:val="center"/>
                </w:tcPr>
                <w:p>
                  <w:pPr>
                    <w:pStyle w:val="79"/>
                    <w:rPr>
                      <w:color w:val="auto"/>
                    </w:rPr>
                  </w:pPr>
                  <w:r>
                    <w:rPr>
                      <w:color w:val="auto"/>
                    </w:rPr>
                    <w:t>废旧填料交由厂家回收处理</w:t>
                  </w:r>
                </w:p>
              </w:tc>
              <w:tc>
                <w:tcPr>
                  <w:tcW w:w="1463" w:type="dxa"/>
                  <w:noWrap w:val="0"/>
                  <w:vAlign w:val="center"/>
                </w:tcPr>
                <w:p>
                  <w:pPr>
                    <w:pStyle w:val="79"/>
                    <w:rPr>
                      <w:rFonts w:hint="eastAsia"/>
                      <w:color w:val="auto"/>
                    </w:rPr>
                  </w:pPr>
                  <w:r>
                    <w:rPr>
                      <w:rFonts w:hint="eastAsia"/>
                      <w:color w:val="auto"/>
                    </w:rPr>
                    <w:t>/</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08" w:type="dxa"/>
                  <w:vMerge w:val="continue"/>
                  <w:noWrap w:val="0"/>
                  <w:vAlign w:val="center"/>
                </w:tcPr>
                <w:p>
                  <w:pPr>
                    <w:pStyle w:val="79"/>
                    <w:rPr>
                      <w:color w:val="auto"/>
                    </w:rPr>
                  </w:pPr>
                </w:p>
              </w:tc>
              <w:tc>
                <w:tcPr>
                  <w:tcW w:w="4097" w:type="dxa"/>
                  <w:gridSpan w:val="2"/>
                  <w:noWrap w:val="0"/>
                  <w:vAlign w:val="center"/>
                </w:tcPr>
                <w:p>
                  <w:pPr>
                    <w:pStyle w:val="79"/>
                    <w:rPr>
                      <w:color w:val="auto"/>
                    </w:rPr>
                  </w:pPr>
                  <w:r>
                    <w:rPr>
                      <w:rFonts w:hint="eastAsia"/>
                      <w:color w:val="auto"/>
                    </w:rPr>
                    <w:t>人工湿地产生的枯枝败叶收集晒干后交由当地居民用作生物燃料</w:t>
                  </w:r>
                </w:p>
              </w:tc>
              <w:tc>
                <w:tcPr>
                  <w:tcW w:w="1463" w:type="dxa"/>
                  <w:noWrap w:val="0"/>
                  <w:vAlign w:val="center"/>
                </w:tcPr>
                <w:p>
                  <w:pPr>
                    <w:pStyle w:val="79"/>
                    <w:rPr>
                      <w:rFonts w:hint="eastAsia"/>
                      <w:color w:val="auto"/>
                    </w:rPr>
                  </w:pPr>
                  <w:r>
                    <w:rPr>
                      <w:rFonts w:hint="eastAsia"/>
                      <w:color w:val="auto"/>
                    </w:rPr>
                    <w:t>/</w:t>
                  </w:r>
                </w:p>
              </w:tc>
              <w:tc>
                <w:tcPr>
                  <w:tcW w:w="2004" w:type="dxa"/>
                  <w:noWrap w:val="0"/>
                  <w:vAlign w:val="top"/>
                </w:tcPr>
                <w:p>
                  <w:pPr>
                    <w:jc w:val="center"/>
                    <w:rPr>
                      <w:rFonts w:hint="eastAsia"/>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08" w:type="dxa"/>
                  <w:noWrap w:val="0"/>
                  <w:vAlign w:val="center"/>
                </w:tcPr>
                <w:p>
                  <w:pPr>
                    <w:pStyle w:val="79"/>
                    <w:rPr>
                      <w:color w:val="auto"/>
                    </w:rPr>
                  </w:pPr>
                  <w:r>
                    <w:rPr>
                      <w:color w:val="auto"/>
                    </w:rPr>
                    <w:t>噪声治理</w:t>
                  </w:r>
                </w:p>
              </w:tc>
              <w:tc>
                <w:tcPr>
                  <w:tcW w:w="4097" w:type="dxa"/>
                  <w:gridSpan w:val="2"/>
                  <w:noWrap w:val="0"/>
                  <w:vAlign w:val="center"/>
                </w:tcPr>
                <w:p>
                  <w:pPr>
                    <w:pStyle w:val="79"/>
                    <w:rPr>
                      <w:color w:val="auto"/>
                    </w:rPr>
                  </w:pPr>
                  <w:r>
                    <w:rPr>
                      <w:color w:val="auto"/>
                    </w:rPr>
                    <w:t>选用低噪声设备、污水泵采用潜水结构、鼓风机隔声减震、厂内设建筑隔声</w:t>
                  </w:r>
                </w:p>
              </w:tc>
              <w:tc>
                <w:tcPr>
                  <w:tcW w:w="1463" w:type="dxa"/>
                  <w:noWrap w:val="0"/>
                  <w:vAlign w:val="center"/>
                </w:tcPr>
                <w:p>
                  <w:pPr>
                    <w:pStyle w:val="79"/>
                    <w:rPr>
                      <w:rFonts w:hint="eastAsia"/>
                      <w:color w:val="auto"/>
                    </w:rPr>
                  </w:pPr>
                  <w:r>
                    <w:rPr>
                      <w:rFonts w:hint="eastAsia"/>
                      <w:color w:val="auto"/>
                    </w:rPr>
                    <w:t>1.0</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208" w:type="dxa"/>
                  <w:noWrap w:val="0"/>
                  <w:vAlign w:val="center"/>
                </w:tcPr>
                <w:p>
                  <w:pPr>
                    <w:pStyle w:val="79"/>
                    <w:rPr>
                      <w:color w:val="auto"/>
                    </w:rPr>
                  </w:pPr>
                  <w:r>
                    <w:rPr>
                      <w:color w:val="auto"/>
                    </w:rPr>
                    <w:t>废气治理</w:t>
                  </w:r>
                </w:p>
              </w:tc>
              <w:tc>
                <w:tcPr>
                  <w:tcW w:w="4097" w:type="dxa"/>
                  <w:gridSpan w:val="2"/>
                  <w:noWrap w:val="0"/>
                  <w:vAlign w:val="center"/>
                </w:tcPr>
                <w:p>
                  <w:pPr>
                    <w:pStyle w:val="79"/>
                    <w:rPr>
                      <w:rFonts w:hint="eastAsia"/>
                      <w:color w:val="auto"/>
                    </w:rPr>
                  </w:pPr>
                  <w:r>
                    <w:rPr>
                      <w:color w:val="auto"/>
                    </w:rPr>
                    <w:t>对恶臭产生单元等进行加盖或密闭处理</w:t>
                  </w:r>
                  <w:r>
                    <w:rPr>
                      <w:rFonts w:hint="eastAsia"/>
                      <w:color w:val="auto"/>
                    </w:rPr>
                    <w:t>，定期喷洒除臭剂，栽种吸污植物</w:t>
                  </w:r>
                </w:p>
              </w:tc>
              <w:tc>
                <w:tcPr>
                  <w:tcW w:w="1463" w:type="dxa"/>
                  <w:noWrap w:val="0"/>
                  <w:vAlign w:val="center"/>
                </w:tcPr>
                <w:p>
                  <w:pPr>
                    <w:pStyle w:val="79"/>
                    <w:rPr>
                      <w:rFonts w:hint="eastAsia"/>
                      <w:color w:val="auto"/>
                    </w:rPr>
                  </w:pPr>
                  <w:r>
                    <w:rPr>
                      <w:rFonts w:hint="eastAsia"/>
                      <w:color w:val="auto"/>
                    </w:rPr>
                    <w:t>2.0</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208" w:type="dxa"/>
                  <w:noWrap w:val="0"/>
                  <w:vAlign w:val="center"/>
                </w:tcPr>
                <w:p>
                  <w:pPr>
                    <w:pStyle w:val="79"/>
                    <w:rPr>
                      <w:color w:val="auto"/>
                    </w:rPr>
                  </w:pPr>
                  <w:r>
                    <w:rPr>
                      <w:color w:val="auto"/>
                    </w:rPr>
                    <w:t>风险措施</w:t>
                  </w:r>
                </w:p>
              </w:tc>
              <w:tc>
                <w:tcPr>
                  <w:tcW w:w="4097" w:type="dxa"/>
                  <w:gridSpan w:val="2"/>
                  <w:noWrap w:val="0"/>
                  <w:vAlign w:val="center"/>
                </w:tcPr>
                <w:p>
                  <w:pPr>
                    <w:pStyle w:val="79"/>
                    <w:rPr>
                      <w:color w:val="auto"/>
                    </w:rPr>
                  </w:pPr>
                  <w:r>
                    <w:rPr>
                      <w:color w:val="auto"/>
                    </w:rPr>
                    <w:t>储备相应污水处理</w:t>
                  </w:r>
                  <w:r>
                    <w:rPr>
                      <w:rFonts w:hint="eastAsia"/>
                      <w:color w:val="auto"/>
                    </w:rPr>
                    <w:t>备用</w:t>
                  </w:r>
                  <w:r>
                    <w:rPr>
                      <w:color w:val="auto"/>
                    </w:rPr>
                    <w:t>设备</w:t>
                  </w:r>
                </w:p>
              </w:tc>
              <w:tc>
                <w:tcPr>
                  <w:tcW w:w="1463" w:type="dxa"/>
                  <w:noWrap w:val="0"/>
                  <w:vAlign w:val="center"/>
                </w:tcPr>
                <w:p>
                  <w:pPr>
                    <w:pStyle w:val="79"/>
                    <w:rPr>
                      <w:rFonts w:hint="eastAsia"/>
                      <w:color w:val="auto"/>
                    </w:rPr>
                  </w:pPr>
                  <w:r>
                    <w:rPr>
                      <w:rFonts w:hint="eastAsia"/>
                      <w:color w:val="auto"/>
                    </w:rPr>
                    <w:t>1.0</w:t>
                  </w:r>
                </w:p>
              </w:tc>
              <w:tc>
                <w:tcPr>
                  <w:tcW w:w="2004" w:type="dxa"/>
                  <w:noWrap w:val="0"/>
                  <w:vAlign w:val="top"/>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5" w:type="dxa"/>
                  <w:gridSpan w:val="3"/>
                  <w:noWrap w:val="0"/>
                  <w:vAlign w:val="center"/>
                </w:tcPr>
                <w:p>
                  <w:pPr>
                    <w:pStyle w:val="79"/>
                    <w:rPr>
                      <w:color w:val="auto"/>
                    </w:rPr>
                  </w:pPr>
                  <w:r>
                    <w:rPr>
                      <w:color w:val="auto"/>
                    </w:rPr>
                    <w:t>合计</w:t>
                  </w:r>
                </w:p>
              </w:tc>
              <w:tc>
                <w:tcPr>
                  <w:tcW w:w="1463" w:type="dxa"/>
                  <w:noWrap w:val="0"/>
                  <w:vAlign w:val="center"/>
                </w:tcPr>
                <w:p>
                  <w:pPr>
                    <w:pStyle w:val="79"/>
                    <w:rPr>
                      <w:rFonts w:hint="eastAsia"/>
                      <w:color w:val="auto"/>
                    </w:rPr>
                  </w:pPr>
                  <w:r>
                    <w:rPr>
                      <w:rFonts w:hint="eastAsia"/>
                      <w:color w:val="auto"/>
                    </w:rPr>
                    <w:t>8.5</w:t>
                  </w:r>
                </w:p>
              </w:tc>
              <w:tc>
                <w:tcPr>
                  <w:tcW w:w="2004" w:type="dxa"/>
                  <w:noWrap w:val="0"/>
                  <w:vAlign w:val="center"/>
                </w:tcPr>
                <w:p>
                  <w:pPr>
                    <w:pStyle w:val="79"/>
                    <w:rPr>
                      <w:rFonts w:hint="eastAsia"/>
                      <w:color w:val="auto"/>
                    </w:rPr>
                  </w:pPr>
                  <w:r>
                    <w:rPr>
                      <w:color w:val="auto"/>
                    </w:rPr>
                    <w:t>占总投资的4.7</w:t>
                  </w:r>
                  <w:r>
                    <w:rPr>
                      <w:rFonts w:hint="eastAsia"/>
                      <w:color w:val="auto"/>
                    </w:rPr>
                    <w:t>%</w:t>
                  </w:r>
                </w:p>
              </w:tc>
            </w:tr>
          </w:tbl>
          <w:p>
            <w:pPr>
              <w:adjustRightInd w:val="0"/>
              <w:snapToGrid w:val="0"/>
              <w:spacing w:line="360" w:lineRule="auto"/>
              <w:ind w:firstLine="560" w:firstLineChars="200"/>
              <w:rPr>
                <w:rFonts w:eastAsia="黑体"/>
                <w:bCs/>
                <w:color w:val="auto"/>
                <w:sz w:val="28"/>
                <w:szCs w:val="28"/>
              </w:rPr>
            </w:pPr>
            <w:r>
              <w:rPr>
                <w:rFonts w:eastAsia="黑体"/>
                <w:bCs/>
                <w:color w:val="auto"/>
                <w:sz w:val="28"/>
                <w:szCs w:val="28"/>
              </w:rPr>
              <w:t>八、总量控制指标</w:t>
            </w:r>
            <w:bookmarkEnd w:id="10"/>
          </w:p>
          <w:p>
            <w:pPr>
              <w:adjustRightInd w:val="0"/>
              <w:snapToGrid w:val="0"/>
              <w:spacing w:line="360" w:lineRule="auto"/>
              <w:ind w:firstLine="480" w:firstLineChars="200"/>
              <w:rPr>
                <w:color w:val="auto"/>
              </w:rPr>
            </w:pPr>
            <w:r>
              <w:rPr>
                <w:color w:val="auto"/>
              </w:rPr>
              <w:t>根据《“十三五”期间全国主要污染物排放总量控制计划》。“十三五”期间国家对COD、NH</w:t>
            </w:r>
            <w:r>
              <w:rPr>
                <w:color w:val="auto"/>
                <w:vertAlign w:val="subscript"/>
              </w:rPr>
              <w:t>3</w:t>
            </w:r>
            <w:r>
              <w:rPr>
                <w:color w:val="auto"/>
              </w:rPr>
              <w:t>-N、SO</w:t>
            </w:r>
            <w:r>
              <w:rPr>
                <w:color w:val="auto"/>
                <w:vertAlign w:val="subscript"/>
              </w:rPr>
              <w:t>2</w:t>
            </w:r>
            <w:r>
              <w:rPr>
                <w:color w:val="auto"/>
              </w:rPr>
              <w:t>、NOx四种主要污染物实行排放总量控制管理。</w:t>
            </w:r>
          </w:p>
          <w:p>
            <w:pPr>
              <w:adjustRightInd w:val="0"/>
              <w:snapToGrid w:val="0"/>
              <w:spacing w:line="360" w:lineRule="auto"/>
              <w:ind w:firstLine="480" w:firstLineChars="200"/>
              <w:rPr>
                <w:bCs/>
                <w:snapToGrid w:val="0"/>
                <w:color w:val="auto"/>
                <w:kern w:val="0"/>
              </w:rPr>
            </w:pPr>
            <w:r>
              <w:rPr>
                <w:color w:val="auto"/>
              </w:rPr>
              <w:t>本污水处理站建成运行后，外排尾水量为60m</w:t>
            </w:r>
            <w:r>
              <w:rPr>
                <w:color w:val="auto"/>
                <w:vertAlign w:val="superscript"/>
              </w:rPr>
              <w:t>3</w:t>
            </w:r>
            <w:r>
              <w:rPr>
                <w:color w:val="auto"/>
              </w:rPr>
              <w:t>/d，达到《农村生活污水处理设施水污染物排放标准》（DB51/ 2626-2019）中的一级标后排入官料河</w:t>
            </w:r>
            <w:r>
              <w:rPr>
                <w:bCs/>
                <w:snapToGrid w:val="0"/>
                <w:color w:val="auto"/>
                <w:kern w:val="0"/>
              </w:rPr>
              <w:t>。</w:t>
            </w:r>
          </w:p>
          <w:p>
            <w:pPr>
              <w:adjustRightInd w:val="0"/>
              <w:snapToGrid w:val="0"/>
              <w:spacing w:line="360" w:lineRule="auto"/>
              <w:ind w:firstLine="480" w:firstLineChars="200"/>
              <w:rPr>
                <w:color w:val="auto"/>
              </w:rPr>
            </w:pPr>
            <w:r>
              <w:rPr>
                <w:bCs/>
                <w:snapToGrid w:val="0"/>
                <w:color w:val="auto"/>
                <w:kern w:val="0"/>
              </w:rPr>
              <w:t>本次评价按照</w:t>
            </w:r>
            <w:r>
              <w:rPr>
                <w:color w:val="auto"/>
              </w:rPr>
              <w:t>《农村生活污水处理设施水污染物排放标准》（DB51/ 2626-2019）一级标准要求，并结合实际水污染物产生源强，计算得出项目污水处理站排口污染物总量数据，计算过程如下：</w:t>
            </w:r>
          </w:p>
          <w:p>
            <w:pPr>
              <w:adjustRightInd w:val="0"/>
              <w:snapToGrid w:val="0"/>
              <w:spacing w:line="360" w:lineRule="auto"/>
              <w:ind w:firstLine="480" w:firstLineChars="200"/>
              <w:rPr>
                <w:color w:val="auto"/>
              </w:rPr>
            </w:pPr>
            <w:r>
              <w:rPr>
                <w:color w:val="auto"/>
              </w:rPr>
              <w:t>COD：60(m</w:t>
            </w:r>
            <w:r>
              <w:rPr>
                <w:color w:val="auto"/>
                <w:vertAlign w:val="superscript"/>
              </w:rPr>
              <w:t>3</w:t>
            </w:r>
            <w:r>
              <w:rPr>
                <w:color w:val="auto"/>
              </w:rPr>
              <w:t>/d)×60(mg/L)/1000×365(d)/1000=1.314(t/a)</w:t>
            </w:r>
          </w:p>
          <w:p>
            <w:pPr>
              <w:adjustRightInd w:val="0"/>
              <w:snapToGrid w:val="0"/>
              <w:spacing w:line="360" w:lineRule="auto"/>
              <w:ind w:firstLine="480" w:firstLineChars="200"/>
              <w:rPr>
                <w:color w:val="auto"/>
              </w:rPr>
            </w:pPr>
            <w:r>
              <w:rPr>
                <w:color w:val="auto"/>
              </w:rPr>
              <w:t>氨氮：60(m</w:t>
            </w:r>
            <w:r>
              <w:rPr>
                <w:color w:val="auto"/>
                <w:vertAlign w:val="superscript"/>
              </w:rPr>
              <w:t>3</w:t>
            </w:r>
            <w:r>
              <w:rPr>
                <w:color w:val="auto"/>
              </w:rPr>
              <w:t>/d)×8(mg/L)/1000×365(d)/1000=0.1752(t/a)</w:t>
            </w:r>
          </w:p>
          <w:p>
            <w:pPr>
              <w:pStyle w:val="2"/>
              <w:ind w:left="0" w:leftChars="0" w:firstLine="480"/>
              <w:rPr>
                <w:rFonts w:hint="default" w:ascii="Times New Roman" w:hAnsi="Times New Roman"/>
                <w:color w:val="auto"/>
                <w:kern w:val="2"/>
                <w:sz w:val="24"/>
              </w:rPr>
            </w:pPr>
            <w:r>
              <w:rPr>
                <w:rFonts w:hint="default" w:ascii="Times New Roman" w:hAnsi="Times New Roman"/>
                <w:color w:val="auto"/>
                <w:kern w:val="2"/>
                <w:sz w:val="24"/>
              </w:rPr>
              <w:t>TP：60(m</w:t>
            </w:r>
            <w:r>
              <w:rPr>
                <w:rFonts w:hint="default" w:ascii="Times New Roman" w:hAnsi="Times New Roman"/>
                <w:color w:val="auto"/>
                <w:kern w:val="2"/>
                <w:sz w:val="24"/>
                <w:vertAlign w:val="superscript"/>
              </w:rPr>
              <w:t>3</w:t>
            </w:r>
            <w:r>
              <w:rPr>
                <w:rFonts w:hint="default" w:ascii="Times New Roman" w:hAnsi="Times New Roman"/>
                <w:color w:val="auto"/>
                <w:kern w:val="2"/>
                <w:sz w:val="24"/>
              </w:rPr>
              <w:t>/d)×1.5(mg/L)/1000×365(d)/1000=0.03285(t/a)</w:t>
            </w:r>
          </w:p>
          <w:p>
            <w:pPr>
              <w:adjustRightInd w:val="0"/>
              <w:snapToGrid w:val="0"/>
              <w:spacing w:line="360" w:lineRule="auto"/>
              <w:ind w:firstLine="480" w:firstLineChars="200"/>
              <w:rPr>
                <w:color w:val="auto"/>
              </w:rPr>
            </w:pPr>
            <w:r>
              <w:rPr>
                <w:color w:val="auto"/>
              </w:rPr>
              <w:t>TN：60(m</w:t>
            </w:r>
            <w:r>
              <w:rPr>
                <w:color w:val="auto"/>
                <w:vertAlign w:val="superscript"/>
              </w:rPr>
              <w:t>3</w:t>
            </w:r>
            <w:r>
              <w:rPr>
                <w:color w:val="auto"/>
              </w:rPr>
              <w:t>/d)×20(mg/L)/1000×365(d)/1000=0.438(t/a)</w:t>
            </w:r>
          </w:p>
          <w:p>
            <w:pPr>
              <w:adjustRightInd w:val="0"/>
              <w:snapToGrid w:val="0"/>
              <w:spacing w:line="360" w:lineRule="auto"/>
              <w:ind w:firstLine="480" w:firstLineChars="200"/>
              <w:rPr>
                <w:color w:val="auto"/>
                <w:highlight w:val="cyan"/>
              </w:rPr>
            </w:pPr>
            <w:r>
              <w:rPr>
                <w:bCs/>
                <w:snapToGrid w:val="0"/>
                <w:color w:val="auto"/>
                <w:kern w:val="0"/>
              </w:rPr>
              <w:t>根据国家环境保护部关于总量控制的有关要求，并结合项目污染物排放特点，建议本项目总量控制指标为</w:t>
            </w:r>
            <w:r>
              <w:rPr>
                <w:color w:val="auto"/>
              </w:rPr>
              <w:t>CODcr：1.314t/a、NH</w:t>
            </w:r>
            <w:r>
              <w:rPr>
                <w:color w:val="auto"/>
                <w:vertAlign w:val="subscript"/>
              </w:rPr>
              <w:t>3</w:t>
            </w:r>
            <w:r>
              <w:rPr>
                <w:color w:val="auto"/>
              </w:rPr>
              <w:t>-N：0.1752t/a；TP：0.03582t/a、TN：0.438t/a</w:t>
            </w:r>
            <w:r>
              <w:rPr>
                <w:bCs/>
                <w:snapToGrid w:val="0"/>
                <w:color w:val="auto"/>
                <w:kern w:val="0"/>
              </w:rPr>
              <w:t>。</w:t>
            </w:r>
          </w:p>
        </w:tc>
      </w:tr>
    </w:tbl>
    <w:p>
      <w:pPr>
        <w:outlineLvl w:val="0"/>
        <w:rPr>
          <w:rFonts w:eastAsia="黑体"/>
          <w:color w:val="auto"/>
          <w:sz w:val="32"/>
          <w:szCs w:val="32"/>
        </w:rPr>
      </w:pPr>
      <w:r>
        <w:rPr>
          <w:b/>
          <w:color w:val="auto"/>
          <w:sz w:val="32"/>
          <w:szCs w:val="32"/>
        </w:rPr>
        <w:br w:type="page"/>
      </w:r>
      <w:r>
        <w:rPr>
          <w:rFonts w:eastAsia="黑体"/>
          <w:bCs/>
          <w:color w:val="auto"/>
          <w:sz w:val="32"/>
          <w:szCs w:val="32"/>
        </w:rPr>
        <w:t>建设项目拟采取的防治措施及预期治理效果           （表八）</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23"/>
        <w:gridCol w:w="859"/>
        <w:gridCol w:w="737"/>
        <w:gridCol w:w="1254"/>
        <w:gridCol w:w="2799"/>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tcBorders>
              <w:tl2br w:val="single" w:color="auto" w:sz="4" w:space="0"/>
            </w:tcBorders>
            <w:noWrap w:val="0"/>
            <w:vAlign w:val="top"/>
          </w:tcPr>
          <w:p>
            <w:pPr>
              <w:jc w:val="right"/>
              <w:rPr>
                <w:b/>
                <w:bCs/>
                <w:color w:val="auto"/>
              </w:rPr>
            </w:pPr>
            <w:r>
              <w:rPr>
                <w:b/>
                <w:bCs/>
                <w:color w:val="auto"/>
              </w:rPr>
              <w:t>内容</w:t>
            </w:r>
          </w:p>
          <w:p>
            <w:pPr>
              <w:rPr>
                <w:b/>
                <w:bCs/>
                <w:color w:val="auto"/>
              </w:rPr>
            </w:pPr>
            <w:r>
              <w:rPr>
                <w:b/>
                <w:bCs/>
                <w:color w:val="auto"/>
              </w:rPr>
              <w:t>类型</w:t>
            </w:r>
          </w:p>
        </w:tc>
        <w:tc>
          <w:tcPr>
            <w:tcW w:w="1596" w:type="dxa"/>
            <w:gridSpan w:val="2"/>
            <w:noWrap w:val="0"/>
            <w:vAlign w:val="center"/>
          </w:tcPr>
          <w:p>
            <w:pPr>
              <w:jc w:val="center"/>
              <w:rPr>
                <w:b/>
                <w:bCs/>
                <w:color w:val="auto"/>
              </w:rPr>
            </w:pPr>
            <w:r>
              <w:rPr>
                <w:b/>
                <w:bCs/>
                <w:color w:val="auto"/>
              </w:rPr>
              <w:t>排放源</w:t>
            </w:r>
          </w:p>
          <w:p>
            <w:pPr>
              <w:jc w:val="center"/>
              <w:rPr>
                <w:b/>
                <w:bCs/>
                <w:color w:val="auto"/>
              </w:rPr>
            </w:pPr>
            <w:r>
              <w:rPr>
                <w:b/>
                <w:bCs/>
                <w:color w:val="auto"/>
              </w:rPr>
              <w:t>(编号)</w:t>
            </w:r>
          </w:p>
        </w:tc>
        <w:tc>
          <w:tcPr>
            <w:tcW w:w="1254" w:type="dxa"/>
            <w:noWrap w:val="0"/>
            <w:vAlign w:val="center"/>
          </w:tcPr>
          <w:p>
            <w:pPr>
              <w:jc w:val="center"/>
              <w:rPr>
                <w:b/>
                <w:bCs/>
                <w:color w:val="auto"/>
              </w:rPr>
            </w:pPr>
            <w:r>
              <w:rPr>
                <w:b/>
                <w:bCs/>
                <w:color w:val="auto"/>
              </w:rPr>
              <w:t>污染物名称</w:t>
            </w:r>
          </w:p>
        </w:tc>
        <w:tc>
          <w:tcPr>
            <w:tcW w:w="2799" w:type="dxa"/>
            <w:noWrap w:val="0"/>
            <w:vAlign w:val="center"/>
          </w:tcPr>
          <w:p>
            <w:pPr>
              <w:jc w:val="center"/>
              <w:rPr>
                <w:b/>
                <w:bCs/>
                <w:color w:val="auto"/>
              </w:rPr>
            </w:pPr>
            <w:r>
              <w:rPr>
                <w:b/>
                <w:bCs/>
                <w:color w:val="auto"/>
              </w:rPr>
              <w:t>防治措施</w:t>
            </w:r>
          </w:p>
        </w:tc>
        <w:tc>
          <w:tcPr>
            <w:tcW w:w="2768" w:type="dxa"/>
            <w:tcBorders>
              <w:bottom w:val="single" w:color="auto" w:sz="4" w:space="0"/>
            </w:tcBorders>
            <w:noWrap w:val="0"/>
            <w:vAlign w:val="center"/>
          </w:tcPr>
          <w:p>
            <w:pPr>
              <w:jc w:val="center"/>
              <w:rPr>
                <w:b/>
                <w:bCs/>
                <w:color w:val="auto"/>
                <w:highlight w:val="cyan"/>
              </w:rPr>
            </w:pPr>
            <w:r>
              <w:rPr>
                <w:b/>
                <w:bCs/>
                <w:color w:val="auto"/>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noWrap w:val="0"/>
            <w:vAlign w:val="center"/>
          </w:tcPr>
          <w:p>
            <w:pPr>
              <w:jc w:val="center"/>
              <w:rPr>
                <w:b/>
                <w:bCs/>
                <w:color w:val="auto"/>
              </w:rPr>
            </w:pPr>
            <w:r>
              <w:rPr>
                <w:b/>
                <w:bCs/>
                <w:color w:val="auto"/>
              </w:rPr>
              <w:t>大气污</w:t>
            </w:r>
          </w:p>
          <w:p>
            <w:pPr>
              <w:jc w:val="center"/>
              <w:rPr>
                <w:b/>
                <w:bCs/>
                <w:color w:val="auto"/>
              </w:rPr>
            </w:pPr>
            <w:r>
              <w:rPr>
                <w:b/>
                <w:bCs/>
                <w:color w:val="auto"/>
              </w:rPr>
              <w:t>染物</w:t>
            </w:r>
          </w:p>
        </w:tc>
        <w:tc>
          <w:tcPr>
            <w:tcW w:w="859" w:type="dxa"/>
            <w:noWrap w:val="0"/>
            <w:vAlign w:val="center"/>
          </w:tcPr>
          <w:p>
            <w:pPr>
              <w:jc w:val="center"/>
              <w:rPr>
                <w:color w:val="auto"/>
              </w:rPr>
            </w:pPr>
            <w:r>
              <w:rPr>
                <w:color w:val="auto"/>
              </w:rPr>
              <w:t>运营期</w:t>
            </w:r>
          </w:p>
        </w:tc>
        <w:tc>
          <w:tcPr>
            <w:tcW w:w="737" w:type="dxa"/>
            <w:noWrap w:val="0"/>
            <w:vAlign w:val="center"/>
          </w:tcPr>
          <w:p>
            <w:pPr>
              <w:jc w:val="center"/>
              <w:rPr>
                <w:color w:val="auto"/>
              </w:rPr>
            </w:pPr>
            <w:r>
              <w:rPr>
                <w:color w:val="auto"/>
              </w:rPr>
              <w:t>污水处理站</w:t>
            </w:r>
          </w:p>
        </w:tc>
        <w:tc>
          <w:tcPr>
            <w:tcW w:w="1254" w:type="dxa"/>
            <w:noWrap w:val="0"/>
            <w:vAlign w:val="center"/>
          </w:tcPr>
          <w:p>
            <w:pPr>
              <w:jc w:val="center"/>
              <w:rPr>
                <w:bCs/>
                <w:color w:val="auto"/>
              </w:rPr>
            </w:pPr>
            <w:r>
              <w:rPr>
                <w:bCs/>
                <w:color w:val="auto"/>
              </w:rPr>
              <w:t>NH</w:t>
            </w:r>
            <w:r>
              <w:rPr>
                <w:bCs/>
                <w:color w:val="auto"/>
                <w:vertAlign w:val="subscript"/>
              </w:rPr>
              <w:t>3</w:t>
            </w:r>
            <w:r>
              <w:rPr>
                <w:bCs/>
                <w:color w:val="auto"/>
              </w:rPr>
              <w:t>、H</w:t>
            </w:r>
            <w:r>
              <w:rPr>
                <w:bCs/>
                <w:color w:val="auto"/>
                <w:vertAlign w:val="subscript"/>
              </w:rPr>
              <w:t>2</w:t>
            </w:r>
            <w:r>
              <w:rPr>
                <w:bCs/>
                <w:color w:val="auto"/>
              </w:rPr>
              <w:t>S</w:t>
            </w:r>
          </w:p>
        </w:tc>
        <w:tc>
          <w:tcPr>
            <w:tcW w:w="2799" w:type="dxa"/>
            <w:noWrap w:val="0"/>
            <w:vAlign w:val="center"/>
          </w:tcPr>
          <w:p>
            <w:pPr>
              <w:jc w:val="center"/>
              <w:rPr>
                <w:bCs/>
                <w:color w:val="auto"/>
              </w:rPr>
            </w:pPr>
            <w:r>
              <w:rPr>
                <w:bCs/>
                <w:color w:val="auto"/>
              </w:rPr>
              <w:t>合理布局恶臭污染源；加</w:t>
            </w:r>
          </w:p>
          <w:p>
            <w:pPr>
              <w:jc w:val="center"/>
              <w:rPr>
                <w:bCs/>
                <w:color w:val="auto"/>
              </w:rPr>
            </w:pPr>
            <w:r>
              <w:rPr>
                <w:bCs/>
                <w:color w:val="auto"/>
              </w:rPr>
              <w:t>强恶臭污染源的密闭；喷</w:t>
            </w:r>
          </w:p>
          <w:p>
            <w:pPr>
              <w:jc w:val="center"/>
              <w:rPr>
                <w:bCs/>
                <w:color w:val="auto"/>
              </w:rPr>
            </w:pPr>
            <w:r>
              <w:rPr>
                <w:bCs/>
                <w:color w:val="auto"/>
              </w:rPr>
              <w:t>洒生物除臭剂、及时运输</w:t>
            </w:r>
          </w:p>
          <w:p>
            <w:pPr>
              <w:jc w:val="center"/>
              <w:rPr>
                <w:bCs/>
                <w:color w:val="auto"/>
              </w:rPr>
            </w:pPr>
            <w:r>
              <w:rPr>
                <w:bCs/>
                <w:color w:val="auto"/>
              </w:rPr>
              <w:t>和处置污泥等恶臭物质；加强厂区绿化</w:t>
            </w:r>
          </w:p>
        </w:tc>
        <w:tc>
          <w:tcPr>
            <w:tcW w:w="2768" w:type="dxa"/>
            <w:tcBorders>
              <w:top w:val="single" w:color="auto" w:sz="4" w:space="0"/>
            </w:tcBorders>
            <w:noWrap w:val="0"/>
            <w:vAlign w:val="center"/>
          </w:tcPr>
          <w:p>
            <w:pPr>
              <w:spacing w:line="300" w:lineRule="exact"/>
              <w:jc w:val="center"/>
              <w:rPr>
                <w:color w:val="auto"/>
                <w:highlight w:val="cyan"/>
              </w:rPr>
            </w:pPr>
            <w:r>
              <w:rPr>
                <w:rFonts w:hint="eastAsia"/>
                <w:color w:val="auto"/>
              </w:rPr>
              <w:t>《恶臭污染物排放标准》（GB14554-93）二级标准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noWrap w:val="0"/>
            <w:vAlign w:val="center"/>
          </w:tcPr>
          <w:p>
            <w:pPr>
              <w:jc w:val="center"/>
              <w:rPr>
                <w:b/>
                <w:bCs/>
                <w:color w:val="auto"/>
              </w:rPr>
            </w:pPr>
            <w:r>
              <w:rPr>
                <w:b/>
                <w:bCs/>
                <w:color w:val="auto"/>
              </w:rPr>
              <w:t>水污染</w:t>
            </w:r>
          </w:p>
          <w:p>
            <w:pPr>
              <w:jc w:val="center"/>
              <w:rPr>
                <w:b/>
                <w:bCs/>
                <w:color w:val="auto"/>
                <w:highlight w:val="cyan"/>
              </w:rPr>
            </w:pPr>
            <w:r>
              <w:rPr>
                <w:b/>
                <w:bCs/>
                <w:color w:val="auto"/>
              </w:rPr>
              <w:t>物</w:t>
            </w:r>
          </w:p>
        </w:tc>
        <w:tc>
          <w:tcPr>
            <w:tcW w:w="859" w:type="dxa"/>
            <w:noWrap w:val="0"/>
            <w:vAlign w:val="center"/>
          </w:tcPr>
          <w:p>
            <w:pPr>
              <w:jc w:val="center"/>
              <w:rPr>
                <w:color w:val="auto"/>
              </w:rPr>
            </w:pPr>
            <w:r>
              <w:rPr>
                <w:color w:val="auto"/>
              </w:rPr>
              <w:t>运营期</w:t>
            </w:r>
          </w:p>
        </w:tc>
        <w:tc>
          <w:tcPr>
            <w:tcW w:w="737" w:type="dxa"/>
            <w:noWrap w:val="0"/>
            <w:vAlign w:val="center"/>
          </w:tcPr>
          <w:p>
            <w:pPr>
              <w:jc w:val="center"/>
              <w:rPr>
                <w:color w:val="auto"/>
              </w:rPr>
            </w:pPr>
            <w:r>
              <w:rPr>
                <w:color w:val="auto"/>
              </w:rPr>
              <w:t>生活污水</w:t>
            </w:r>
          </w:p>
        </w:tc>
        <w:tc>
          <w:tcPr>
            <w:tcW w:w="1254" w:type="dxa"/>
            <w:noWrap w:val="0"/>
            <w:vAlign w:val="center"/>
          </w:tcPr>
          <w:p>
            <w:pPr>
              <w:jc w:val="center"/>
              <w:rPr>
                <w:bCs/>
                <w:color w:val="auto"/>
              </w:rPr>
            </w:pPr>
            <w:r>
              <w:rPr>
                <w:bCs/>
                <w:color w:val="auto"/>
              </w:rPr>
              <w:t>COD</w:t>
            </w:r>
            <w:r>
              <w:rPr>
                <w:bCs/>
                <w:color w:val="auto"/>
                <w:vertAlign w:val="subscript"/>
              </w:rPr>
              <w:t>Cr</w:t>
            </w:r>
            <w:r>
              <w:rPr>
                <w:bCs/>
                <w:color w:val="auto"/>
              </w:rPr>
              <w:t>、BOD</w:t>
            </w:r>
            <w:r>
              <w:rPr>
                <w:bCs/>
                <w:color w:val="auto"/>
                <w:vertAlign w:val="subscript"/>
              </w:rPr>
              <w:t>5</w:t>
            </w:r>
            <w:r>
              <w:rPr>
                <w:bCs/>
                <w:color w:val="auto"/>
              </w:rPr>
              <w:t>、SS、NH</w:t>
            </w:r>
            <w:r>
              <w:rPr>
                <w:bCs/>
                <w:color w:val="auto"/>
                <w:vertAlign w:val="subscript"/>
              </w:rPr>
              <w:t>3</w:t>
            </w:r>
            <w:r>
              <w:rPr>
                <w:bCs/>
                <w:color w:val="auto"/>
              </w:rPr>
              <w:t>-N、TN、TP</w:t>
            </w:r>
          </w:p>
        </w:tc>
        <w:tc>
          <w:tcPr>
            <w:tcW w:w="2799" w:type="dxa"/>
            <w:noWrap w:val="0"/>
            <w:vAlign w:val="center"/>
          </w:tcPr>
          <w:p>
            <w:pPr>
              <w:jc w:val="center"/>
              <w:rPr>
                <w:bCs/>
                <w:color w:val="auto"/>
              </w:rPr>
            </w:pPr>
            <w:r>
              <w:rPr>
                <w:bCs/>
                <w:color w:val="auto"/>
              </w:rPr>
              <w:t>采用“化粪池1+MBR一体化设备”处理工艺，日处理规模为60m</w:t>
            </w:r>
            <w:r>
              <w:rPr>
                <w:bCs/>
                <w:color w:val="auto"/>
                <w:vertAlign w:val="superscript"/>
              </w:rPr>
              <w:t>3</w:t>
            </w:r>
            <w:r>
              <w:rPr>
                <w:bCs/>
                <w:color w:val="auto"/>
              </w:rPr>
              <w:t>/d；“化粪池2+人工湿地”处理工艺，日处理规模为6m</w:t>
            </w:r>
            <w:r>
              <w:rPr>
                <w:bCs/>
                <w:color w:val="auto"/>
                <w:vertAlign w:val="superscript"/>
              </w:rPr>
              <w:t>3</w:t>
            </w:r>
            <w:r>
              <w:rPr>
                <w:bCs/>
                <w:color w:val="auto"/>
              </w:rPr>
              <w:t>/d；“化粪池3+人工湿地”处理工艺，日处理规模为10m</w:t>
            </w:r>
            <w:r>
              <w:rPr>
                <w:bCs/>
                <w:color w:val="auto"/>
                <w:vertAlign w:val="superscript"/>
              </w:rPr>
              <w:t>3</w:t>
            </w:r>
            <w:r>
              <w:rPr>
                <w:bCs/>
                <w:color w:val="auto"/>
              </w:rPr>
              <w:t>/d</w:t>
            </w:r>
          </w:p>
        </w:tc>
        <w:tc>
          <w:tcPr>
            <w:tcW w:w="2768" w:type="dxa"/>
            <w:noWrap w:val="0"/>
            <w:vAlign w:val="center"/>
          </w:tcPr>
          <w:p>
            <w:pPr>
              <w:jc w:val="center"/>
              <w:rPr>
                <w:rFonts w:hint="eastAsia"/>
                <w:color w:val="auto"/>
              </w:rPr>
            </w:pPr>
            <w:r>
              <w:rPr>
                <w:rFonts w:hint="eastAsia"/>
                <w:color w:val="auto"/>
              </w:rPr>
              <w:t>一体化设备</w:t>
            </w:r>
            <w:r>
              <w:rPr>
                <w:color w:val="auto"/>
              </w:rPr>
              <w:t>达到《农村生活污水处理设施水污染物排放标准》（DB51/2626-2019）一级标准</w:t>
            </w:r>
            <w:r>
              <w:rPr>
                <w:rFonts w:hint="eastAsia"/>
                <w:color w:val="auto"/>
              </w:rPr>
              <w:t>；化粪池+人工湿地处理后的污水进行综合利用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vMerge w:val="restart"/>
            <w:noWrap w:val="0"/>
            <w:vAlign w:val="center"/>
          </w:tcPr>
          <w:p>
            <w:pPr>
              <w:jc w:val="center"/>
              <w:rPr>
                <w:b/>
                <w:bCs/>
                <w:color w:val="auto"/>
              </w:rPr>
            </w:pPr>
            <w:r>
              <w:rPr>
                <w:b/>
                <w:bCs/>
                <w:color w:val="auto"/>
              </w:rPr>
              <w:t>固体废</w:t>
            </w:r>
          </w:p>
          <w:p>
            <w:pPr>
              <w:jc w:val="center"/>
              <w:rPr>
                <w:b/>
                <w:bCs/>
                <w:color w:val="auto"/>
              </w:rPr>
            </w:pPr>
            <w:r>
              <w:rPr>
                <w:b/>
                <w:bCs/>
                <w:color w:val="auto"/>
              </w:rPr>
              <w:t>物</w:t>
            </w:r>
          </w:p>
        </w:tc>
        <w:tc>
          <w:tcPr>
            <w:tcW w:w="859" w:type="dxa"/>
            <w:vMerge w:val="restart"/>
            <w:noWrap w:val="0"/>
            <w:vAlign w:val="center"/>
          </w:tcPr>
          <w:p>
            <w:pPr>
              <w:jc w:val="center"/>
              <w:rPr>
                <w:color w:val="auto"/>
              </w:rPr>
            </w:pPr>
            <w:r>
              <w:rPr>
                <w:color w:val="auto"/>
              </w:rPr>
              <w:t>运营期</w:t>
            </w:r>
          </w:p>
        </w:tc>
        <w:tc>
          <w:tcPr>
            <w:tcW w:w="737" w:type="dxa"/>
            <w:noWrap w:val="0"/>
            <w:vAlign w:val="center"/>
          </w:tcPr>
          <w:p>
            <w:pPr>
              <w:jc w:val="center"/>
              <w:rPr>
                <w:color w:val="auto"/>
              </w:rPr>
            </w:pPr>
            <w:r>
              <w:rPr>
                <w:color w:val="auto"/>
              </w:rPr>
              <w:t>格栅</w:t>
            </w:r>
          </w:p>
        </w:tc>
        <w:tc>
          <w:tcPr>
            <w:tcW w:w="1254" w:type="dxa"/>
            <w:noWrap w:val="0"/>
            <w:vAlign w:val="center"/>
          </w:tcPr>
          <w:p>
            <w:pPr>
              <w:pStyle w:val="45"/>
              <w:spacing w:line="240" w:lineRule="auto"/>
              <w:ind w:left="-48" w:right="-48"/>
              <w:rPr>
                <w:snapToGrid/>
                <w:color w:val="auto"/>
                <w:kern w:val="2"/>
                <w:szCs w:val="24"/>
              </w:rPr>
            </w:pPr>
            <w:r>
              <w:rPr>
                <w:snapToGrid/>
                <w:color w:val="auto"/>
                <w:kern w:val="2"/>
                <w:szCs w:val="24"/>
              </w:rPr>
              <w:t>栅渣</w:t>
            </w:r>
          </w:p>
        </w:tc>
        <w:tc>
          <w:tcPr>
            <w:tcW w:w="2799" w:type="dxa"/>
            <w:noWrap w:val="0"/>
            <w:vAlign w:val="center"/>
          </w:tcPr>
          <w:p>
            <w:pPr>
              <w:pStyle w:val="45"/>
              <w:spacing w:line="240" w:lineRule="auto"/>
              <w:ind w:left="-48" w:right="-48"/>
              <w:rPr>
                <w:snapToGrid/>
                <w:color w:val="auto"/>
                <w:kern w:val="2"/>
                <w:szCs w:val="24"/>
              </w:rPr>
            </w:pPr>
            <w:r>
              <w:rPr>
                <w:snapToGrid/>
                <w:color w:val="auto"/>
                <w:kern w:val="2"/>
                <w:szCs w:val="24"/>
              </w:rPr>
              <w:t>环卫部门统一清运</w:t>
            </w:r>
          </w:p>
        </w:tc>
        <w:tc>
          <w:tcPr>
            <w:tcW w:w="2768" w:type="dxa"/>
            <w:vMerge w:val="restart"/>
            <w:noWrap w:val="0"/>
            <w:vAlign w:val="center"/>
          </w:tcPr>
          <w:p>
            <w:pPr>
              <w:jc w:val="center"/>
              <w:rPr>
                <w:color w:val="auto"/>
              </w:rPr>
            </w:pPr>
            <w:r>
              <w:rPr>
                <w:color w:val="auto"/>
              </w:rPr>
              <w:t>无害化处理率100%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vMerge w:val="continue"/>
            <w:noWrap w:val="0"/>
            <w:vAlign w:val="center"/>
          </w:tcPr>
          <w:p>
            <w:pPr>
              <w:jc w:val="center"/>
              <w:rPr>
                <w:b/>
                <w:bCs/>
                <w:color w:val="auto"/>
              </w:rPr>
            </w:pPr>
          </w:p>
        </w:tc>
        <w:tc>
          <w:tcPr>
            <w:tcW w:w="859" w:type="dxa"/>
            <w:vMerge w:val="continue"/>
            <w:noWrap w:val="0"/>
            <w:vAlign w:val="center"/>
          </w:tcPr>
          <w:p>
            <w:pPr>
              <w:jc w:val="center"/>
              <w:rPr>
                <w:color w:val="auto"/>
              </w:rPr>
            </w:pPr>
          </w:p>
        </w:tc>
        <w:tc>
          <w:tcPr>
            <w:tcW w:w="737" w:type="dxa"/>
            <w:noWrap w:val="0"/>
            <w:vAlign w:val="center"/>
          </w:tcPr>
          <w:p>
            <w:pPr>
              <w:jc w:val="center"/>
              <w:rPr>
                <w:color w:val="auto"/>
              </w:rPr>
            </w:pPr>
            <w:r>
              <w:rPr>
                <w:color w:val="auto"/>
              </w:rPr>
              <w:t>职工生活</w:t>
            </w:r>
          </w:p>
        </w:tc>
        <w:tc>
          <w:tcPr>
            <w:tcW w:w="1254" w:type="dxa"/>
            <w:noWrap w:val="0"/>
            <w:vAlign w:val="center"/>
          </w:tcPr>
          <w:p>
            <w:pPr>
              <w:pStyle w:val="45"/>
              <w:spacing w:line="240" w:lineRule="auto"/>
              <w:ind w:left="-48" w:right="-48"/>
              <w:rPr>
                <w:snapToGrid/>
                <w:color w:val="auto"/>
                <w:kern w:val="2"/>
                <w:szCs w:val="24"/>
              </w:rPr>
            </w:pPr>
            <w:r>
              <w:rPr>
                <w:snapToGrid/>
                <w:color w:val="auto"/>
                <w:kern w:val="2"/>
                <w:szCs w:val="24"/>
              </w:rPr>
              <w:t>生活垃圾</w:t>
            </w:r>
          </w:p>
        </w:tc>
        <w:tc>
          <w:tcPr>
            <w:tcW w:w="2799" w:type="dxa"/>
            <w:noWrap w:val="0"/>
            <w:vAlign w:val="center"/>
          </w:tcPr>
          <w:p>
            <w:pPr>
              <w:pStyle w:val="45"/>
              <w:spacing w:line="240" w:lineRule="auto"/>
              <w:ind w:left="-48" w:right="-48"/>
              <w:rPr>
                <w:snapToGrid/>
                <w:color w:val="auto"/>
                <w:kern w:val="2"/>
                <w:szCs w:val="24"/>
              </w:rPr>
            </w:pPr>
            <w:r>
              <w:rPr>
                <w:snapToGrid/>
                <w:color w:val="auto"/>
                <w:kern w:val="2"/>
                <w:szCs w:val="24"/>
              </w:rPr>
              <w:t>环卫部门统一清运</w:t>
            </w:r>
          </w:p>
        </w:tc>
        <w:tc>
          <w:tcPr>
            <w:tcW w:w="2768" w:type="dxa"/>
            <w:vMerge w:val="continue"/>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vMerge w:val="continue"/>
            <w:noWrap w:val="0"/>
            <w:vAlign w:val="center"/>
          </w:tcPr>
          <w:p>
            <w:pPr>
              <w:jc w:val="center"/>
              <w:rPr>
                <w:b/>
                <w:bCs/>
                <w:color w:val="auto"/>
              </w:rPr>
            </w:pPr>
          </w:p>
        </w:tc>
        <w:tc>
          <w:tcPr>
            <w:tcW w:w="859" w:type="dxa"/>
            <w:vMerge w:val="continue"/>
            <w:noWrap w:val="0"/>
            <w:vAlign w:val="center"/>
          </w:tcPr>
          <w:p>
            <w:pPr>
              <w:jc w:val="center"/>
              <w:rPr>
                <w:color w:val="auto"/>
              </w:rPr>
            </w:pPr>
          </w:p>
        </w:tc>
        <w:tc>
          <w:tcPr>
            <w:tcW w:w="737" w:type="dxa"/>
            <w:noWrap w:val="0"/>
            <w:vAlign w:val="center"/>
          </w:tcPr>
          <w:p>
            <w:pPr>
              <w:jc w:val="center"/>
              <w:rPr>
                <w:color w:val="auto"/>
              </w:rPr>
            </w:pPr>
            <w:r>
              <w:rPr>
                <w:rFonts w:hint="eastAsia"/>
                <w:color w:val="auto"/>
              </w:rPr>
              <w:t>人工湿地</w:t>
            </w:r>
          </w:p>
        </w:tc>
        <w:tc>
          <w:tcPr>
            <w:tcW w:w="1254" w:type="dxa"/>
            <w:noWrap w:val="0"/>
            <w:vAlign w:val="center"/>
          </w:tcPr>
          <w:p>
            <w:pPr>
              <w:pStyle w:val="45"/>
              <w:spacing w:line="240" w:lineRule="auto"/>
              <w:ind w:left="-48" w:right="-48"/>
              <w:rPr>
                <w:snapToGrid/>
                <w:color w:val="auto"/>
                <w:kern w:val="2"/>
                <w:szCs w:val="24"/>
              </w:rPr>
            </w:pPr>
            <w:r>
              <w:rPr>
                <w:rFonts w:hint="eastAsia"/>
                <w:color w:val="auto"/>
              </w:rPr>
              <w:t>枯枝败叶</w:t>
            </w:r>
          </w:p>
        </w:tc>
        <w:tc>
          <w:tcPr>
            <w:tcW w:w="2799" w:type="dxa"/>
            <w:noWrap w:val="0"/>
            <w:vAlign w:val="center"/>
          </w:tcPr>
          <w:p>
            <w:pPr>
              <w:pStyle w:val="45"/>
              <w:spacing w:line="240" w:lineRule="auto"/>
              <w:ind w:left="-48" w:right="-48"/>
              <w:rPr>
                <w:snapToGrid/>
                <w:color w:val="auto"/>
                <w:kern w:val="2"/>
                <w:szCs w:val="24"/>
              </w:rPr>
            </w:pPr>
            <w:r>
              <w:rPr>
                <w:rFonts w:hint="eastAsia"/>
                <w:color w:val="auto"/>
              </w:rPr>
              <w:t>收集晒干后交由当地居民用作生物燃料</w:t>
            </w:r>
          </w:p>
        </w:tc>
        <w:tc>
          <w:tcPr>
            <w:tcW w:w="2768" w:type="dxa"/>
            <w:vMerge w:val="continue"/>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823" w:type="dxa"/>
            <w:vMerge w:val="continue"/>
            <w:noWrap w:val="0"/>
            <w:vAlign w:val="center"/>
          </w:tcPr>
          <w:p>
            <w:pPr>
              <w:jc w:val="center"/>
              <w:rPr>
                <w:b/>
                <w:bCs/>
                <w:color w:val="auto"/>
              </w:rPr>
            </w:pPr>
          </w:p>
        </w:tc>
        <w:tc>
          <w:tcPr>
            <w:tcW w:w="859" w:type="dxa"/>
            <w:vMerge w:val="continue"/>
            <w:noWrap w:val="0"/>
            <w:vAlign w:val="center"/>
          </w:tcPr>
          <w:p>
            <w:pPr>
              <w:jc w:val="center"/>
              <w:rPr>
                <w:color w:val="auto"/>
              </w:rPr>
            </w:pPr>
          </w:p>
        </w:tc>
        <w:tc>
          <w:tcPr>
            <w:tcW w:w="737" w:type="dxa"/>
            <w:vMerge w:val="restart"/>
            <w:noWrap w:val="0"/>
            <w:vAlign w:val="center"/>
          </w:tcPr>
          <w:p>
            <w:pPr>
              <w:jc w:val="center"/>
              <w:rPr>
                <w:color w:val="auto"/>
              </w:rPr>
            </w:pPr>
            <w:r>
              <w:rPr>
                <w:color w:val="auto"/>
              </w:rPr>
              <w:t>MBR池</w:t>
            </w:r>
          </w:p>
        </w:tc>
        <w:tc>
          <w:tcPr>
            <w:tcW w:w="1254" w:type="dxa"/>
            <w:noWrap w:val="0"/>
            <w:vAlign w:val="center"/>
          </w:tcPr>
          <w:p>
            <w:pPr>
              <w:pStyle w:val="45"/>
              <w:spacing w:line="240" w:lineRule="auto"/>
              <w:ind w:left="-48" w:right="-48"/>
              <w:rPr>
                <w:snapToGrid/>
                <w:color w:val="auto"/>
                <w:kern w:val="2"/>
                <w:szCs w:val="24"/>
              </w:rPr>
            </w:pPr>
            <w:r>
              <w:rPr>
                <w:snapToGrid/>
                <w:color w:val="auto"/>
                <w:kern w:val="2"/>
                <w:szCs w:val="24"/>
              </w:rPr>
              <w:t>污泥</w:t>
            </w:r>
          </w:p>
        </w:tc>
        <w:tc>
          <w:tcPr>
            <w:tcW w:w="2799" w:type="dxa"/>
            <w:noWrap w:val="0"/>
            <w:vAlign w:val="center"/>
          </w:tcPr>
          <w:p>
            <w:pPr>
              <w:pStyle w:val="45"/>
              <w:spacing w:line="240" w:lineRule="auto"/>
              <w:ind w:left="-48" w:right="-48"/>
              <w:rPr>
                <w:snapToGrid/>
                <w:color w:val="auto"/>
                <w:kern w:val="2"/>
                <w:szCs w:val="24"/>
              </w:rPr>
            </w:pPr>
            <w:r>
              <w:rPr>
                <w:bCs/>
                <w:color w:val="auto"/>
                <w:szCs w:val="24"/>
              </w:rPr>
              <w:t>经吸粪车转运至峨边县城市生活污水处理厂处理</w:t>
            </w:r>
          </w:p>
        </w:tc>
        <w:tc>
          <w:tcPr>
            <w:tcW w:w="2768" w:type="dxa"/>
            <w:vMerge w:val="continue"/>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3" w:hRule="atLeast"/>
          <w:jc w:val="center"/>
        </w:trPr>
        <w:tc>
          <w:tcPr>
            <w:tcW w:w="823" w:type="dxa"/>
            <w:vMerge w:val="continue"/>
            <w:noWrap w:val="0"/>
            <w:vAlign w:val="center"/>
          </w:tcPr>
          <w:p>
            <w:pPr>
              <w:pStyle w:val="45"/>
              <w:spacing w:line="240" w:lineRule="auto"/>
              <w:ind w:left="-48" w:right="-48"/>
              <w:rPr>
                <w:color w:val="auto"/>
              </w:rPr>
            </w:pPr>
          </w:p>
        </w:tc>
        <w:tc>
          <w:tcPr>
            <w:tcW w:w="859" w:type="dxa"/>
            <w:vMerge w:val="continue"/>
            <w:noWrap w:val="0"/>
            <w:vAlign w:val="center"/>
          </w:tcPr>
          <w:p>
            <w:pPr>
              <w:pStyle w:val="45"/>
              <w:spacing w:line="240" w:lineRule="auto"/>
              <w:ind w:left="-48" w:right="-48"/>
              <w:rPr>
                <w:color w:val="auto"/>
              </w:rPr>
            </w:pPr>
          </w:p>
        </w:tc>
        <w:tc>
          <w:tcPr>
            <w:tcW w:w="737" w:type="dxa"/>
            <w:vMerge w:val="continue"/>
            <w:noWrap w:val="0"/>
            <w:vAlign w:val="center"/>
          </w:tcPr>
          <w:p>
            <w:pPr>
              <w:jc w:val="center"/>
              <w:rPr>
                <w:color w:val="auto"/>
              </w:rPr>
            </w:pPr>
          </w:p>
        </w:tc>
        <w:tc>
          <w:tcPr>
            <w:tcW w:w="1254" w:type="dxa"/>
            <w:noWrap w:val="0"/>
            <w:vAlign w:val="center"/>
          </w:tcPr>
          <w:p>
            <w:pPr>
              <w:pStyle w:val="45"/>
              <w:spacing w:line="240" w:lineRule="auto"/>
              <w:ind w:left="-48" w:right="-48"/>
              <w:rPr>
                <w:color w:val="auto"/>
              </w:rPr>
            </w:pPr>
            <w:r>
              <w:rPr>
                <w:color w:val="auto"/>
              </w:rPr>
              <w:t>废旧填料</w:t>
            </w:r>
          </w:p>
        </w:tc>
        <w:tc>
          <w:tcPr>
            <w:tcW w:w="2799" w:type="dxa"/>
            <w:noWrap w:val="0"/>
            <w:vAlign w:val="center"/>
          </w:tcPr>
          <w:p>
            <w:pPr>
              <w:pStyle w:val="79"/>
              <w:rPr>
                <w:color w:val="auto"/>
              </w:rPr>
            </w:pPr>
            <w:r>
              <w:rPr>
                <w:color w:val="auto"/>
                <w:sz w:val="24"/>
              </w:rPr>
              <w:t>交由厂家回收处理</w:t>
            </w:r>
          </w:p>
        </w:tc>
        <w:tc>
          <w:tcPr>
            <w:tcW w:w="2768" w:type="dxa"/>
            <w:vMerge w:val="continue"/>
            <w:noWrap w:val="0"/>
            <w:vAlign w:val="center"/>
          </w:tcPr>
          <w:p>
            <w:pPr>
              <w:pStyle w:val="45"/>
              <w:spacing w:line="240" w:lineRule="auto"/>
              <w:ind w:left="-48" w:right="-4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823" w:type="dxa"/>
            <w:noWrap w:val="0"/>
            <w:vAlign w:val="center"/>
          </w:tcPr>
          <w:p>
            <w:pPr>
              <w:jc w:val="center"/>
              <w:rPr>
                <w:b/>
                <w:bCs/>
                <w:color w:val="auto"/>
              </w:rPr>
            </w:pPr>
            <w:r>
              <w:rPr>
                <w:b/>
                <w:bCs/>
                <w:color w:val="auto"/>
              </w:rPr>
              <w:t>噪声</w:t>
            </w:r>
          </w:p>
        </w:tc>
        <w:tc>
          <w:tcPr>
            <w:tcW w:w="8417" w:type="dxa"/>
            <w:gridSpan w:val="5"/>
            <w:noWrap w:val="0"/>
            <w:vAlign w:val="center"/>
          </w:tcPr>
          <w:p>
            <w:pPr>
              <w:jc w:val="center"/>
              <w:rPr>
                <w:color w:val="auto"/>
              </w:rPr>
            </w:pPr>
            <w:r>
              <w:rPr>
                <w:snapToGrid w:val="0"/>
                <w:color w:val="auto"/>
                <w:kern w:val="0"/>
              </w:rPr>
              <w:t>通过选用低噪声设备，加强厂区周围的绿化，同时对噪声设备采用隔音、消声、减震、绿化屏蔽和距离衰减等降噪措施后，预计对声环境影响不大。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9240" w:type="dxa"/>
            <w:gridSpan w:val="6"/>
            <w:noWrap w:val="0"/>
            <w:vAlign w:val="center"/>
          </w:tcPr>
          <w:p>
            <w:pPr>
              <w:adjustRightInd w:val="0"/>
              <w:snapToGrid w:val="0"/>
              <w:spacing w:line="360" w:lineRule="auto"/>
              <w:rPr>
                <w:rFonts w:eastAsia="黑体"/>
                <w:color w:val="auto"/>
                <w:sz w:val="28"/>
                <w:szCs w:val="28"/>
              </w:rPr>
            </w:pPr>
            <w:r>
              <w:rPr>
                <w:rFonts w:eastAsia="黑体"/>
                <w:color w:val="auto"/>
                <w:sz w:val="28"/>
                <w:szCs w:val="28"/>
              </w:rPr>
              <w:t>生态保护措施及预期效果：</w:t>
            </w:r>
          </w:p>
          <w:p>
            <w:pPr>
              <w:adjustRightInd w:val="0"/>
              <w:snapToGrid w:val="0"/>
              <w:spacing w:line="360" w:lineRule="auto"/>
              <w:ind w:firstLine="480" w:firstLineChars="200"/>
              <w:jc w:val="left"/>
              <w:rPr>
                <w:color w:val="auto"/>
              </w:rPr>
            </w:pPr>
            <w:r>
              <w:rPr>
                <w:color w:val="auto"/>
              </w:rPr>
              <w:t>本工程对生态环境的影响主要在施工期，随着项目的运营，将原未处理的农村生活污水处理后排放，在改善当地水环境质量的同时，对区域水生生态也有一定的环境正效益。</w:t>
            </w:r>
          </w:p>
          <w:p>
            <w:pPr>
              <w:adjustRightInd w:val="0"/>
              <w:snapToGrid w:val="0"/>
              <w:spacing w:line="360" w:lineRule="auto"/>
              <w:ind w:firstLine="480" w:firstLineChars="200"/>
              <w:jc w:val="left"/>
              <w:rPr>
                <w:color w:val="auto"/>
              </w:rPr>
            </w:pPr>
            <w:r>
              <w:rPr>
                <w:color w:val="auto"/>
              </w:rPr>
              <w:t>本项目建设区域内无成片原生林和次生林分布，无天然珍稀野生动植物及古、大、珍、奇树木分布，不涉及自然保护区、风景名胜区的敏感点。施工期结束后应将区域生态已恢复至项目建设前水平。</w:t>
            </w:r>
          </w:p>
          <w:p>
            <w:pPr>
              <w:adjustRightInd w:val="0"/>
              <w:snapToGrid w:val="0"/>
              <w:spacing w:line="360" w:lineRule="auto"/>
              <w:jc w:val="center"/>
              <w:rPr>
                <w:color w:val="auto"/>
              </w:rPr>
            </w:pPr>
          </w:p>
          <w:p>
            <w:pPr>
              <w:jc w:val="center"/>
              <w:rPr>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rPr>
                <w:color w:val="auto"/>
              </w:rPr>
            </w:pPr>
          </w:p>
        </w:tc>
      </w:tr>
    </w:tbl>
    <w:p>
      <w:pPr>
        <w:outlineLvl w:val="0"/>
        <w:rPr>
          <w:rFonts w:eastAsia="黑体"/>
          <w:color w:val="auto"/>
          <w:sz w:val="32"/>
          <w:szCs w:val="32"/>
        </w:rPr>
        <w:sectPr>
          <w:pgSz w:w="11906" w:h="16838"/>
          <w:pgMar w:top="1440" w:right="1418" w:bottom="1440" w:left="1418" w:header="851" w:footer="851" w:gutter="0"/>
          <w:pgBorders w:offsetFrom="page">
            <w:top w:val="none" w:sz="0" w:space="0"/>
            <w:left w:val="none" w:sz="0" w:space="0"/>
            <w:bottom w:val="none" w:sz="0" w:space="0"/>
            <w:right w:val="none" w:sz="0" w:space="0"/>
          </w:pgBorders>
          <w:cols w:space="720" w:num="1"/>
          <w:docGrid w:type="lines" w:linePitch="312" w:charSpace="0"/>
        </w:sectPr>
      </w:pPr>
    </w:p>
    <w:p>
      <w:pPr>
        <w:outlineLvl w:val="0"/>
        <w:rPr>
          <w:rFonts w:eastAsia="黑体"/>
          <w:color w:val="auto"/>
          <w:sz w:val="32"/>
          <w:szCs w:val="32"/>
        </w:rPr>
      </w:pPr>
      <w:r>
        <w:rPr>
          <w:rFonts w:eastAsia="黑体"/>
          <w:color w:val="auto"/>
          <w:sz w:val="32"/>
          <w:szCs w:val="32"/>
        </w:rPr>
        <w:t>结论与建议（表九）</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046" w:type="dxa"/>
            <w:noWrap w:val="0"/>
            <w:vAlign w:val="top"/>
          </w:tcPr>
          <w:p>
            <w:pPr>
              <w:spacing w:line="360" w:lineRule="auto"/>
              <w:jc w:val="left"/>
              <w:rPr>
                <w:color w:val="auto"/>
              </w:rPr>
            </w:pPr>
            <w:r>
              <w:rPr>
                <w:color w:val="auto"/>
              </w:rPr>
              <w:t>一、结论</w:t>
            </w:r>
          </w:p>
          <w:p>
            <w:pPr>
              <w:adjustRightInd w:val="0"/>
              <w:snapToGrid w:val="0"/>
              <w:spacing w:line="360" w:lineRule="auto"/>
              <w:ind w:firstLine="480" w:firstLineChars="200"/>
              <w:rPr>
                <w:rFonts w:hint="eastAsia"/>
                <w:color w:val="auto"/>
              </w:rPr>
            </w:pPr>
            <w:r>
              <w:rPr>
                <w:rFonts w:hint="eastAsia"/>
                <w:color w:val="auto"/>
              </w:rPr>
              <w:t>1、项目概况</w:t>
            </w:r>
          </w:p>
          <w:p>
            <w:pPr>
              <w:adjustRightInd w:val="0"/>
              <w:snapToGrid w:val="0"/>
              <w:spacing w:line="360" w:lineRule="auto"/>
              <w:ind w:firstLine="480" w:firstLineChars="200"/>
              <w:rPr>
                <w:rFonts w:hint="eastAsia"/>
                <w:color w:val="auto"/>
              </w:rPr>
            </w:pPr>
            <w:r>
              <w:rPr>
                <w:color w:val="auto"/>
              </w:rPr>
              <w:t>峨边彝族自治县宜坪乡桐花村农村生活污水治理项目</w:t>
            </w:r>
            <w:r>
              <w:rPr>
                <w:rFonts w:hint="eastAsia"/>
                <w:color w:val="auto"/>
              </w:rPr>
              <w:t>位于</w:t>
            </w:r>
            <w:r>
              <w:rPr>
                <w:color w:val="auto"/>
              </w:rPr>
              <w:t>峨边彝族自治县宜坪乡桐花村</w:t>
            </w:r>
            <w:r>
              <w:rPr>
                <w:rFonts w:hint="eastAsia"/>
                <w:color w:val="auto"/>
              </w:rPr>
              <w:t>，</w:t>
            </w:r>
            <w:r>
              <w:rPr>
                <w:color w:val="auto"/>
              </w:rPr>
              <w:t>本项目总占地面积约为420m</w:t>
            </w:r>
            <w:r>
              <w:rPr>
                <w:color w:val="auto"/>
                <w:vertAlign w:val="superscript"/>
              </w:rPr>
              <w:t>2</w:t>
            </w:r>
            <w:r>
              <w:rPr>
                <w:color w:val="auto"/>
              </w:rPr>
              <w:t>，主要建设内容为：新建3座化粪池，1座MBR生物膜一体化设备和2座人工湿地。</w:t>
            </w:r>
            <w:r>
              <w:rPr>
                <w:rFonts w:hint="eastAsia"/>
                <w:color w:val="auto"/>
              </w:rPr>
              <w:t>本项目总投资</w:t>
            </w:r>
            <w:r>
              <w:rPr>
                <w:color w:val="auto"/>
              </w:rPr>
              <w:t>178</w:t>
            </w:r>
            <w:r>
              <w:rPr>
                <w:rFonts w:hint="eastAsia"/>
                <w:color w:val="auto"/>
              </w:rPr>
              <w:t>万元，其中二次环保投资8.5万元，占总投资的</w:t>
            </w:r>
            <w:r>
              <w:rPr>
                <w:color w:val="auto"/>
              </w:rPr>
              <w:t>4.7</w:t>
            </w:r>
            <w:r>
              <w:rPr>
                <w:rFonts w:hint="eastAsia"/>
                <w:color w:val="auto"/>
              </w:rPr>
              <w:t>%。</w:t>
            </w:r>
          </w:p>
          <w:p>
            <w:pPr>
              <w:pStyle w:val="16"/>
              <w:adjustRightInd w:val="0"/>
              <w:snapToGrid w:val="0"/>
              <w:spacing w:before="0"/>
              <w:ind w:firstLine="480" w:firstLineChars="200"/>
              <w:rPr>
                <w:rFonts w:hint="default" w:ascii="Times New Roman" w:hAnsi="Times New Roman"/>
                <w:color w:val="auto"/>
                <w:sz w:val="24"/>
                <w:szCs w:val="24"/>
              </w:rPr>
            </w:pPr>
            <w:r>
              <w:rPr>
                <w:rFonts w:ascii="Times New Roman" w:hAnsi="Times New Roman"/>
                <w:color w:val="auto"/>
                <w:sz w:val="24"/>
                <w:szCs w:val="24"/>
              </w:rPr>
              <w:t>2</w:t>
            </w:r>
            <w:r>
              <w:rPr>
                <w:rFonts w:hint="default" w:ascii="Times New Roman" w:hAnsi="Times New Roman"/>
                <w:color w:val="auto"/>
                <w:sz w:val="24"/>
                <w:szCs w:val="24"/>
              </w:rPr>
              <w:t>、产业政策符合性</w:t>
            </w:r>
          </w:p>
          <w:p>
            <w:pPr>
              <w:adjustRightInd w:val="0"/>
              <w:snapToGrid w:val="0"/>
              <w:spacing w:line="360" w:lineRule="auto"/>
              <w:ind w:firstLine="480" w:firstLineChars="200"/>
              <w:rPr>
                <w:color w:val="auto"/>
              </w:rPr>
            </w:pPr>
            <w:r>
              <w:rPr>
                <w:color w:val="auto"/>
              </w:rPr>
              <w:t>根据《产业结构调整指导目录（2019年本）》中相关规定，本项目属于鼓励类中第四十三款“环境保护与资源节约综合利用”中的第20条“城镇垃圾、农村生活垃圾、农村生活污水、污泥及其他固体废弃物减量化、资源化、无害化处理和综合利用工程”，属于鼓励类，因此本项目的建设符合国家的产业政策。</w:t>
            </w:r>
          </w:p>
          <w:p>
            <w:pPr>
              <w:adjustRightInd w:val="0"/>
              <w:snapToGrid w:val="0"/>
              <w:spacing w:line="360" w:lineRule="auto"/>
              <w:ind w:firstLine="480" w:firstLineChars="200"/>
              <w:rPr>
                <w:color w:val="auto"/>
              </w:rPr>
            </w:pPr>
            <w:r>
              <w:rPr>
                <w:color w:val="auto"/>
              </w:rPr>
              <w:t>并且，本项目已取得峨边彝族自治县发展和改革局出具的关于“峨边彝族自治县县农村生活污水治理项目可行性研究报告”的批复，批复文号：峨边发改审[2020]123号。</w:t>
            </w:r>
          </w:p>
          <w:p>
            <w:pPr>
              <w:adjustRightInd w:val="0"/>
              <w:snapToGrid w:val="0"/>
              <w:spacing w:line="360" w:lineRule="auto"/>
              <w:ind w:firstLine="480" w:firstLineChars="200"/>
              <w:rPr>
                <w:color w:val="auto"/>
              </w:rPr>
            </w:pPr>
            <w:r>
              <w:rPr>
                <w:color w:val="auto"/>
              </w:rPr>
              <w:t>因此，本次项目符合国家相关政策的规定。</w:t>
            </w:r>
          </w:p>
          <w:p>
            <w:pPr>
              <w:adjustRightInd w:val="0"/>
              <w:snapToGrid w:val="0"/>
              <w:spacing w:line="360" w:lineRule="auto"/>
              <w:ind w:firstLine="480" w:firstLineChars="200"/>
              <w:rPr>
                <w:color w:val="auto"/>
              </w:rPr>
            </w:pPr>
            <w:r>
              <w:rPr>
                <w:rFonts w:hint="eastAsia"/>
                <w:color w:val="auto"/>
              </w:rPr>
              <w:t>3</w:t>
            </w:r>
            <w:r>
              <w:rPr>
                <w:color w:val="auto"/>
              </w:rPr>
              <w:t>、规划符合性及选址合理性分析</w:t>
            </w:r>
          </w:p>
          <w:p>
            <w:pPr>
              <w:adjustRightInd w:val="0"/>
              <w:snapToGrid w:val="0"/>
              <w:spacing w:line="360" w:lineRule="auto"/>
              <w:ind w:firstLine="480" w:firstLineChars="200"/>
              <w:rPr>
                <w:color w:val="auto"/>
              </w:rPr>
            </w:pPr>
            <w:r>
              <w:rPr>
                <w:color w:val="auto"/>
              </w:rPr>
              <w:t>（1）与峨边彝族自治县总体规划和土地利用规划的符合性分析</w:t>
            </w:r>
          </w:p>
          <w:p>
            <w:pPr>
              <w:adjustRightInd w:val="0"/>
              <w:snapToGrid w:val="0"/>
              <w:spacing w:line="360" w:lineRule="auto"/>
              <w:ind w:firstLine="480" w:firstLineChars="200"/>
              <w:rPr>
                <w:color w:val="auto"/>
              </w:rPr>
            </w:pPr>
            <w:r>
              <w:rPr>
                <w:color w:val="auto"/>
              </w:rPr>
              <w:t>根据峨边彝族自治县自然资源局出具的《项目用地预审及选址意见书》（用字第2020-39号），本项目建设符合国土空间用途管制要求。因此，本项目的建设符合峨边彝族自治县总体规划。</w:t>
            </w:r>
          </w:p>
          <w:p>
            <w:pPr>
              <w:adjustRightInd w:val="0"/>
              <w:snapToGrid w:val="0"/>
              <w:spacing w:line="360" w:lineRule="auto"/>
              <w:ind w:firstLine="480" w:firstLineChars="200"/>
              <w:rPr>
                <w:color w:val="auto"/>
              </w:rPr>
            </w:pPr>
            <w:r>
              <w:rPr>
                <w:color w:val="auto"/>
              </w:rPr>
              <w:t>（2）与《四川省农村生活污水治理三年推进方案》（川环发〔2020〕13号）相符性分析</w:t>
            </w:r>
          </w:p>
          <w:p>
            <w:pPr>
              <w:adjustRightInd w:val="0"/>
              <w:snapToGrid w:val="0"/>
              <w:spacing w:line="360" w:lineRule="auto"/>
              <w:ind w:firstLine="480" w:firstLineChars="200"/>
              <w:rPr>
                <w:color w:val="auto"/>
              </w:rPr>
            </w:pPr>
            <w:r>
              <w:rPr>
                <w:color w:val="auto"/>
              </w:rPr>
              <w:t>根据《四川省农村生活污水治理三年推进方案》（川环发〔2020〕13号）的要求中，第四点：加快污水处理设施及配套管网建设。</w:t>
            </w:r>
          </w:p>
          <w:p>
            <w:pPr>
              <w:adjustRightInd w:val="0"/>
              <w:snapToGrid w:val="0"/>
              <w:spacing w:line="360" w:lineRule="auto"/>
              <w:ind w:firstLine="480" w:firstLineChars="200"/>
              <w:rPr>
                <w:color w:val="auto"/>
              </w:rPr>
            </w:pPr>
            <w:r>
              <w:rPr>
                <w:color w:val="auto"/>
              </w:rPr>
              <w:t>持续开展农村生活污水治理“千村示范工程”建设，探索并推广成熟经验。优先安排农村居民聚居点（区）建设生活污水处理设施，统筹推进乡人民政府所在地（乡集镇）的污水治理，有序开展污水处理设施建设。根据村庄格局、地形地貌等合理确定污水管网（沟）布设方案，配套管网须与新建污水处理设施同步设计、同步建设、同步验收。常住人口1000人以上和600人以上的聚居点（区）分别于2020年底和2021年底实现农村生活污水基本得到有效治理；到2022年底，乡人民政府所在地（乡集镇）实现污水处理设施全覆盖。</w:t>
            </w:r>
          </w:p>
          <w:p>
            <w:pPr>
              <w:adjustRightInd w:val="0"/>
              <w:snapToGrid w:val="0"/>
              <w:spacing w:line="360" w:lineRule="auto"/>
              <w:ind w:firstLine="480" w:firstLineChars="200"/>
              <w:rPr>
                <w:color w:val="auto"/>
              </w:rPr>
            </w:pPr>
            <w:r>
              <w:rPr>
                <w:color w:val="auto"/>
              </w:rPr>
              <w:t>本项目为峨边彝族自治县农村生活污水治理项目之一的宜坪乡桐花村生活污水治理项目，符合《四川省农村生活污水治理三年推进方案》（川环发〔2020〕13号）的相关要求。</w:t>
            </w:r>
          </w:p>
          <w:p>
            <w:pPr>
              <w:adjustRightInd w:val="0"/>
              <w:snapToGrid w:val="0"/>
              <w:spacing w:line="360" w:lineRule="auto"/>
              <w:ind w:firstLine="480" w:firstLineChars="200"/>
              <w:rPr>
                <w:color w:val="auto"/>
              </w:rPr>
            </w:pPr>
            <w:r>
              <w:rPr>
                <w:color w:val="auto"/>
              </w:rPr>
              <w:t>项目建设用地符合峨边彝族自治县宜坪乡总体规划。管网设计方案能够充分利用重力流，管线沿道路布置，施工较方便。综上所述，本项目的选址合理。</w:t>
            </w:r>
          </w:p>
          <w:p>
            <w:pPr>
              <w:adjustRightInd w:val="0"/>
              <w:snapToGrid w:val="0"/>
              <w:spacing w:line="360" w:lineRule="auto"/>
              <w:ind w:firstLine="480" w:firstLineChars="200"/>
              <w:rPr>
                <w:color w:val="auto"/>
              </w:rPr>
            </w:pPr>
            <w:r>
              <w:rPr>
                <w:rFonts w:hint="eastAsia"/>
                <w:color w:val="auto"/>
              </w:rPr>
              <w:t>4</w:t>
            </w:r>
            <w:r>
              <w:rPr>
                <w:color w:val="auto"/>
              </w:rPr>
              <w:t>、环境质量现状</w:t>
            </w:r>
          </w:p>
          <w:p>
            <w:pPr>
              <w:adjustRightInd w:val="0"/>
              <w:snapToGrid w:val="0"/>
              <w:spacing w:line="360" w:lineRule="auto"/>
              <w:ind w:firstLine="480" w:firstLineChars="200"/>
              <w:rPr>
                <w:color w:val="auto"/>
              </w:rPr>
            </w:pPr>
            <w:r>
              <w:rPr>
                <w:color w:val="auto"/>
              </w:rPr>
              <w:t>项目所在地环境空气质量（除PM</w:t>
            </w:r>
            <w:r>
              <w:rPr>
                <w:color w:val="auto"/>
                <w:vertAlign w:val="subscript"/>
              </w:rPr>
              <w:t>2.5</w:t>
            </w:r>
            <w:r>
              <w:rPr>
                <w:color w:val="auto"/>
              </w:rPr>
              <w:t>外）满足《环境空气质量标准》（GB3095-2012）中二级标准要求；项目所在地声环境质量标准满足《声环境质量标准》（GB3096-2008）2类标准要求；项目地表水环境指标均满足《地表水环境质量标准》（GB3838-2002）中Ⅲ类标准要求。</w:t>
            </w:r>
          </w:p>
          <w:p>
            <w:pPr>
              <w:pStyle w:val="57"/>
              <w:adjustRightInd w:val="0"/>
              <w:snapToGrid w:val="0"/>
              <w:spacing w:line="360" w:lineRule="auto"/>
              <w:ind w:firstLine="480"/>
              <w:rPr>
                <w:color w:val="auto"/>
                <w:sz w:val="24"/>
              </w:rPr>
            </w:pPr>
            <w:r>
              <w:rPr>
                <w:rFonts w:hint="eastAsia"/>
                <w:color w:val="auto"/>
                <w:sz w:val="24"/>
              </w:rPr>
              <w:t>5、</w:t>
            </w:r>
            <w:r>
              <w:rPr>
                <w:color w:val="auto"/>
                <w:sz w:val="24"/>
              </w:rPr>
              <w:t>清洁生产</w:t>
            </w:r>
          </w:p>
          <w:p>
            <w:pPr>
              <w:pStyle w:val="2"/>
              <w:adjustRightInd w:val="0"/>
              <w:snapToGrid w:val="0"/>
              <w:spacing w:after="0" w:line="360" w:lineRule="auto"/>
              <w:ind w:left="0" w:leftChars="0" w:firstLine="480"/>
              <w:rPr>
                <w:rFonts w:ascii="Times New Roman" w:hAnsi="Times New Roman"/>
                <w:color w:val="auto"/>
                <w:kern w:val="2"/>
                <w:sz w:val="24"/>
              </w:rPr>
            </w:pPr>
            <w:r>
              <w:rPr>
                <w:rFonts w:hint="default" w:ascii="Times New Roman" w:hAnsi="Times New Roman"/>
                <w:color w:val="auto"/>
                <w:kern w:val="2"/>
                <w:sz w:val="24"/>
              </w:rPr>
              <w:t>本项目属环保工程，项目的实施将削减区域水污染物排放量；项目处理后尾水排入排洪沟，最终受纳水体为官料河；项目污水处理站采用MBR工艺具有高效节能的特点。项目营运期主要使用电能，属于清洁能源。项目营运期间所产生的污染物均能得到有效地处理处置。符合清洁生产的要求。</w:t>
            </w:r>
          </w:p>
          <w:p>
            <w:pPr>
              <w:pStyle w:val="57"/>
              <w:adjustRightInd w:val="0"/>
              <w:snapToGrid w:val="0"/>
              <w:spacing w:line="360" w:lineRule="auto"/>
              <w:ind w:firstLine="480"/>
              <w:rPr>
                <w:color w:val="auto"/>
                <w:sz w:val="24"/>
              </w:rPr>
            </w:pPr>
            <w:r>
              <w:rPr>
                <w:rFonts w:hint="eastAsia"/>
                <w:color w:val="auto"/>
                <w:sz w:val="24"/>
              </w:rPr>
              <w:t>6、</w:t>
            </w:r>
            <w:r>
              <w:rPr>
                <w:color w:val="auto"/>
                <w:sz w:val="24"/>
              </w:rPr>
              <w:t>环境影响评价结论</w:t>
            </w:r>
          </w:p>
          <w:p>
            <w:pPr>
              <w:pStyle w:val="57"/>
              <w:adjustRightInd w:val="0"/>
              <w:snapToGrid w:val="0"/>
              <w:spacing w:line="360" w:lineRule="auto"/>
              <w:ind w:firstLine="480"/>
              <w:rPr>
                <w:color w:val="auto"/>
                <w:sz w:val="24"/>
              </w:rPr>
            </w:pPr>
            <w:r>
              <w:rPr>
                <w:color w:val="auto"/>
                <w:sz w:val="24"/>
              </w:rPr>
              <w:t>1、施工期</w:t>
            </w:r>
          </w:p>
          <w:p>
            <w:pPr>
              <w:pStyle w:val="2"/>
              <w:adjustRightInd w:val="0"/>
              <w:snapToGrid w:val="0"/>
              <w:spacing w:after="0" w:line="360" w:lineRule="auto"/>
              <w:ind w:left="0" w:leftChars="0" w:firstLine="480"/>
              <w:rPr>
                <w:rFonts w:hint="default" w:ascii="Times New Roman" w:hAnsi="Times New Roman"/>
                <w:color w:val="auto"/>
                <w:kern w:val="2"/>
                <w:sz w:val="24"/>
              </w:rPr>
            </w:pPr>
            <w:r>
              <w:rPr>
                <w:rFonts w:hint="default"/>
                <w:color w:val="auto"/>
                <w:sz w:val="24"/>
              </w:rPr>
              <w:t>项目施工期产生的主要污染物为废水、噪声、废气、固体废弃物(含运输车辆撒落物)等。项目工程量较小、工期不长，在采取了相应的污染物治理措施后，项目施</w:t>
            </w:r>
            <w:r>
              <w:rPr>
                <w:rFonts w:hint="default" w:ascii="Times New Roman" w:hAnsi="Times New Roman"/>
                <w:color w:val="auto"/>
                <w:kern w:val="2"/>
                <w:sz w:val="24"/>
              </w:rPr>
              <w:t>工期对环境影响小，施工期污染治理措施有效。</w:t>
            </w:r>
          </w:p>
          <w:p>
            <w:pPr>
              <w:pStyle w:val="2"/>
              <w:adjustRightInd w:val="0"/>
              <w:snapToGrid w:val="0"/>
              <w:spacing w:after="0" w:line="360" w:lineRule="auto"/>
              <w:ind w:left="0" w:leftChars="0" w:firstLine="480"/>
              <w:rPr>
                <w:rFonts w:hint="default" w:ascii="Times New Roman" w:hAnsi="Times New Roman"/>
                <w:color w:val="auto"/>
                <w:kern w:val="2"/>
                <w:sz w:val="24"/>
              </w:rPr>
            </w:pPr>
            <w:r>
              <w:rPr>
                <w:rFonts w:hint="default" w:ascii="Times New Roman" w:hAnsi="Times New Roman"/>
                <w:color w:val="auto"/>
                <w:kern w:val="2"/>
                <w:sz w:val="24"/>
              </w:rPr>
              <w:t>2、营运期</w:t>
            </w:r>
          </w:p>
          <w:p>
            <w:pPr>
              <w:adjustRightInd w:val="0"/>
              <w:snapToGrid w:val="0"/>
              <w:spacing w:line="360" w:lineRule="auto"/>
              <w:ind w:firstLine="480" w:firstLineChars="200"/>
              <w:rPr>
                <w:color w:val="auto"/>
              </w:rPr>
            </w:pPr>
            <w:r>
              <w:rPr>
                <w:color w:val="auto"/>
              </w:rPr>
              <w:t>（1）大气环境影响评价结论</w:t>
            </w:r>
          </w:p>
          <w:p>
            <w:pPr>
              <w:adjustRightInd w:val="0"/>
              <w:snapToGrid w:val="0"/>
              <w:spacing w:line="360" w:lineRule="auto"/>
              <w:ind w:firstLine="480" w:firstLineChars="200"/>
              <w:rPr>
                <w:color w:val="auto"/>
              </w:rPr>
            </w:pPr>
            <w:r>
              <w:rPr>
                <w:color w:val="auto"/>
              </w:rPr>
              <w:t>本污水处理项目正常运行期间，污水处理站的格栅、</w:t>
            </w:r>
            <w:r>
              <w:rPr>
                <w:rFonts w:hint="eastAsia"/>
                <w:color w:val="auto"/>
              </w:rPr>
              <w:t>缺氧池</w:t>
            </w:r>
            <w:r>
              <w:rPr>
                <w:color w:val="auto"/>
              </w:rPr>
              <w:t>等处散发臭气，</w:t>
            </w:r>
            <w:r>
              <w:rPr>
                <w:rFonts w:hint="eastAsia"/>
                <w:color w:val="auto"/>
              </w:rPr>
              <w:t>在经过加盖密闭处理、定期喷洒除臭剂并四周栽种吸污植物等措施后</w:t>
            </w:r>
            <w:r>
              <w:rPr>
                <w:color w:val="auto"/>
              </w:rPr>
              <w:t>，营运中产生的恶臭污染物浓度值满足</w:t>
            </w:r>
            <w:r>
              <w:rPr>
                <w:rFonts w:hint="eastAsia"/>
                <w:color w:val="auto"/>
              </w:rPr>
              <w:t>《恶臭污染物排放标准》（GB14554-93）二级标准</w:t>
            </w:r>
            <w:r>
              <w:rPr>
                <w:color w:val="auto"/>
              </w:rPr>
              <w:t>，对周围环境影响较小。</w:t>
            </w:r>
          </w:p>
          <w:p>
            <w:pPr>
              <w:adjustRightInd w:val="0"/>
              <w:snapToGrid w:val="0"/>
              <w:spacing w:line="360" w:lineRule="auto"/>
              <w:ind w:firstLine="480" w:firstLineChars="200"/>
              <w:rPr>
                <w:color w:val="auto"/>
              </w:rPr>
            </w:pPr>
            <w:r>
              <w:rPr>
                <w:color w:val="auto"/>
              </w:rPr>
              <w:t>（2）地表水环境影响评价结论</w:t>
            </w:r>
          </w:p>
          <w:p>
            <w:pPr>
              <w:adjustRightInd w:val="0"/>
              <w:snapToGrid w:val="0"/>
              <w:spacing w:line="360" w:lineRule="auto"/>
              <w:ind w:firstLine="480" w:firstLineChars="200"/>
              <w:textAlignment w:val="baseline"/>
              <w:rPr>
                <w:color w:val="auto"/>
              </w:rPr>
            </w:pPr>
            <w:r>
              <w:rPr>
                <w:color w:val="auto"/>
              </w:rPr>
              <w:t>本项目收集的生活污水经污水处理站处理，达到《农村生活污水处理设施水污染物排放标准》（DB51/2626-2019）标准后排入官料河</w:t>
            </w:r>
            <w:r>
              <w:rPr>
                <w:rFonts w:hint="eastAsia"/>
                <w:color w:val="auto"/>
              </w:rPr>
              <w:t>或进行综合利用</w:t>
            </w:r>
            <w:r>
              <w:rPr>
                <w:color w:val="auto"/>
              </w:rPr>
              <w:t>。正常工况条件下，污水处理站出水可以实现达标排放，对周围地表水环境的影响很小。非正常工况条件下，污染物排放浓度较高，对水体会产生一定影响，因此要加强污水处理站运营期管理，避免事故排放发生。</w:t>
            </w:r>
          </w:p>
          <w:p>
            <w:pPr>
              <w:adjustRightInd w:val="0"/>
              <w:snapToGrid w:val="0"/>
              <w:spacing w:line="360" w:lineRule="auto"/>
              <w:ind w:firstLine="480" w:firstLineChars="200"/>
              <w:rPr>
                <w:color w:val="auto"/>
              </w:rPr>
            </w:pPr>
            <w:r>
              <w:rPr>
                <w:color w:val="auto"/>
              </w:rPr>
              <w:t>（3）噪声环境影响评价结论</w:t>
            </w:r>
          </w:p>
          <w:p>
            <w:pPr>
              <w:adjustRightInd w:val="0"/>
              <w:snapToGrid w:val="0"/>
              <w:spacing w:line="360" w:lineRule="auto"/>
              <w:ind w:firstLine="480" w:firstLineChars="200"/>
              <w:rPr>
                <w:color w:val="auto"/>
              </w:rPr>
            </w:pPr>
            <w:r>
              <w:rPr>
                <w:color w:val="auto"/>
              </w:rPr>
              <w:t>本项目主要噪声来源于传动机械工作时产生的噪声，主要噪声源有：污水提升泵</w:t>
            </w:r>
            <w:r>
              <w:rPr>
                <w:rFonts w:hint="eastAsia"/>
                <w:color w:val="auto"/>
              </w:rPr>
              <w:t>和</w:t>
            </w:r>
            <w:r>
              <w:rPr>
                <w:color w:val="auto"/>
              </w:rPr>
              <w:t>鼓风机，在采取减振、消声和隔声等措施后，其噪声对周围声环境的影响较小，噪声排放可满足《工业企业厂界环境噪声排放标准》（GB12348-2008）中的2类标准，即：昼间≤60dB(A)，夜间≤50dB(A)。</w:t>
            </w:r>
          </w:p>
          <w:p>
            <w:pPr>
              <w:adjustRightInd w:val="0"/>
              <w:snapToGrid w:val="0"/>
              <w:spacing w:line="360" w:lineRule="auto"/>
              <w:ind w:firstLine="480" w:firstLineChars="200"/>
              <w:rPr>
                <w:color w:val="auto"/>
              </w:rPr>
            </w:pPr>
            <w:r>
              <w:rPr>
                <w:color w:val="auto"/>
              </w:rPr>
              <w:t>因此，项目运行产生的噪声对区域声环境产生影响很小。</w:t>
            </w:r>
          </w:p>
          <w:p>
            <w:pPr>
              <w:adjustRightInd w:val="0"/>
              <w:snapToGrid w:val="0"/>
              <w:spacing w:line="360" w:lineRule="auto"/>
              <w:ind w:firstLine="480" w:firstLineChars="200"/>
              <w:rPr>
                <w:color w:val="auto"/>
              </w:rPr>
            </w:pPr>
            <w:r>
              <w:rPr>
                <w:color w:val="auto"/>
              </w:rPr>
              <w:t>（4）固废环境影响评价结论</w:t>
            </w:r>
          </w:p>
          <w:p>
            <w:pPr>
              <w:adjustRightInd w:val="0"/>
              <w:snapToGrid w:val="0"/>
              <w:spacing w:line="360" w:lineRule="auto"/>
              <w:ind w:firstLine="480" w:firstLineChars="200"/>
              <w:jc w:val="left"/>
              <w:rPr>
                <w:color w:val="auto"/>
              </w:rPr>
            </w:pPr>
            <w:r>
              <w:rPr>
                <w:color w:val="auto"/>
              </w:rPr>
              <w:t>本项目固体废物主要为生产过程中产生的格栅栅渣、污泥以及员工产生的生活垃圾、废旧填料等。污水处理设施产生的污泥量较少，污泥由吸粪车运往峨边彝族自治县城市生活污水处理厂进行干化处理。格栅栅渣和生活垃圾交由环卫收集处理，废旧填料交由厂家回收。</w:t>
            </w:r>
            <w:r>
              <w:rPr>
                <w:rFonts w:hint="eastAsia"/>
                <w:color w:val="auto"/>
              </w:rPr>
              <w:t>人工湿地产生的枯枝败叶收集晒干后交由当地居民用作生物燃料。</w:t>
            </w:r>
          </w:p>
          <w:p>
            <w:pPr>
              <w:adjustRightInd w:val="0"/>
              <w:snapToGrid w:val="0"/>
              <w:spacing w:line="360" w:lineRule="auto"/>
              <w:ind w:firstLine="480" w:firstLineChars="200"/>
              <w:jc w:val="left"/>
              <w:rPr>
                <w:color w:val="auto"/>
              </w:rPr>
            </w:pPr>
            <w:r>
              <w:rPr>
                <w:color w:val="auto"/>
              </w:rPr>
              <w:t>综上，本项目固体废物在分别采取以上处理措施后，均会得到妥善处置，对环境影响较小。</w:t>
            </w:r>
          </w:p>
          <w:p>
            <w:pPr>
              <w:widowControl/>
              <w:adjustRightInd w:val="0"/>
              <w:snapToGrid w:val="0"/>
              <w:spacing w:line="360" w:lineRule="auto"/>
              <w:ind w:firstLine="480" w:firstLineChars="200"/>
              <w:jc w:val="left"/>
              <w:rPr>
                <w:color w:val="auto"/>
              </w:rPr>
            </w:pPr>
            <w:r>
              <w:rPr>
                <w:color w:val="auto"/>
              </w:rPr>
              <w:t>（5）地下水环境影响评价结论</w:t>
            </w:r>
          </w:p>
          <w:p>
            <w:pPr>
              <w:widowControl/>
              <w:adjustRightInd w:val="0"/>
              <w:snapToGrid w:val="0"/>
              <w:spacing w:line="360" w:lineRule="auto"/>
              <w:ind w:firstLine="480" w:firstLineChars="200"/>
              <w:jc w:val="left"/>
              <w:rPr>
                <w:color w:val="auto"/>
              </w:rPr>
            </w:pPr>
            <w:r>
              <w:rPr>
                <w:color w:val="auto"/>
              </w:rPr>
              <w:t>本项目厂区内各个处理构筑物四周均进行了相应的防渗、防漏措施，其厂区内管道四周也将进行严密的防渗处置，因此，环评认为在严格落实各项防渗防漏措施后，本项目营运期不会对项目区域内的地下水水质造成不良影响。</w:t>
            </w:r>
          </w:p>
          <w:p>
            <w:pPr>
              <w:widowControl/>
              <w:adjustRightInd w:val="0"/>
              <w:snapToGrid w:val="0"/>
              <w:spacing w:line="360" w:lineRule="auto"/>
              <w:ind w:firstLine="480" w:firstLineChars="200"/>
              <w:jc w:val="left"/>
              <w:rPr>
                <w:color w:val="auto"/>
              </w:rPr>
            </w:pPr>
            <w:r>
              <w:rPr>
                <w:color w:val="auto"/>
              </w:rPr>
              <w:t>（6）环境风险分析结论</w:t>
            </w:r>
          </w:p>
          <w:p>
            <w:pPr>
              <w:widowControl/>
              <w:adjustRightInd w:val="0"/>
              <w:snapToGrid w:val="0"/>
              <w:spacing w:line="360" w:lineRule="auto"/>
              <w:ind w:firstLine="480" w:firstLineChars="200"/>
              <w:jc w:val="left"/>
              <w:rPr>
                <w:color w:val="auto"/>
              </w:rPr>
            </w:pPr>
            <w:r>
              <w:rPr>
                <w:color w:val="auto"/>
              </w:rPr>
              <w:t>本项目在运行过程中存在一定的环境风险隐患。在日常管理过程中，应严格按照报告中提出的各项环境防范措施进行落实，规范操作，可将事故风险降低到最小。</w:t>
            </w:r>
          </w:p>
          <w:p>
            <w:pPr>
              <w:adjustRightInd w:val="0"/>
              <w:snapToGrid w:val="0"/>
              <w:spacing w:line="360" w:lineRule="auto"/>
              <w:ind w:firstLine="480" w:firstLineChars="200"/>
              <w:jc w:val="left"/>
              <w:rPr>
                <w:color w:val="auto"/>
              </w:rPr>
            </w:pPr>
            <w:r>
              <w:rPr>
                <w:rFonts w:hint="eastAsia"/>
                <w:color w:val="auto"/>
              </w:rPr>
              <w:t>7</w:t>
            </w:r>
            <w:r>
              <w:rPr>
                <w:color w:val="auto"/>
              </w:rPr>
              <w:t>、总量控制指标</w:t>
            </w:r>
          </w:p>
          <w:p>
            <w:pPr>
              <w:pStyle w:val="24"/>
              <w:adjustRightInd w:val="0"/>
              <w:snapToGrid w:val="0"/>
              <w:spacing w:after="0" w:line="360" w:lineRule="auto"/>
              <w:ind w:firstLine="480" w:firstLineChars="200"/>
              <w:rPr>
                <w:color w:val="auto"/>
              </w:rPr>
            </w:pPr>
            <w:r>
              <w:rPr>
                <w:color w:val="auto"/>
              </w:rPr>
              <w:t>根据国家生态环境部关于总量控制的有关要求，结合项目污染物排放特点，建议本项目总量控制指标为COD</w:t>
            </w:r>
            <w:r>
              <w:rPr>
                <w:rFonts w:hint="eastAsia"/>
                <w:color w:val="auto"/>
                <w:vertAlign w:val="subscript"/>
              </w:rPr>
              <w:t>C</w:t>
            </w:r>
            <w:r>
              <w:rPr>
                <w:color w:val="auto"/>
                <w:vertAlign w:val="subscript"/>
              </w:rPr>
              <w:t>r</w:t>
            </w:r>
            <w:r>
              <w:rPr>
                <w:color w:val="auto"/>
              </w:rPr>
              <w:t>：1.314t/a、NH</w:t>
            </w:r>
            <w:r>
              <w:rPr>
                <w:color w:val="auto"/>
                <w:vertAlign w:val="subscript"/>
              </w:rPr>
              <w:t>3</w:t>
            </w:r>
            <w:r>
              <w:rPr>
                <w:color w:val="auto"/>
              </w:rPr>
              <w:t>-N：0.1752t/a、TP：0.03285t/a、TN：0.438t/a。</w:t>
            </w:r>
          </w:p>
          <w:p>
            <w:pPr>
              <w:pStyle w:val="24"/>
              <w:adjustRightInd w:val="0"/>
              <w:snapToGrid w:val="0"/>
              <w:spacing w:after="0" w:line="360" w:lineRule="auto"/>
              <w:ind w:firstLine="480"/>
              <w:rPr>
                <w:rFonts w:hint="eastAsia"/>
                <w:color w:val="auto"/>
              </w:rPr>
            </w:pPr>
            <w:r>
              <w:rPr>
                <w:rFonts w:hint="eastAsia"/>
                <w:color w:val="auto"/>
              </w:rPr>
              <w:t>8、环境正效益分析</w:t>
            </w:r>
          </w:p>
          <w:p>
            <w:pPr>
              <w:pStyle w:val="24"/>
              <w:adjustRightInd w:val="0"/>
              <w:snapToGrid w:val="0"/>
              <w:spacing w:after="0" w:line="360" w:lineRule="auto"/>
              <w:ind w:firstLine="480"/>
              <w:rPr>
                <w:rFonts w:hint="eastAsia"/>
                <w:bCs/>
                <w:color w:val="auto"/>
              </w:rPr>
            </w:pPr>
            <w:r>
              <w:rPr>
                <w:bCs/>
                <w:color w:val="auto"/>
              </w:rPr>
              <w:t>项目的实施有助于改善</w:t>
            </w:r>
            <w:r>
              <w:rPr>
                <w:rFonts w:hint="eastAsia"/>
                <w:bCs/>
                <w:color w:val="auto"/>
              </w:rPr>
              <w:t>官料河</w:t>
            </w:r>
            <w:r>
              <w:rPr>
                <w:bCs/>
                <w:color w:val="auto"/>
              </w:rPr>
              <w:t>水体环境，具有明显的环境正效</w:t>
            </w:r>
            <w:r>
              <w:rPr>
                <w:rFonts w:hint="eastAsia"/>
                <w:bCs/>
                <w:color w:val="auto"/>
              </w:rPr>
              <w:t>应</w:t>
            </w:r>
            <w:r>
              <w:rPr>
                <w:bCs/>
                <w:color w:val="auto"/>
              </w:rPr>
              <w:t>，对保护</w:t>
            </w:r>
            <w:r>
              <w:rPr>
                <w:rFonts w:hint="eastAsia"/>
                <w:bCs/>
                <w:color w:val="auto"/>
              </w:rPr>
              <w:t>官料河</w:t>
            </w:r>
            <w:r>
              <w:rPr>
                <w:bCs/>
                <w:color w:val="auto"/>
              </w:rPr>
              <w:t>河水体环境起到积极作用</w:t>
            </w:r>
            <w:r>
              <w:rPr>
                <w:rFonts w:hint="eastAsia"/>
                <w:bCs/>
                <w:color w:val="auto"/>
              </w:rPr>
              <w:t>。</w:t>
            </w:r>
          </w:p>
          <w:p>
            <w:pPr>
              <w:adjustRightInd w:val="0"/>
              <w:snapToGrid w:val="0"/>
              <w:spacing w:line="360" w:lineRule="auto"/>
              <w:ind w:firstLine="480" w:firstLineChars="200"/>
              <w:rPr>
                <w:rFonts w:hint="eastAsia"/>
                <w:color w:val="auto"/>
              </w:rPr>
            </w:pPr>
            <w:r>
              <w:rPr>
                <w:color w:val="auto"/>
              </w:rPr>
              <w:t>9、环境影响评价总体结论</w:t>
            </w:r>
          </w:p>
          <w:p>
            <w:pPr>
              <w:adjustRightInd w:val="0"/>
              <w:snapToGrid w:val="0"/>
              <w:spacing w:line="360" w:lineRule="auto"/>
              <w:ind w:firstLine="480" w:firstLineChars="200"/>
              <w:rPr>
                <w:rFonts w:hint="eastAsia"/>
                <w:color w:val="auto"/>
              </w:rPr>
            </w:pPr>
            <w:r>
              <w:rPr>
                <w:color w:val="auto"/>
              </w:rPr>
              <w:t>综上所述，本项目符合国家产业政策，符合峨边彝族自治县环境保护规划、土地利用规划</w:t>
            </w:r>
            <w:r>
              <w:rPr>
                <w:rFonts w:hint="eastAsia"/>
                <w:color w:val="auto"/>
              </w:rPr>
              <w:t>等</w:t>
            </w:r>
            <w:r>
              <w:rPr>
                <w:color w:val="auto"/>
              </w:rPr>
              <w:t>要求。污染物能够实现达标排放以及综合利用，重点污染物排放能满足总量控制要求，环境风险可控，符合</w:t>
            </w:r>
            <w:r>
              <w:rPr>
                <w:rFonts w:hint="eastAsia"/>
                <w:color w:val="auto"/>
              </w:rPr>
              <w:t>环境保护</w:t>
            </w:r>
            <w:r>
              <w:rPr>
                <w:color w:val="auto"/>
              </w:rPr>
              <w:t>要求</w:t>
            </w:r>
            <w:r>
              <w:rPr>
                <w:rFonts w:hint="eastAsia"/>
                <w:color w:val="auto"/>
              </w:rPr>
              <w:t>。</w:t>
            </w:r>
          </w:p>
          <w:p>
            <w:pPr>
              <w:adjustRightInd w:val="0"/>
              <w:snapToGrid w:val="0"/>
              <w:spacing w:line="360" w:lineRule="auto"/>
              <w:ind w:firstLine="480" w:firstLineChars="200"/>
              <w:rPr>
                <w:color w:val="auto"/>
              </w:rPr>
            </w:pPr>
            <w:r>
              <w:rPr>
                <w:color w:val="auto"/>
              </w:rPr>
              <w:t>项目在严格落实本评价提出的废气、废水、固废等污染防治措施后，本项目产生的污染物达标排放。在保证环境保护措施的有效运行的情况下，本项目具有良好的环境正效益。因此，</w:t>
            </w:r>
            <w:r>
              <w:rPr>
                <w:rFonts w:hint="eastAsia"/>
                <w:color w:val="auto"/>
              </w:rPr>
              <w:t>本项目从环境保护的角度可行</w:t>
            </w:r>
            <w:r>
              <w:rPr>
                <w:color w:val="auto"/>
              </w:rPr>
              <w:t>。</w:t>
            </w:r>
          </w:p>
          <w:p>
            <w:pPr>
              <w:adjustRightInd w:val="0"/>
              <w:snapToGrid w:val="0"/>
              <w:spacing w:line="360" w:lineRule="auto"/>
              <w:jc w:val="left"/>
              <w:rPr>
                <w:color w:val="auto"/>
              </w:rPr>
            </w:pPr>
            <w:r>
              <w:rPr>
                <w:color w:val="auto"/>
              </w:rPr>
              <w:t>二、建议</w:t>
            </w:r>
          </w:p>
          <w:p>
            <w:pPr>
              <w:adjustRightInd w:val="0"/>
              <w:snapToGrid w:val="0"/>
              <w:spacing w:line="360" w:lineRule="auto"/>
              <w:ind w:firstLine="480" w:firstLineChars="200"/>
              <w:rPr>
                <w:color w:val="auto"/>
              </w:rPr>
            </w:pPr>
            <w:r>
              <w:rPr>
                <w:color w:val="auto"/>
              </w:rPr>
              <w:t>建设单位在项目实施过程中，除必须认真落实和执行本评价在报告表中提出的各项环保对策外，评价强调以下几点：</w:t>
            </w:r>
          </w:p>
          <w:p>
            <w:pPr>
              <w:adjustRightInd w:val="0"/>
              <w:snapToGrid w:val="0"/>
              <w:spacing w:line="360" w:lineRule="auto"/>
              <w:ind w:firstLine="480" w:firstLineChars="200"/>
              <w:rPr>
                <w:color w:val="auto"/>
              </w:rPr>
            </w:pPr>
            <w:r>
              <w:rPr>
                <w:color w:val="auto"/>
              </w:rPr>
              <w:t>1、杜绝生产过程中的跑、冒、滴、漏。建立健全的生产环保规章制度，严格在岗人员操作管理，操作人员须通过培训和定期考核，方可上岗，与此同时，加强设备、管道、各项治污措施的定期检修和维护工作。</w:t>
            </w:r>
          </w:p>
          <w:p>
            <w:pPr>
              <w:adjustRightInd w:val="0"/>
              <w:snapToGrid w:val="0"/>
              <w:spacing w:line="360" w:lineRule="auto"/>
              <w:ind w:firstLine="480" w:firstLineChars="200"/>
              <w:rPr>
                <w:color w:val="auto"/>
              </w:rPr>
            </w:pPr>
            <w:r>
              <w:rPr>
                <w:color w:val="auto"/>
              </w:rPr>
              <w:t>2、厂区内尽可能进行灌乔木立体绿化，既美化环境，又净化空气，同时吸声、屏噪、阻隔恶臭扩散。</w:t>
            </w:r>
          </w:p>
          <w:p>
            <w:pPr>
              <w:adjustRightInd w:val="0"/>
              <w:snapToGrid w:val="0"/>
              <w:spacing w:line="360" w:lineRule="auto"/>
              <w:ind w:firstLine="480" w:firstLineChars="200"/>
              <w:rPr>
                <w:color w:val="auto"/>
              </w:rPr>
            </w:pPr>
            <w:r>
              <w:rPr>
                <w:rFonts w:hint="eastAsia"/>
                <w:color w:val="auto"/>
              </w:rPr>
              <w:t>3</w:t>
            </w:r>
            <w:r>
              <w:rPr>
                <w:color w:val="auto"/>
              </w:rPr>
              <w:t>、按《建设项目环境保护条例》（中华人民共和国国务院令第682号）的规定，项目试运营后及时自行组织项目竣工环保验收，验收通过后方向进行正式运行。环保竣工验收资料及时报送生态环境主管部门备案并公示。</w:t>
            </w:r>
          </w:p>
          <w:p>
            <w:pPr>
              <w:pStyle w:val="2"/>
              <w:ind w:left="480"/>
              <w:rPr>
                <w:rFonts w:hint="default" w:ascii="Times New Roman" w:hAnsi="Times New Roman"/>
                <w:color w:val="auto"/>
              </w:rPr>
            </w:pPr>
          </w:p>
          <w:p>
            <w:pPr>
              <w:pStyle w:val="2"/>
              <w:ind w:left="480"/>
              <w:rPr>
                <w:rFonts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p>
            <w:pPr>
              <w:pStyle w:val="2"/>
              <w:ind w:left="480"/>
              <w:rPr>
                <w:rFonts w:hint="default" w:ascii="Times New Roman" w:hAnsi="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color w:val="auto"/>
              </w:rPr>
            </w:pPr>
            <w:r>
              <w:rPr>
                <w:color w:val="auto"/>
              </w:rPr>
              <w:t>注   释</w:t>
            </w:r>
          </w:p>
          <w:p>
            <w:pPr>
              <w:adjustRightInd w:val="0"/>
              <w:snapToGrid w:val="0"/>
              <w:spacing w:line="276" w:lineRule="auto"/>
              <w:ind w:firstLine="480" w:firstLineChars="200"/>
              <w:rPr>
                <w:color w:val="auto"/>
              </w:rPr>
            </w:pPr>
            <w:r>
              <w:rPr>
                <w:color w:val="auto"/>
              </w:rPr>
              <w:t>一、本报告表应附以下附件、附图：</w:t>
            </w:r>
          </w:p>
          <w:p>
            <w:pPr>
              <w:adjustRightInd w:val="0"/>
              <w:snapToGrid w:val="0"/>
              <w:spacing w:line="276" w:lineRule="auto"/>
              <w:ind w:firstLine="480" w:firstLineChars="200"/>
              <w:jc w:val="left"/>
              <w:rPr>
                <w:color w:val="auto"/>
              </w:rPr>
            </w:pPr>
            <w:r>
              <w:rPr>
                <w:color w:val="auto"/>
              </w:rPr>
              <w:t>附件1委托书</w:t>
            </w:r>
          </w:p>
          <w:p>
            <w:pPr>
              <w:adjustRightInd w:val="0"/>
              <w:snapToGrid w:val="0"/>
              <w:spacing w:line="276" w:lineRule="auto"/>
              <w:ind w:firstLine="480" w:firstLineChars="200"/>
              <w:jc w:val="left"/>
              <w:rPr>
                <w:color w:val="auto"/>
              </w:rPr>
            </w:pPr>
            <w:r>
              <w:rPr>
                <w:color w:val="auto"/>
              </w:rPr>
              <w:t>附件2营业执照</w:t>
            </w:r>
          </w:p>
          <w:p>
            <w:pPr>
              <w:pStyle w:val="24"/>
              <w:adjustRightInd w:val="0"/>
              <w:snapToGrid w:val="0"/>
              <w:spacing w:after="0" w:line="276" w:lineRule="auto"/>
              <w:ind w:firstLine="480" w:firstLineChars="200"/>
              <w:rPr>
                <w:color w:val="auto"/>
              </w:rPr>
            </w:pPr>
            <w:r>
              <w:rPr>
                <w:color w:val="auto"/>
              </w:rPr>
              <w:t>附件3立项批复</w:t>
            </w:r>
          </w:p>
          <w:p>
            <w:pPr>
              <w:pStyle w:val="24"/>
              <w:adjustRightInd w:val="0"/>
              <w:snapToGrid w:val="0"/>
              <w:spacing w:after="0" w:line="276" w:lineRule="auto"/>
              <w:ind w:firstLine="480" w:firstLineChars="200"/>
              <w:rPr>
                <w:color w:val="auto"/>
              </w:rPr>
            </w:pPr>
            <w:r>
              <w:rPr>
                <w:color w:val="auto"/>
              </w:rPr>
              <w:t>附件4用地预审及选址意见书</w:t>
            </w:r>
          </w:p>
          <w:p>
            <w:pPr>
              <w:adjustRightInd w:val="0"/>
              <w:snapToGrid w:val="0"/>
              <w:spacing w:line="276" w:lineRule="auto"/>
              <w:ind w:firstLine="480" w:firstLineChars="200"/>
              <w:jc w:val="left"/>
              <w:rPr>
                <w:color w:val="auto"/>
              </w:rPr>
            </w:pPr>
            <w:r>
              <w:rPr>
                <w:color w:val="auto"/>
              </w:rPr>
              <w:t>附件5</w:t>
            </w:r>
            <w:r>
              <w:rPr>
                <w:rFonts w:hint="eastAsia"/>
                <w:color w:val="auto"/>
              </w:rPr>
              <w:t>原水水质</w:t>
            </w:r>
            <w:r>
              <w:rPr>
                <w:color w:val="auto"/>
              </w:rPr>
              <w:t>监测报告</w:t>
            </w:r>
          </w:p>
          <w:p>
            <w:pPr>
              <w:pStyle w:val="24"/>
              <w:adjustRightInd w:val="0"/>
              <w:snapToGrid w:val="0"/>
              <w:spacing w:after="0" w:line="276" w:lineRule="auto"/>
              <w:ind w:firstLine="480" w:firstLineChars="200"/>
              <w:rPr>
                <w:color w:val="auto"/>
              </w:rPr>
            </w:pPr>
            <w:r>
              <w:rPr>
                <w:color w:val="auto"/>
              </w:rPr>
              <w:t>附件6监测报告</w:t>
            </w:r>
          </w:p>
          <w:p>
            <w:pPr>
              <w:pStyle w:val="24"/>
              <w:adjustRightInd w:val="0"/>
              <w:snapToGrid w:val="0"/>
              <w:spacing w:after="0" w:line="276" w:lineRule="auto"/>
              <w:ind w:firstLine="480" w:firstLineChars="200"/>
              <w:rPr>
                <w:color w:val="auto"/>
              </w:rPr>
            </w:pPr>
            <w:r>
              <w:rPr>
                <w:rFonts w:hint="eastAsia"/>
                <w:color w:val="auto"/>
                <w:lang w:eastAsia="zh-CN"/>
              </w:rPr>
              <w:t>附件</w:t>
            </w:r>
            <w:r>
              <w:rPr>
                <w:rFonts w:hint="eastAsia"/>
                <w:color w:val="auto"/>
                <w:lang w:val="en-US" w:eastAsia="zh-CN"/>
              </w:rPr>
              <w:t>7监测报告</w:t>
            </w:r>
            <w:r>
              <w:rPr>
                <w:rFonts w:hint="eastAsia"/>
                <w:color w:val="auto"/>
              </w:rPr>
              <w:t xml:space="preserve"> </w:t>
            </w:r>
          </w:p>
          <w:p>
            <w:pPr>
              <w:pStyle w:val="24"/>
              <w:adjustRightInd w:val="0"/>
              <w:snapToGrid w:val="0"/>
              <w:spacing w:after="0" w:line="276" w:lineRule="auto"/>
              <w:ind w:firstLine="480" w:firstLineChars="200"/>
              <w:rPr>
                <w:color w:val="auto"/>
              </w:rPr>
            </w:pPr>
          </w:p>
          <w:p>
            <w:pPr>
              <w:adjustRightInd w:val="0"/>
              <w:snapToGrid w:val="0"/>
              <w:spacing w:line="276" w:lineRule="auto"/>
              <w:ind w:firstLine="480" w:firstLineChars="200"/>
              <w:jc w:val="left"/>
              <w:rPr>
                <w:color w:val="auto"/>
              </w:rPr>
            </w:pPr>
            <w:r>
              <w:rPr>
                <w:color w:val="auto"/>
              </w:rPr>
              <w:t>附图1项目地理位置图</w:t>
            </w:r>
          </w:p>
          <w:p>
            <w:pPr>
              <w:adjustRightInd w:val="0"/>
              <w:snapToGrid w:val="0"/>
              <w:spacing w:line="276" w:lineRule="auto"/>
              <w:ind w:firstLine="480" w:firstLineChars="200"/>
              <w:jc w:val="left"/>
              <w:rPr>
                <w:color w:val="auto"/>
              </w:rPr>
            </w:pPr>
            <w:r>
              <w:rPr>
                <w:color w:val="auto"/>
              </w:rPr>
              <w:t>附图2</w:t>
            </w:r>
            <w:r>
              <w:rPr>
                <w:rFonts w:hint="eastAsia"/>
                <w:color w:val="auto"/>
              </w:rPr>
              <w:t>污水处理站/人工湿地</w:t>
            </w:r>
            <w:r>
              <w:rPr>
                <w:color w:val="auto"/>
              </w:rPr>
              <w:t>平面布置图</w:t>
            </w:r>
          </w:p>
          <w:p>
            <w:pPr>
              <w:adjustRightInd w:val="0"/>
              <w:snapToGrid w:val="0"/>
              <w:spacing w:line="276" w:lineRule="auto"/>
              <w:ind w:firstLine="480" w:firstLineChars="200"/>
              <w:jc w:val="left"/>
              <w:rPr>
                <w:color w:val="auto"/>
              </w:rPr>
            </w:pPr>
            <w:r>
              <w:rPr>
                <w:color w:val="auto"/>
              </w:rPr>
              <w:t>附图3</w:t>
            </w:r>
            <w:r>
              <w:rPr>
                <w:rFonts w:hint="eastAsia"/>
                <w:color w:val="auto"/>
              </w:rPr>
              <w:t>污水处理站/人工湿地</w:t>
            </w:r>
            <w:r>
              <w:rPr>
                <w:color w:val="auto"/>
              </w:rPr>
              <w:t>分区防渗图</w:t>
            </w:r>
          </w:p>
          <w:p>
            <w:pPr>
              <w:adjustRightInd w:val="0"/>
              <w:snapToGrid w:val="0"/>
              <w:spacing w:line="276" w:lineRule="auto"/>
              <w:ind w:firstLine="480" w:firstLineChars="200"/>
              <w:jc w:val="left"/>
              <w:rPr>
                <w:color w:val="auto"/>
              </w:rPr>
            </w:pPr>
            <w:r>
              <w:rPr>
                <w:color w:val="auto"/>
              </w:rPr>
              <w:t>附图4项目监测布点图</w:t>
            </w:r>
          </w:p>
          <w:p>
            <w:pPr>
              <w:adjustRightInd w:val="0"/>
              <w:snapToGrid w:val="0"/>
              <w:spacing w:line="276" w:lineRule="auto"/>
              <w:ind w:firstLine="480" w:firstLineChars="200"/>
              <w:jc w:val="left"/>
              <w:rPr>
                <w:color w:val="auto"/>
              </w:rPr>
            </w:pPr>
            <w:r>
              <w:rPr>
                <w:color w:val="auto"/>
              </w:rPr>
              <w:t>附图5项目外环境关系及污水管网图</w:t>
            </w:r>
          </w:p>
          <w:p>
            <w:pPr>
              <w:adjustRightInd w:val="0"/>
              <w:snapToGrid w:val="0"/>
              <w:spacing w:line="276" w:lineRule="auto"/>
              <w:ind w:firstLine="480" w:firstLineChars="200"/>
              <w:jc w:val="left"/>
              <w:rPr>
                <w:color w:val="auto"/>
              </w:rPr>
            </w:pPr>
            <w:r>
              <w:rPr>
                <w:color w:val="auto"/>
              </w:rPr>
              <w:t>附图6现场照片</w:t>
            </w:r>
          </w:p>
          <w:p>
            <w:pPr>
              <w:pStyle w:val="2"/>
              <w:spacing w:line="276" w:lineRule="auto"/>
              <w:ind w:left="480"/>
              <w:rPr>
                <w:color w:val="auto"/>
              </w:rPr>
            </w:pPr>
          </w:p>
          <w:p>
            <w:pPr>
              <w:pStyle w:val="24"/>
              <w:adjustRightInd w:val="0"/>
              <w:snapToGrid w:val="0"/>
              <w:spacing w:after="0" w:line="276" w:lineRule="auto"/>
              <w:ind w:firstLine="480" w:firstLineChars="200"/>
              <w:rPr>
                <w:color w:val="auto"/>
              </w:rPr>
            </w:pPr>
            <w:r>
              <w:rPr>
                <w:color w:val="auto"/>
              </w:rPr>
              <w:t>附表1 建设项目地表水环境影响评价自查表</w:t>
            </w:r>
          </w:p>
          <w:p>
            <w:pPr>
              <w:pStyle w:val="24"/>
              <w:adjustRightInd w:val="0"/>
              <w:snapToGrid w:val="0"/>
              <w:spacing w:after="0" w:line="276" w:lineRule="auto"/>
              <w:ind w:firstLine="480" w:firstLineChars="200"/>
              <w:rPr>
                <w:color w:val="auto"/>
              </w:rPr>
            </w:pPr>
            <w:r>
              <w:rPr>
                <w:color w:val="auto"/>
              </w:rPr>
              <w:t>附表2 建设项目大气环境影响评价自查表</w:t>
            </w:r>
          </w:p>
          <w:p>
            <w:pPr>
              <w:pStyle w:val="24"/>
              <w:adjustRightInd w:val="0"/>
              <w:snapToGrid w:val="0"/>
              <w:spacing w:after="0" w:line="276" w:lineRule="auto"/>
              <w:ind w:firstLine="480" w:firstLineChars="200"/>
              <w:rPr>
                <w:color w:val="auto"/>
              </w:rPr>
            </w:pPr>
            <w:r>
              <w:rPr>
                <w:color w:val="auto"/>
              </w:rPr>
              <w:t>附表3 建设项目土壤环境影响评价自查表</w:t>
            </w:r>
          </w:p>
          <w:p>
            <w:pPr>
              <w:pStyle w:val="24"/>
              <w:adjustRightInd w:val="0"/>
              <w:snapToGrid w:val="0"/>
              <w:spacing w:after="0" w:line="276" w:lineRule="auto"/>
              <w:ind w:firstLine="480" w:firstLineChars="200"/>
              <w:rPr>
                <w:color w:val="auto"/>
              </w:rPr>
            </w:pPr>
            <w:r>
              <w:rPr>
                <w:color w:val="auto"/>
              </w:rPr>
              <w:t>附表4 环境风险评价自查表</w:t>
            </w:r>
          </w:p>
          <w:p>
            <w:pPr>
              <w:adjustRightInd w:val="0"/>
              <w:snapToGrid w:val="0"/>
              <w:spacing w:line="276" w:lineRule="auto"/>
              <w:ind w:firstLine="480" w:firstLineChars="200"/>
              <w:rPr>
                <w:color w:val="auto"/>
              </w:rPr>
            </w:pPr>
            <w:r>
              <w:rPr>
                <w:color w:val="auto"/>
              </w:rPr>
              <w:t>二、如果报告表不能说明项目产生污染及对环境造成的影响，应进行专项评价。根据建设项目的特点和当地环境特征，应选下列1—2项进行专项评价。</w:t>
            </w:r>
          </w:p>
          <w:p>
            <w:pPr>
              <w:numPr>
                <w:ilvl w:val="0"/>
                <w:numId w:val="6"/>
              </w:numPr>
              <w:tabs>
                <w:tab w:val="left" w:pos="300"/>
                <w:tab w:val="left" w:pos="696"/>
              </w:tabs>
              <w:adjustRightInd w:val="0"/>
              <w:snapToGrid w:val="0"/>
              <w:spacing w:line="276" w:lineRule="auto"/>
              <w:ind w:firstLine="172"/>
              <w:rPr>
                <w:color w:val="auto"/>
              </w:rPr>
            </w:pPr>
            <w:r>
              <w:rPr>
                <w:color w:val="auto"/>
              </w:rPr>
              <w:t>大气环境影响专项评价</w:t>
            </w:r>
          </w:p>
          <w:p>
            <w:pPr>
              <w:numPr>
                <w:ilvl w:val="0"/>
                <w:numId w:val="6"/>
              </w:numPr>
              <w:tabs>
                <w:tab w:val="left" w:pos="300"/>
                <w:tab w:val="left" w:pos="696"/>
              </w:tabs>
              <w:adjustRightInd w:val="0"/>
              <w:snapToGrid w:val="0"/>
              <w:spacing w:line="276" w:lineRule="auto"/>
              <w:ind w:firstLine="172"/>
              <w:rPr>
                <w:color w:val="auto"/>
              </w:rPr>
            </w:pPr>
            <w:r>
              <w:rPr>
                <w:color w:val="auto"/>
              </w:rPr>
              <w:t>水环境影响专项评价(包括地表水和地下水)</w:t>
            </w:r>
          </w:p>
          <w:p>
            <w:pPr>
              <w:numPr>
                <w:ilvl w:val="0"/>
                <w:numId w:val="6"/>
              </w:numPr>
              <w:tabs>
                <w:tab w:val="left" w:pos="300"/>
                <w:tab w:val="left" w:pos="696"/>
              </w:tabs>
              <w:adjustRightInd w:val="0"/>
              <w:snapToGrid w:val="0"/>
              <w:spacing w:line="276" w:lineRule="auto"/>
              <w:ind w:firstLine="172"/>
              <w:rPr>
                <w:color w:val="auto"/>
              </w:rPr>
            </w:pPr>
            <w:r>
              <w:rPr>
                <w:color w:val="auto"/>
              </w:rPr>
              <w:t>生态环境影响专项评价</w:t>
            </w:r>
          </w:p>
          <w:p>
            <w:pPr>
              <w:numPr>
                <w:ilvl w:val="0"/>
                <w:numId w:val="6"/>
              </w:numPr>
              <w:tabs>
                <w:tab w:val="left" w:pos="300"/>
                <w:tab w:val="left" w:pos="696"/>
              </w:tabs>
              <w:adjustRightInd w:val="0"/>
              <w:snapToGrid w:val="0"/>
              <w:spacing w:line="276" w:lineRule="auto"/>
              <w:ind w:firstLine="172"/>
              <w:rPr>
                <w:color w:val="auto"/>
              </w:rPr>
            </w:pPr>
            <w:r>
              <w:rPr>
                <w:color w:val="auto"/>
              </w:rPr>
              <w:t>声影响专项评价</w:t>
            </w:r>
          </w:p>
          <w:p>
            <w:pPr>
              <w:numPr>
                <w:ilvl w:val="0"/>
                <w:numId w:val="6"/>
              </w:numPr>
              <w:tabs>
                <w:tab w:val="left" w:pos="300"/>
                <w:tab w:val="left" w:pos="696"/>
              </w:tabs>
              <w:adjustRightInd w:val="0"/>
              <w:snapToGrid w:val="0"/>
              <w:spacing w:line="276" w:lineRule="auto"/>
              <w:ind w:firstLine="172"/>
              <w:rPr>
                <w:color w:val="auto"/>
              </w:rPr>
            </w:pPr>
            <w:r>
              <w:rPr>
                <w:color w:val="auto"/>
              </w:rPr>
              <w:t>土壤影响专项评价</w:t>
            </w:r>
          </w:p>
          <w:p>
            <w:pPr>
              <w:numPr>
                <w:ilvl w:val="0"/>
                <w:numId w:val="6"/>
              </w:numPr>
              <w:tabs>
                <w:tab w:val="left" w:pos="300"/>
                <w:tab w:val="left" w:pos="696"/>
              </w:tabs>
              <w:adjustRightInd w:val="0"/>
              <w:snapToGrid w:val="0"/>
              <w:spacing w:line="276" w:lineRule="auto"/>
              <w:ind w:firstLine="172"/>
              <w:rPr>
                <w:color w:val="auto"/>
              </w:rPr>
            </w:pPr>
            <w:r>
              <w:rPr>
                <w:color w:val="auto"/>
              </w:rPr>
              <w:t>固体废物影响专项评价</w:t>
            </w:r>
          </w:p>
          <w:p>
            <w:pPr>
              <w:adjustRightInd w:val="0"/>
              <w:snapToGrid w:val="0"/>
              <w:spacing w:line="276" w:lineRule="auto"/>
              <w:ind w:firstLine="480" w:firstLineChars="200"/>
              <w:jc w:val="left"/>
              <w:rPr>
                <w:color w:val="auto"/>
              </w:rPr>
            </w:pPr>
            <w:r>
              <w:rPr>
                <w:color w:val="auto"/>
              </w:rPr>
              <w:t>以上专项评价未包括的可列专项，专项评价按照《环境影响评价技术导则》中的要求进行。</w:t>
            </w:r>
          </w:p>
          <w:p>
            <w:pPr>
              <w:pStyle w:val="2"/>
              <w:rPr>
                <w:color w:val="auto"/>
              </w:rPr>
            </w:pPr>
          </w:p>
          <w:p>
            <w:pPr>
              <w:pStyle w:val="2"/>
              <w:rPr>
                <w:color w:val="auto"/>
              </w:rPr>
            </w:pPr>
          </w:p>
          <w:p>
            <w:pPr>
              <w:pStyle w:val="2"/>
              <w:rPr>
                <w:color w:val="auto"/>
              </w:rPr>
            </w:pPr>
          </w:p>
          <w:p>
            <w:pPr>
              <w:pStyle w:val="2"/>
              <w:rPr>
                <w:color w:val="auto"/>
              </w:rPr>
            </w:pPr>
          </w:p>
          <w:p>
            <w:pPr>
              <w:pStyle w:val="2"/>
              <w:rPr>
                <w:color w:val="auto"/>
              </w:rPr>
            </w:pPr>
          </w:p>
        </w:tc>
      </w:tr>
    </w:tbl>
    <w:p>
      <w:pPr>
        <w:jc w:val="left"/>
        <w:rPr>
          <w:color w:val="auto"/>
        </w:rPr>
      </w:pPr>
    </w:p>
    <w:sectPr>
      <w:pgSz w:w="11906" w:h="16838"/>
      <w:pgMar w:top="1440" w:right="1418" w:bottom="1440" w:left="1418" w:header="851" w:footer="851"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80E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TimesNewRomanPSMT">
    <w:altName w:val="MS Gothic"/>
    <w:panose1 w:val="00000000000000000000"/>
    <w:charset w:val="80"/>
    <w:family w:val="auto"/>
    <w:pitch w:val="default"/>
    <w:sig w:usb0="00000000" w:usb1="00000000" w:usb2="00000010" w:usb3="00000000" w:csb0="00020000" w:csb1="00000000"/>
  </w:font>
  <w:font w:name="TimesNewRoman">
    <w:altName w:val="Times New Roman"/>
    <w:panose1 w:val="00000000000000000000"/>
    <w:charset w:val="00"/>
    <w:family w:val="roman"/>
    <w:pitch w:val="default"/>
    <w:sig w:usb0="00000003"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31445"/>
              <wp:effectExtent l="0" t="0" r="0" b="0"/>
              <wp:wrapNone/>
              <wp:docPr id="14" name="文本框 102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88</w:t>
                          </w:r>
                          <w:r>
                            <w:rPr>
                              <w:rFonts w:hint="eastAsi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0.35pt;width:9.05pt;mso-position-horizontal:center;mso-position-horizontal-relative:margin;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PlfknQ&#10;AAAAAwEAAA8AAAAAAAAAAQAgAAAAIgAAAGRycy9kb3ducmV2LnhtbFBLAQIUABQAAAAIAIdO4kDu&#10;Ws1OtgEAAE0DAAAOAAAAAAAAAAEAIAAAAB8BAABkcnMvZTJvRG9jLnhtbFBLBQYAAAAABgAGAFkB&#10;AABHBQAAAAA=&#10;">
              <v:fill on="f" focussize="0,0"/>
              <v:stroke on="f"/>
              <v:imagedata o:title=""/>
              <o:lock v:ext="edit" aspectratio="f"/>
              <v:textbox inset="0mm,0mm,0mm,0mm" style="mso-fit-shape-to-text:t;">
                <w:txbxContent>
                  <w:p>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88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102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18"/>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Pi91E0AAA&#10;AAIBAAAPAAAAAAAAAAEAIAAAACIAAABkcnMvZG93bnJldi54bWxQSwECFAAUAAAACACHTuJAeXji&#10;RLQBAABMAwAADgAAAAAAAAABACAAAAAfAQAAZHJzL2Uyb0RvYy54bWxQSwUGAAAAAAYABgBZAQAA&#10;RQUAAAAA&#10;">
              <v:fill on="f" focussize="0,0"/>
              <v:stroke on="f"/>
              <v:imagedata o:title=""/>
              <o:lock v:ext="edit" aspectratio="f"/>
              <v:textbox inset="0mm,0mm,0mm,0mm" style="mso-fit-shape-to-text:t;">
                <w:txbxContent>
                  <w:p>
                    <w:pPr>
                      <w:pStyle w:val="18"/>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93</w:t>
    </w:r>
    <w:r>
      <w:rPr>
        <w:sz w:val="21"/>
        <w:szCs w:val="21"/>
      </w:rPr>
      <w:fldChar w:fldCharType="end"/>
    </w:r>
  </w:p>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2"/>
      </w:rPr>
    </w:pPr>
    <w:r>
      <w:fldChar w:fldCharType="begin"/>
    </w:r>
    <w:r>
      <w:rPr>
        <w:rStyle w:val="32"/>
      </w:rPr>
      <w:instrText xml:space="preserve">PAGE  </w:instrText>
    </w:r>
    <w:r>
      <w:fldChar w:fldCharType="separate"/>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FE3C4B"/>
    <w:multiLevelType w:val="singleLevel"/>
    <w:tmpl w:val="8CFE3C4B"/>
    <w:lvl w:ilvl="0" w:tentative="0">
      <w:start w:val="1"/>
      <w:numFmt w:val="decimal"/>
      <w:suff w:val="nothing"/>
      <w:lvlText w:val="（%1）"/>
      <w:lvlJc w:val="left"/>
    </w:lvl>
  </w:abstractNum>
  <w:abstractNum w:abstractNumId="1">
    <w:nsid w:val="00000000"/>
    <w:multiLevelType w:val="singleLevel"/>
    <w:tmpl w:val="00000000"/>
    <w:lvl w:ilvl="0" w:tentative="0">
      <w:start w:val="1"/>
      <w:numFmt w:val="decimal"/>
      <w:lvlText w:val="%1."/>
      <w:lvlJc w:val="left"/>
      <w:pPr>
        <w:ind w:left="420" w:hanging="420"/>
      </w:pPr>
      <w:rPr>
        <w:rFonts w:hint="eastAsia"/>
      </w:rPr>
    </w:lvl>
  </w:abstractNum>
  <w:abstractNum w:abstractNumId="2">
    <w:nsid w:val="0000000F"/>
    <w:multiLevelType w:val="multilevel"/>
    <w:tmpl w:val="0000000F"/>
    <w:lvl w:ilvl="0" w:tentative="0">
      <w:start w:val="1"/>
      <w:numFmt w:val="decimal"/>
      <w:pStyle w:val="81"/>
      <w:lvlText w:val="(%1) "/>
      <w:lvlJc w:val="left"/>
      <w:pPr>
        <w:ind w:left="1140" w:hanging="420"/>
      </w:pPr>
      <w:rPr>
        <w:rFonts w:hint="eastAsia"/>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28689D95"/>
    <w:multiLevelType w:val="singleLevel"/>
    <w:tmpl w:val="28689D95"/>
    <w:lvl w:ilvl="0" w:tentative="0">
      <w:start w:val="3"/>
      <w:numFmt w:val="decimal"/>
      <w:suff w:val="nothing"/>
      <w:lvlText w:val="%1、"/>
      <w:lvlJc w:val="left"/>
    </w:lvl>
  </w:abstractNum>
  <w:abstractNum w:abstractNumId="4">
    <w:nsid w:val="3979FE0F"/>
    <w:multiLevelType w:val="singleLevel"/>
    <w:tmpl w:val="3979FE0F"/>
    <w:lvl w:ilvl="0" w:tentative="0">
      <w:start w:val="6"/>
      <w:numFmt w:val="decimal"/>
      <w:suff w:val="nothing"/>
      <w:lvlText w:val="%1、"/>
      <w:lvlJc w:val="left"/>
    </w:lvl>
  </w:abstractNum>
  <w:abstractNum w:abstractNumId="5">
    <w:nsid w:val="59DE1C65"/>
    <w:multiLevelType w:val="singleLevel"/>
    <w:tmpl w:val="59DE1C65"/>
    <w:lvl w:ilvl="0" w:tentative="0">
      <w:start w:val="1"/>
      <w:numFmt w:val="decimal"/>
      <w:suff w:val="nothing"/>
      <w:lvlText w:val="（%1）"/>
      <w:lvlJc w:val="left"/>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C6E"/>
    <w:rsid w:val="0000151E"/>
    <w:rsid w:val="00005C0A"/>
    <w:rsid w:val="000070BA"/>
    <w:rsid w:val="0001160E"/>
    <w:rsid w:val="00011A90"/>
    <w:rsid w:val="000156A2"/>
    <w:rsid w:val="0001590D"/>
    <w:rsid w:val="00017397"/>
    <w:rsid w:val="00020372"/>
    <w:rsid w:val="0002083A"/>
    <w:rsid w:val="00020EE4"/>
    <w:rsid w:val="0002298D"/>
    <w:rsid w:val="00024B0A"/>
    <w:rsid w:val="00025C9F"/>
    <w:rsid w:val="0003165B"/>
    <w:rsid w:val="000319F9"/>
    <w:rsid w:val="00032A30"/>
    <w:rsid w:val="000337A8"/>
    <w:rsid w:val="00035828"/>
    <w:rsid w:val="00035EFE"/>
    <w:rsid w:val="00036FFB"/>
    <w:rsid w:val="00040A5D"/>
    <w:rsid w:val="0004257E"/>
    <w:rsid w:val="000427C4"/>
    <w:rsid w:val="00044B4A"/>
    <w:rsid w:val="00050491"/>
    <w:rsid w:val="000519EF"/>
    <w:rsid w:val="000549A8"/>
    <w:rsid w:val="00055974"/>
    <w:rsid w:val="00056519"/>
    <w:rsid w:val="0005746D"/>
    <w:rsid w:val="00057F59"/>
    <w:rsid w:val="00061998"/>
    <w:rsid w:val="000625D0"/>
    <w:rsid w:val="00062775"/>
    <w:rsid w:val="000646D0"/>
    <w:rsid w:val="000663BF"/>
    <w:rsid w:val="00077A6B"/>
    <w:rsid w:val="0008265F"/>
    <w:rsid w:val="000847D2"/>
    <w:rsid w:val="000853A6"/>
    <w:rsid w:val="00090DAD"/>
    <w:rsid w:val="000A03B5"/>
    <w:rsid w:val="000A18D9"/>
    <w:rsid w:val="000A363A"/>
    <w:rsid w:val="000A43C3"/>
    <w:rsid w:val="000B1235"/>
    <w:rsid w:val="000B24E3"/>
    <w:rsid w:val="000B478B"/>
    <w:rsid w:val="000C1609"/>
    <w:rsid w:val="000C2AFD"/>
    <w:rsid w:val="000C2C04"/>
    <w:rsid w:val="000C2FD6"/>
    <w:rsid w:val="000C36B3"/>
    <w:rsid w:val="000C498E"/>
    <w:rsid w:val="000C49CA"/>
    <w:rsid w:val="000C59DE"/>
    <w:rsid w:val="000C6D09"/>
    <w:rsid w:val="000D000C"/>
    <w:rsid w:val="000D0AD6"/>
    <w:rsid w:val="000D1109"/>
    <w:rsid w:val="000D3B4C"/>
    <w:rsid w:val="000D3D97"/>
    <w:rsid w:val="000D4CE6"/>
    <w:rsid w:val="000D5422"/>
    <w:rsid w:val="000D5B77"/>
    <w:rsid w:val="000D692A"/>
    <w:rsid w:val="000D6AE3"/>
    <w:rsid w:val="000D6F88"/>
    <w:rsid w:val="000D7006"/>
    <w:rsid w:val="000D7686"/>
    <w:rsid w:val="000E17FF"/>
    <w:rsid w:val="000E1ACB"/>
    <w:rsid w:val="000E4262"/>
    <w:rsid w:val="000E47F9"/>
    <w:rsid w:val="000E5A4F"/>
    <w:rsid w:val="000F27DF"/>
    <w:rsid w:val="000F2EC0"/>
    <w:rsid w:val="000F3F29"/>
    <w:rsid w:val="000F5C6B"/>
    <w:rsid w:val="000F6B1C"/>
    <w:rsid w:val="0010025C"/>
    <w:rsid w:val="00107679"/>
    <w:rsid w:val="0010775B"/>
    <w:rsid w:val="00107A72"/>
    <w:rsid w:val="001200EB"/>
    <w:rsid w:val="00120337"/>
    <w:rsid w:val="0012211F"/>
    <w:rsid w:val="00122858"/>
    <w:rsid w:val="00127E52"/>
    <w:rsid w:val="00131DFC"/>
    <w:rsid w:val="00134B99"/>
    <w:rsid w:val="00134BA0"/>
    <w:rsid w:val="00136100"/>
    <w:rsid w:val="0013655B"/>
    <w:rsid w:val="00137719"/>
    <w:rsid w:val="00140834"/>
    <w:rsid w:val="00140D6D"/>
    <w:rsid w:val="001417B2"/>
    <w:rsid w:val="00141933"/>
    <w:rsid w:val="00141C8D"/>
    <w:rsid w:val="0014335A"/>
    <w:rsid w:val="00145F7E"/>
    <w:rsid w:val="00147D0A"/>
    <w:rsid w:val="00150C48"/>
    <w:rsid w:val="001542A2"/>
    <w:rsid w:val="001616B5"/>
    <w:rsid w:val="0016234E"/>
    <w:rsid w:val="001628B9"/>
    <w:rsid w:val="00162F9E"/>
    <w:rsid w:val="00165EDE"/>
    <w:rsid w:val="001664F0"/>
    <w:rsid w:val="00167D3A"/>
    <w:rsid w:val="001707A0"/>
    <w:rsid w:val="001722F5"/>
    <w:rsid w:val="001726D6"/>
    <w:rsid w:val="00172866"/>
    <w:rsid w:val="00172CFE"/>
    <w:rsid w:val="00173C04"/>
    <w:rsid w:val="00174CF2"/>
    <w:rsid w:val="00176192"/>
    <w:rsid w:val="001762D3"/>
    <w:rsid w:val="00177B37"/>
    <w:rsid w:val="00181772"/>
    <w:rsid w:val="001835E7"/>
    <w:rsid w:val="00183D22"/>
    <w:rsid w:val="00183D68"/>
    <w:rsid w:val="00184CFA"/>
    <w:rsid w:val="00192011"/>
    <w:rsid w:val="00192EBD"/>
    <w:rsid w:val="001933DE"/>
    <w:rsid w:val="001A3EAD"/>
    <w:rsid w:val="001A54F4"/>
    <w:rsid w:val="001A6222"/>
    <w:rsid w:val="001A6480"/>
    <w:rsid w:val="001B0FDD"/>
    <w:rsid w:val="001B1FB9"/>
    <w:rsid w:val="001B38E8"/>
    <w:rsid w:val="001B59D0"/>
    <w:rsid w:val="001C1BCD"/>
    <w:rsid w:val="001C28FA"/>
    <w:rsid w:val="001C40E3"/>
    <w:rsid w:val="001C6314"/>
    <w:rsid w:val="001C6F10"/>
    <w:rsid w:val="001C7108"/>
    <w:rsid w:val="001D00AA"/>
    <w:rsid w:val="001D4FAC"/>
    <w:rsid w:val="001E259A"/>
    <w:rsid w:val="001E2749"/>
    <w:rsid w:val="001E6F5B"/>
    <w:rsid w:val="001E7107"/>
    <w:rsid w:val="001F1376"/>
    <w:rsid w:val="001F1932"/>
    <w:rsid w:val="001F24EA"/>
    <w:rsid w:val="001F4620"/>
    <w:rsid w:val="001F6213"/>
    <w:rsid w:val="001F63D2"/>
    <w:rsid w:val="00202DC1"/>
    <w:rsid w:val="00203A3D"/>
    <w:rsid w:val="00204905"/>
    <w:rsid w:val="00206F52"/>
    <w:rsid w:val="0021088B"/>
    <w:rsid w:val="00211859"/>
    <w:rsid w:val="00212437"/>
    <w:rsid w:val="00212D68"/>
    <w:rsid w:val="00213299"/>
    <w:rsid w:val="002177B9"/>
    <w:rsid w:val="00222C58"/>
    <w:rsid w:val="00223513"/>
    <w:rsid w:val="00224177"/>
    <w:rsid w:val="00227292"/>
    <w:rsid w:val="002302BB"/>
    <w:rsid w:val="00230905"/>
    <w:rsid w:val="002326E7"/>
    <w:rsid w:val="002334D3"/>
    <w:rsid w:val="0023497C"/>
    <w:rsid w:val="00236E10"/>
    <w:rsid w:val="002371AC"/>
    <w:rsid w:val="002375CC"/>
    <w:rsid w:val="00240B05"/>
    <w:rsid w:val="00241FCC"/>
    <w:rsid w:val="00243106"/>
    <w:rsid w:val="00243CD8"/>
    <w:rsid w:val="002468F7"/>
    <w:rsid w:val="00251B7E"/>
    <w:rsid w:val="00253D1F"/>
    <w:rsid w:val="00256A6D"/>
    <w:rsid w:val="0025738C"/>
    <w:rsid w:val="00257507"/>
    <w:rsid w:val="00260176"/>
    <w:rsid w:val="00261B9E"/>
    <w:rsid w:val="00262988"/>
    <w:rsid w:val="00263871"/>
    <w:rsid w:val="00264906"/>
    <w:rsid w:val="00264F96"/>
    <w:rsid w:val="00270134"/>
    <w:rsid w:val="00271170"/>
    <w:rsid w:val="002723EE"/>
    <w:rsid w:val="0027457A"/>
    <w:rsid w:val="0028000E"/>
    <w:rsid w:val="002805F6"/>
    <w:rsid w:val="00280D20"/>
    <w:rsid w:val="0028303B"/>
    <w:rsid w:val="002839BC"/>
    <w:rsid w:val="0028624E"/>
    <w:rsid w:val="0029110E"/>
    <w:rsid w:val="00291FC8"/>
    <w:rsid w:val="002933A4"/>
    <w:rsid w:val="00293E9C"/>
    <w:rsid w:val="00294EEC"/>
    <w:rsid w:val="00296F25"/>
    <w:rsid w:val="002A08BA"/>
    <w:rsid w:val="002A2A2B"/>
    <w:rsid w:val="002A72D3"/>
    <w:rsid w:val="002A7B2E"/>
    <w:rsid w:val="002A7CF5"/>
    <w:rsid w:val="002B01B2"/>
    <w:rsid w:val="002B167D"/>
    <w:rsid w:val="002B1E37"/>
    <w:rsid w:val="002B40FE"/>
    <w:rsid w:val="002B5222"/>
    <w:rsid w:val="002B6A96"/>
    <w:rsid w:val="002B7A05"/>
    <w:rsid w:val="002C0F6A"/>
    <w:rsid w:val="002C1DDC"/>
    <w:rsid w:val="002C3752"/>
    <w:rsid w:val="002C5748"/>
    <w:rsid w:val="002C62A9"/>
    <w:rsid w:val="002C6584"/>
    <w:rsid w:val="002C67C7"/>
    <w:rsid w:val="002C6F35"/>
    <w:rsid w:val="002C7D1B"/>
    <w:rsid w:val="002D18B5"/>
    <w:rsid w:val="002D298A"/>
    <w:rsid w:val="002D5427"/>
    <w:rsid w:val="002D5AA0"/>
    <w:rsid w:val="002E162B"/>
    <w:rsid w:val="002E3EF3"/>
    <w:rsid w:val="002E457C"/>
    <w:rsid w:val="002E51E4"/>
    <w:rsid w:val="002E5857"/>
    <w:rsid w:val="002E5939"/>
    <w:rsid w:val="002F1A24"/>
    <w:rsid w:val="002F1CB4"/>
    <w:rsid w:val="002F4ACB"/>
    <w:rsid w:val="002F4F8F"/>
    <w:rsid w:val="002F5BAB"/>
    <w:rsid w:val="002F6BB4"/>
    <w:rsid w:val="002F7302"/>
    <w:rsid w:val="002F7A80"/>
    <w:rsid w:val="00302796"/>
    <w:rsid w:val="00304ED9"/>
    <w:rsid w:val="00305924"/>
    <w:rsid w:val="00305BCF"/>
    <w:rsid w:val="0030704A"/>
    <w:rsid w:val="003109A9"/>
    <w:rsid w:val="00312616"/>
    <w:rsid w:val="003139FB"/>
    <w:rsid w:val="00314A06"/>
    <w:rsid w:val="00314D32"/>
    <w:rsid w:val="00314E73"/>
    <w:rsid w:val="00317EE5"/>
    <w:rsid w:val="00322A1A"/>
    <w:rsid w:val="00322BEF"/>
    <w:rsid w:val="00325947"/>
    <w:rsid w:val="00325A0F"/>
    <w:rsid w:val="00325D6F"/>
    <w:rsid w:val="00325F91"/>
    <w:rsid w:val="003273A8"/>
    <w:rsid w:val="003341EC"/>
    <w:rsid w:val="00342684"/>
    <w:rsid w:val="00342805"/>
    <w:rsid w:val="00345637"/>
    <w:rsid w:val="00345A7B"/>
    <w:rsid w:val="003476C9"/>
    <w:rsid w:val="00350752"/>
    <w:rsid w:val="003511B6"/>
    <w:rsid w:val="00353B40"/>
    <w:rsid w:val="00354F31"/>
    <w:rsid w:val="00356D42"/>
    <w:rsid w:val="00356E26"/>
    <w:rsid w:val="00357D1D"/>
    <w:rsid w:val="003602C7"/>
    <w:rsid w:val="00362668"/>
    <w:rsid w:val="00363037"/>
    <w:rsid w:val="00366125"/>
    <w:rsid w:val="00371BC9"/>
    <w:rsid w:val="003744EB"/>
    <w:rsid w:val="00381C52"/>
    <w:rsid w:val="0038272E"/>
    <w:rsid w:val="00395226"/>
    <w:rsid w:val="00395DE7"/>
    <w:rsid w:val="003A52D3"/>
    <w:rsid w:val="003D1038"/>
    <w:rsid w:val="003D1CBA"/>
    <w:rsid w:val="003D2B3C"/>
    <w:rsid w:val="003D2CEE"/>
    <w:rsid w:val="003D3F6B"/>
    <w:rsid w:val="003D4BC3"/>
    <w:rsid w:val="003D5E29"/>
    <w:rsid w:val="003D64AB"/>
    <w:rsid w:val="003D66E6"/>
    <w:rsid w:val="003E0D25"/>
    <w:rsid w:val="003E21BC"/>
    <w:rsid w:val="003E26A3"/>
    <w:rsid w:val="003E4A68"/>
    <w:rsid w:val="003E55E9"/>
    <w:rsid w:val="003E787A"/>
    <w:rsid w:val="003F011C"/>
    <w:rsid w:val="003F0356"/>
    <w:rsid w:val="003F2E75"/>
    <w:rsid w:val="003F5E8F"/>
    <w:rsid w:val="003F6517"/>
    <w:rsid w:val="003F65C1"/>
    <w:rsid w:val="003F7086"/>
    <w:rsid w:val="00402530"/>
    <w:rsid w:val="004103E6"/>
    <w:rsid w:val="00410C80"/>
    <w:rsid w:val="00411CD7"/>
    <w:rsid w:val="004126E8"/>
    <w:rsid w:val="004127CD"/>
    <w:rsid w:val="00421B8B"/>
    <w:rsid w:val="00421FCD"/>
    <w:rsid w:val="0042227D"/>
    <w:rsid w:val="004255E6"/>
    <w:rsid w:val="004278A0"/>
    <w:rsid w:val="00427979"/>
    <w:rsid w:val="00427A0C"/>
    <w:rsid w:val="00432938"/>
    <w:rsid w:val="004329C4"/>
    <w:rsid w:val="004336FC"/>
    <w:rsid w:val="00434817"/>
    <w:rsid w:val="00434BC5"/>
    <w:rsid w:val="0043608D"/>
    <w:rsid w:val="004406E9"/>
    <w:rsid w:val="00441C99"/>
    <w:rsid w:val="00441EA2"/>
    <w:rsid w:val="0044529C"/>
    <w:rsid w:val="004453B7"/>
    <w:rsid w:val="00446A99"/>
    <w:rsid w:val="0044787D"/>
    <w:rsid w:val="00447A38"/>
    <w:rsid w:val="00452DFE"/>
    <w:rsid w:val="004533AA"/>
    <w:rsid w:val="00462A75"/>
    <w:rsid w:val="004639AB"/>
    <w:rsid w:val="00463AA4"/>
    <w:rsid w:val="00467758"/>
    <w:rsid w:val="0047572D"/>
    <w:rsid w:val="00476991"/>
    <w:rsid w:val="004771D1"/>
    <w:rsid w:val="00477710"/>
    <w:rsid w:val="00480448"/>
    <w:rsid w:val="00480453"/>
    <w:rsid w:val="00480AEA"/>
    <w:rsid w:val="00481A22"/>
    <w:rsid w:val="00483A79"/>
    <w:rsid w:val="004848D6"/>
    <w:rsid w:val="0048712E"/>
    <w:rsid w:val="004913FD"/>
    <w:rsid w:val="0049213C"/>
    <w:rsid w:val="00492A3F"/>
    <w:rsid w:val="004934BF"/>
    <w:rsid w:val="00495F05"/>
    <w:rsid w:val="0049677C"/>
    <w:rsid w:val="004A23EF"/>
    <w:rsid w:val="004A2698"/>
    <w:rsid w:val="004A3438"/>
    <w:rsid w:val="004A35A6"/>
    <w:rsid w:val="004A5C7D"/>
    <w:rsid w:val="004A7BF4"/>
    <w:rsid w:val="004B2A39"/>
    <w:rsid w:val="004B2D17"/>
    <w:rsid w:val="004B74CB"/>
    <w:rsid w:val="004C1406"/>
    <w:rsid w:val="004C1993"/>
    <w:rsid w:val="004C398F"/>
    <w:rsid w:val="004C559F"/>
    <w:rsid w:val="004C60E9"/>
    <w:rsid w:val="004C74C6"/>
    <w:rsid w:val="004D00E8"/>
    <w:rsid w:val="004D1CFD"/>
    <w:rsid w:val="004D4278"/>
    <w:rsid w:val="004D5098"/>
    <w:rsid w:val="004D5F2A"/>
    <w:rsid w:val="004E142D"/>
    <w:rsid w:val="004E4CC2"/>
    <w:rsid w:val="004E5E37"/>
    <w:rsid w:val="004E60FD"/>
    <w:rsid w:val="004E77AC"/>
    <w:rsid w:val="004F138E"/>
    <w:rsid w:val="004F1790"/>
    <w:rsid w:val="004F2591"/>
    <w:rsid w:val="004F318B"/>
    <w:rsid w:val="004F49EE"/>
    <w:rsid w:val="004F4BAF"/>
    <w:rsid w:val="004F4DD2"/>
    <w:rsid w:val="004F60BA"/>
    <w:rsid w:val="004F62B8"/>
    <w:rsid w:val="004F746D"/>
    <w:rsid w:val="00500F1C"/>
    <w:rsid w:val="00501A27"/>
    <w:rsid w:val="005022C6"/>
    <w:rsid w:val="00504F4D"/>
    <w:rsid w:val="005074E1"/>
    <w:rsid w:val="00510A91"/>
    <w:rsid w:val="00510F1B"/>
    <w:rsid w:val="00511EE1"/>
    <w:rsid w:val="00511F7A"/>
    <w:rsid w:val="0051267E"/>
    <w:rsid w:val="00512B1A"/>
    <w:rsid w:val="0051365E"/>
    <w:rsid w:val="00515A5F"/>
    <w:rsid w:val="005173C8"/>
    <w:rsid w:val="005210C0"/>
    <w:rsid w:val="00521756"/>
    <w:rsid w:val="0052334C"/>
    <w:rsid w:val="005234E8"/>
    <w:rsid w:val="005239C8"/>
    <w:rsid w:val="00523BAE"/>
    <w:rsid w:val="00530A1F"/>
    <w:rsid w:val="005317C0"/>
    <w:rsid w:val="00532635"/>
    <w:rsid w:val="00532D96"/>
    <w:rsid w:val="00535B9E"/>
    <w:rsid w:val="005369BF"/>
    <w:rsid w:val="005414CD"/>
    <w:rsid w:val="00541CA4"/>
    <w:rsid w:val="005426E5"/>
    <w:rsid w:val="00542EB1"/>
    <w:rsid w:val="00544695"/>
    <w:rsid w:val="00545476"/>
    <w:rsid w:val="00546BEF"/>
    <w:rsid w:val="00550C00"/>
    <w:rsid w:val="0055304A"/>
    <w:rsid w:val="00553F17"/>
    <w:rsid w:val="00555D72"/>
    <w:rsid w:val="005667B7"/>
    <w:rsid w:val="00567CF4"/>
    <w:rsid w:val="00570FF7"/>
    <w:rsid w:val="00571CFF"/>
    <w:rsid w:val="00572769"/>
    <w:rsid w:val="00575BFA"/>
    <w:rsid w:val="00576828"/>
    <w:rsid w:val="0058118D"/>
    <w:rsid w:val="00581549"/>
    <w:rsid w:val="00582659"/>
    <w:rsid w:val="00582911"/>
    <w:rsid w:val="00584ECA"/>
    <w:rsid w:val="00586DB9"/>
    <w:rsid w:val="00591900"/>
    <w:rsid w:val="00592222"/>
    <w:rsid w:val="0059431C"/>
    <w:rsid w:val="005959BD"/>
    <w:rsid w:val="005A0147"/>
    <w:rsid w:val="005A225C"/>
    <w:rsid w:val="005A237D"/>
    <w:rsid w:val="005A2806"/>
    <w:rsid w:val="005A3D4B"/>
    <w:rsid w:val="005A5AD7"/>
    <w:rsid w:val="005A6464"/>
    <w:rsid w:val="005A737B"/>
    <w:rsid w:val="005B2566"/>
    <w:rsid w:val="005B294F"/>
    <w:rsid w:val="005B5445"/>
    <w:rsid w:val="005C0119"/>
    <w:rsid w:val="005C1E58"/>
    <w:rsid w:val="005C43CC"/>
    <w:rsid w:val="005C5348"/>
    <w:rsid w:val="005C6137"/>
    <w:rsid w:val="005C6AB3"/>
    <w:rsid w:val="005D0B87"/>
    <w:rsid w:val="005D1D83"/>
    <w:rsid w:val="005D3262"/>
    <w:rsid w:val="005D3436"/>
    <w:rsid w:val="005D4A62"/>
    <w:rsid w:val="005D53B2"/>
    <w:rsid w:val="005D5D9E"/>
    <w:rsid w:val="005D69E7"/>
    <w:rsid w:val="005D7368"/>
    <w:rsid w:val="005D759B"/>
    <w:rsid w:val="005E133D"/>
    <w:rsid w:val="005F1C36"/>
    <w:rsid w:val="005F4917"/>
    <w:rsid w:val="005F5176"/>
    <w:rsid w:val="005F59DA"/>
    <w:rsid w:val="005F7C96"/>
    <w:rsid w:val="0060028A"/>
    <w:rsid w:val="00600DE5"/>
    <w:rsid w:val="00603F9B"/>
    <w:rsid w:val="006068D0"/>
    <w:rsid w:val="00613962"/>
    <w:rsid w:val="00613967"/>
    <w:rsid w:val="006146E8"/>
    <w:rsid w:val="00615B32"/>
    <w:rsid w:val="0062031A"/>
    <w:rsid w:val="0062136E"/>
    <w:rsid w:val="00624956"/>
    <w:rsid w:val="00625939"/>
    <w:rsid w:val="006262FA"/>
    <w:rsid w:val="0062641B"/>
    <w:rsid w:val="0062644C"/>
    <w:rsid w:val="006307F6"/>
    <w:rsid w:val="00633924"/>
    <w:rsid w:val="006375D2"/>
    <w:rsid w:val="0064068D"/>
    <w:rsid w:val="0064326C"/>
    <w:rsid w:val="0064393E"/>
    <w:rsid w:val="00643F85"/>
    <w:rsid w:val="0064675D"/>
    <w:rsid w:val="00653784"/>
    <w:rsid w:val="0065634D"/>
    <w:rsid w:val="00660FCB"/>
    <w:rsid w:val="00661304"/>
    <w:rsid w:val="0066254A"/>
    <w:rsid w:val="0066341A"/>
    <w:rsid w:val="00663A64"/>
    <w:rsid w:val="00666C63"/>
    <w:rsid w:val="006700AC"/>
    <w:rsid w:val="00676B4C"/>
    <w:rsid w:val="006819F1"/>
    <w:rsid w:val="0068327C"/>
    <w:rsid w:val="0068354E"/>
    <w:rsid w:val="00683CEA"/>
    <w:rsid w:val="00690D24"/>
    <w:rsid w:val="0069338A"/>
    <w:rsid w:val="00694BD6"/>
    <w:rsid w:val="00694C91"/>
    <w:rsid w:val="006966E7"/>
    <w:rsid w:val="006A0DF7"/>
    <w:rsid w:val="006A420C"/>
    <w:rsid w:val="006A4CA6"/>
    <w:rsid w:val="006A6C07"/>
    <w:rsid w:val="006B1393"/>
    <w:rsid w:val="006B246A"/>
    <w:rsid w:val="006B2C00"/>
    <w:rsid w:val="006B2FD9"/>
    <w:rsid w:val="006B6F9A"/>
    <w:rsid w:val="006B7872"/>
    <w:rsid w:val="006B7DCB"/>
    <w:rsid w:val="006C0AD5"/>
    <w:rsid w:val="006C2519"/>
    <w:rsid w:val="006C30A7"/>
    <w:rsid w:val="006C584F"/>
    <w:rsid w:val="006D35DE"/>
    <w:rsid w:val="006D362B"/>
    <w:rsid w:val="006D4602"/>
    <w:rsid w:val="006D626D"/>
    <w:rsid w:val="006D6530"/>
    <w:rsid w:val="006E0100"/>
    <w:rsid w:val="006E25DA"/>
    <w:rsid w:val="006E31FE"/>
    <w:rsid w:val="006E39FF"/>
    <w:rsid w:val="006E3E24"/>
    <w:rsid w:val="006E6137"/>
    <w:rsid w:val="006E7131"/>
    <w:rsid w:val="006E7A8B"/>
    <w:rsid w:val="006F314C"/>
    <w:rsid w:val="006F3ACD"/>
    <w:rsid w:val="006F490E"/>
    <w:rsid w:val="006F69D3"/>
    <w:rsid w:val="006F69E1"/>
    <w:rsid w:val="006F78C2"/>
    <w:rsid w:val="006F7D88"/>
    <w:rsid w:val="007002DC"/>
    <w:rsid w:val="0070126D"/>
    <w:rsid w:val="00702F07"/>
    <w:rsid w:val="007046E4"/>
    <w:rsid w:val="00704A63"/>
    <w:rsid w:val="00707D01"/>
    <w:rsid w:val="00712D5F"/>
    <w:rsid w:val="007131EE"/>
    <w:rsid w:val="00714402"/>
    <w:rsid w:val="00715836"/>
    <w:rsid w:val="00717039"/>
    <w:rsid w:val="00717DDC"/>
    <w:rsid w:val="00720CC6"/>
    <w:rsid w:val="007261F0"/>
    <w:rsid w:val="007266DD"/>
    <w:rsid w:val="00726B1B"/>
    <w:rsid w:val="00730759"/>
    <w:rsid w:val="00733204"/>
    <w:rsid w:val="00733295"/>
    <w:rsid w:val="007364D3"/>
    <w:rsid w:val="00740CAA"/>
    <w:rsid w:val="007429AF"/>
    <w:rsid w:val="00744AC2"/>
    <w:rsid w:val="0074744B"/>
    <w:rsid w:val="00750498"/>
    <w:rsid w:val="00751791"/>
    <w:rsid w:val="00753D0C"/>
    <w:rsid w:val="0075427B"/>
    <w:rsid w:val="007542C2"/>
    <w:rsid w:val="0075491B"/>
    <w:rsid w:val="0076047E"/>
    <w:rsid w:val="007659A0"/>
    <w:rsid w:val="00765B6E"/>
    <w:rsid w:val="0076658B"/>
    <w:rsid w:val="00767D7A"/>
    <w:rsid w:val="00771EF6"/>
    <w:rsid w:val="0077217E"/>
    <w:rsid w:val="007722A9"/>
    <w:rsid w:val="00772BD1"/>
    <w:rsid w:val="007732D3"/>
    <w:rsid w:val="00773B2C"/>
    <w:rsid w:val="0077521C"/>
    <w:rsid w:val="007755D6"/>
    <w:rsid w:val="0077613A"/>
    <w:rsid w:val="00780C5F"/>
    <w:rsid w:val="00782418"/>
    <w:rsid w:val="00782525"/>
    <w:rsid w:val="00783106"/>
    <w:rsid w:val="007849BA"/>
    <w:rsid w:val="00790E0E"/>
    <w:rsid w:val="0079203A"/>
    <w:rsid w:val="00793B21"/>
    <w:rsid w:val="00793D67"/>
    <w:rsid w:val="0079475E"/>
    <w:rsid w:val="007952FE"/>
    <w:rsid w:val="007A189E"/>
    <w:rsid w:val="007A1F60"/>
    <w:rsid w:val="007A493C"/>
    <w:rsid w:val="007A582B"/>
    <w:rsid w:val="007B003B"/>
    <w:rsid w:val="007B0BE5"/>
    <w:rsid w:val="007B179D"/>
    <w:rsid w:val="007B5D0E"/>
    <w:rsid w:val="007B702D"/>
    <w:rsid w:val="007C0129"/>
    <w:rsid w:val="007C0381"/>
    <w:rsid w:val="007C18D5"/>
    <w:rsid w:val="007C25A2"/>
    <w:rsid w:val="007C2869"/>
    <w:rsid w:val="007C310A"/>
    <w:rsid w:val="007C353F"/>
    <w:rsid w:val="007C5EFD"/>
    <w:rsid w:val="007D5245"/>
    <w:rsid w:val="007D60EF"/>
    <w:rsid w:val="007E0757"/>
    <w:rsid w:val="007E1081"/>
    <w:rsid w:val="007E777F"/>
    <w:rsid w:val="007F1B7F"/>
    <w:rsid w:val="007F20DA"/>
    <w:rsid w:val="007F21C1"/>
    <w:rsid w:val="007F3DE1"/>
    <w:rsid w:val="007F5F51"/>
    <w:rsid w:val="007F623F"/>
    <w:rsid w:val="007F66E2"/>
    <w:rsid w:val="007F7D13"/>
    <w:rsid w:val="00801AE5"/>
    <w:rsid w:val="00802642"/>
    <w:rsid w:val="00806255"/>
    <w:rsid w:val="008078D8"/>
    <w:rsid w:val="00810D29"/>
    <w:rsid w:val="008144FB"/>
    <w:rsid w:val="00814AFD"/>
    <w:rsid w:val="00814CE4"/>
    <w:rsid w:val="0081571C"/>
    <w:rsid w:val="00815AD8"/>
    <w:rsid w:val="00815E09"/>
    <w:rsid w:val="008169F7"/>
    <w:rsid w:val="00816F80"/>
    <w:rsid w:val="00817F3F"/>
    <w:rsid w:val="0082151B"/>
    <w:rsid w:val="00825DBB"/>
    <w:rsid w:val="00826160"/>
    <w:rsid w:val="00826A64"/>
    <w:rsid w:val="00827444"/>
    <w:rsid w:val="00827B7A"/>
    <w:rsid w:val="00830F4E"/>
    <w:rsid w:val="00833170"/>
    <w:rsid w:val="008377D9"/>
    <w:rsid w:val="008412B7"/>
    <w:rsid w:val="00841909"/>
    <w:rsid w:val="00841AF3"/>
    <w:rsid w:val="0084295D"/>
    <w:rsid w:val="00852A7F"/>
    <w:rsid w:val="00852F41"/>
    <w:rsid w:val="00854CFD"/>
    <w:rsid w:val="008605D9"/>
    <w:rsid w:val="008629D1"/>
    <w:rsid w:val="008634F4"/>
    <w:rsid w:val="00863C1E"/>
    <w:rsid w:val="0087238E"/>
    <w:rsid w:val="0087331A"/>
    <w:rsid w:val="008759B2"/>
    <w:rsid w:val="00882BA4"/>
    <w:rsid w:val="00883020"/>
    <w:rsid w:val="008849F4"/>
    <w:rsid w:val="0088678A"/>
    <w:rsid w:val="00886F69"/>
    <w:rsid w:val="00887A4F"/>
    <w:rsid w:val="00891093"/>
    <w:rsid w:val="00892C2A"/>
    <w:rsid w:val="00893792"/>
    <w:rsid w:val="008958B4"/>
    <w:rsid w:val="00897B40"/>
    <w:rsid w:val="008A00CA"/>
    <w:rsid w:val="008A21D7"/>
    <w:rsid w:val="008A33F5"/>
    <w:rsid w:val="008A410F"/>
    <w:rsid w:val="008A68FA"/>
    <w:rsid w:val="008A6A6A"/>
    <w:rsid w:val="008B0058"/>
    <w:rsid w:val="008B0959"/>
    <w:rsid w:val="008B0994"/>
    <w:rsid w:val="008B2F1A"/>
    <w:rsid w:val="008B4531"/>
    <w:rsid w:val="008B47C5"/>
    <w:rsid w:val="008B5C4B"/>
    <w:rsid w:val="008B6E2A"/>
    <w:rsid w:val="008B7257"/>
    <w:rsid w:val="008B7DFE"/>
    <w:rsid w:val="008C0CF0"/>
    <w:rsid w:val="008C42EF"/>
    <w:rsid w:val="008C5F70"/>
    <w:rsid w:val="008C62E9"/>
    <w:rsid w:val="008C661B"/>
    <w:rsid w:val="008C7AFD"/>
    <w:rsid w:val="008D001A"/>
    <w:rsid w:val="008D1760"/>
    <w:rsid w:val="008D1AD5"/>
    <w:rsid w:val="008E0182"/>
    <w:rsid w:val="008E2344"/>
    <w:rsid w:val="008E43E6"/>
    <w:rsid w:val="008E5DB1"/>
    <w:rsid w:val="008E784E"/>
    <w:rsid w:val="008F01DC"/>
    <w:rsid w:val="008F0A38"/>
    <w:rsid w:val="008F271C"/>
    <w:rsid w:val="008F2C87"/>
    <w:rsid w:val="008F357F"/>
    <w:rsid w:val="008F5F7E"/>
    <w:rsid w:val="008F6AD7"/>
    <w:rsid w:val="008F72A8"/>
    <w:rsid w:val="008F74A9"/>
    <w:rsid w:val="0090074A"/>
    <w:rsid w:val="00900760"/>
    <w:rsid w:val="009008F9"/>
    <w:rsid w:val="00900D1E"/>
    <w:rsid w:val="0090128F"/>
    <w:rsid w:val="009019BA"/>
    <w:rsid w:val="00904699"/>
    <w:rsid w:val="009047FC"/>
    <w:rsid w:val="00904843"/>
    <w:rsid w:val="0090631D"/>
    <w:rsid w:val="00906EB3"/>
    <w:rsid w:val="00910F55"/>
    <w:rsid w:val="00913C2D"/>
    <w:rsid w:val="009147AE"/>
    <w:rsid w:val="0091586F"/>
    <w:rsid w:val="00922CCD"/>
    <w:rsid w:val="00925C8A"/>
    <w:rsid w:val="00932842"/>
    <w:rsid w:val="00940B9F"/>
    <w:rsid w:val="00941194"/>
    <w:rsid w:val="009411A9"/>
    <w:rsid w:val="0094413C"/>
    <w:rsid w:val="00951965"/>
    <w:rsid w:val="009523C6"/>
    <w:rsid w:val="00953851"/>
    <w:rsid w:val="00953E6D"/>
    <w:rsid w:val="0095600D"/>
    <w:rsid w:val="00960A2F"/>
    <w:rsid w:val="00963105"/>
    <w:rsid w:val="009641E7"/>
    <w:rsid w:val="0096771A"/>
    <w:rsid w:val="00973493"/>
    <w:rsid w:val="00976296"/>
    <w:rsid w:val="00977949"/>
    <w:rsid w:val="00980097"/>
    <w:rsid w:val="0098395D"/>
    <w:rsid w:val="00984A50"/>
    <w:rsid w:val="00985E4B"/>
    <w:rsid w:val="009871DE"/>
    <w:rsid w:val="009938A3"/>
    <w:rsid w:val="00993944"/>
    <w:rsid w:val="00995292"/>
    <w:rsid w:val="00995C9A"/>
    <w:rsid w:val="00997CCC"/>
    <w:rsid w:val="009A0140"/>
    <w:rsid w:val="009A28E0"/>
    <w:rsid w:val="009A2D3D"/>
    <w:rsid w:val="009A3E72"/>
    <w:rsid w:val="009A449E"/>
    <w:rsid w:val="009A56ED"/>
    <w:rsid w:val="009A78A4"/>
    <w:rsid w:val="009B0520"/>
    <w:rsid w:val="009B0C0F"/>
    <w:rsid w:val="009B2F4A"/>
    <w:rsid w:val="009B4EEC"/>
    <w:rsid w:val="009B5D8A"/>
    <w:rsid w:val="009B604D"/>
    <w:rsid w:val="009C0BCC"/>
    <w:rsid w:val="009C226F"/>
    <w:rsid w:val="009C361C"/>
    <w:rsid w:val="009C5300"/>
    <w:rsid w:val="009C56B6"/>
    <w:rsid w:val="009C68F2"/>
    <w:rsid w:val="009D2CEE"/>
    <w:rsid w:val="009D3685"/>
    <w:rsid w:val="009D39AB"/>
    <w:rsid w:val="009D46CC"/>
    <w:rsid w:val="009D63F3"/>
    <w:rsid w:val="009E4B7E"/>
    <w:rsid w:val="009E70EB"/>
    <w:rsid w:val="009F0629"/>
    <w:rsid w:val="009F597F"/>
    <w:rsid w:val="00A0139C"/>
    <w:rsid w:val="00A015A7"/>
    <w:rsid w:val="00A0296E"/>
    <w:rsid w:val="00A0468A"/>
    <w:rsid w:val="00A05333"/>
    <w:rsid w:val="00A1220C"/>
    <w:rsid w:val="00A14DB1"/>
    <w:rsid w:val="00A15401"/>
    <w:rsid w:val="00A16C32"/>
    <w:rsid w:val="00A207DB"/>
    <w:rsid w:val="00A21E7B"/>
    <w:rsid w:val="00A236C8"/>
    <w:rsid w:val="00A2419D"/>
    <w:rsid w:val="00A24584"/>
    <w:rsid w:val="00A24BE8"/>
    <w:rsid w:val="00A25253"/>
    <w:rsid w:val="00A27F9C"/>
    <w:rsid w:val="00A33324"/>
    <w:rsid w:val="00A378F6"/>
    <w:rsid w:val="00A41DEC"/>
    <w:rsid w:val="00A45610"/>
    <w:rsid w:val="00A459A5"/>
    <w:rsid w:val="00A46447"/>
    <w:rsid w:val="00A46DB6"/>
    <w:rsid w:val="00A46FFD"/>
    <w:rsid w:val="00A471AF"/>
    <w:rsid w:val="00A50690"/>
    <w:rsid w:val="00A5554C"/>
    <w:rsid w:val="00A571EE"/>
    <w:rsid w:val="00A65DB9"/>
    <w:rsid w:val="00A672DD"/>
    <w:rsid w:val="00A67A95"/>
    <w:rsid w:val="00A70C71"/>
    <w:rsid w:val="00A7469B"/>
    <w:rsid w:val="00A74DED"/>
    <w:rsid w:val="00A764A2"/>
    <w:rsid w:val="00A769B3"/>
    <w:rsid w:val="00A77A9A"/>
    <w:rsid w:val="00A77EBF"/>
    <w:rsid w:val="00A84083"/>
    <w:rsid w:val="00A84F06"/>
    <w:rsid w:val="00A86D95"/>
    <w:rsid w:val="00A87725"/>
    <w:rsid w:val="00A90E28"/>
    <w:rsid w:val="00A9454F"/>
    <w:rsid w:val="00A94E87"/>
    <w:rsid w:val="00A95872"/>
    <w:rsid w:val="00A97ACF"/>
    <w:rsid w:val="00AA05AA"/>
    <w:rsid w:val="00AA3C30"/>
    <w:rsid w:val="00AA4CCD"/>
    <w:rsid w:val="00AA4EF4"/>
    <w:rsid w:val="00AA4EF5"/>
    <w:rsid w:val="00AA5313"/>
    <w:rsid w:val="00AA5D72"/>
    <w:rsid w:val="00AA6C18"/>
    <w:rsid w:val="00AA7419"/>
    <w:rsid w:val="00AA7424"/>
    <w:rsid w:val="00AB3146"/>
    <w:rsid w:val="00AB356E"/>
    <w:rsid w:val="00AB3C89"/>
    <w:rsid w:val="00AB541B"/>
    <w:rsid w:val="00AC0FFF"/>
    <w:rsid w:val="00AD100B"/>
    <w:rsid w:val="00AD2B26"/>
    <w:rsid w:val="00AD6C8A"/>
    <w:rsid w:val="00AD7B1A"/>
    <w:rsid w:val="00AE06B9"/>
    <w:rsid w:val="00AE3DF8"/>
    <w:rsid w:val="00AE4359"/>
    <w:rsid w:val="00AE4595"/>
    <w:rsid w:val="00AE77F9"/>
    <w:rsid w:val="00AF21DA"/>
    <w:rsid w:val="00AF2C70"/>
    <w:rsid w:val="00AF2CFE"/>
    <w:rsid w:val="00AF3E10"/>
    <w:rsid w:val="00AF5619"/>
    <w:rsid w:val="00B0022C"/>
    <w:rsid w:val="00B0042D"/>
    <w:rsid w:val="00B02AB3"/>
    <w:rsid w:val="00B05945"/>
    <w:rsid w:val="00B07609"/>
    <w:rsid w:val="00B10215"/>
    <w:rsid w:val="00B11468"/>
    <w:rsid w:val="00B12E26"/>
    <w:rsid w:val="00B1392B"/>
    <w:rsid w:val="00B14598"/>
    <w:rsid w:val="00B14CF4"/>
    <w:rsid w:val="00B15355"/>
    <w:rsid w:val="00B16FEE"/>
    <w:rsid w:val="00B17332"/>
    <w:rsid w:val="00B17A8D"/>
    <w:rsid w:val="00B20374"/>
    <w:rsid w:val="00B20DAD"/>
    <w:rsid w:val="00B22A3C"/>
    <w:rsid w:val="00B2405F"/>
    <w:rsid w:val="00B2493C"/>
    <w:rsid w:val="00B331CD"/>
    <w:rsid w:val="00B37C39"/>
    <w:rsid w:val="00B40A56"/>
    <w:rsid w:val="00B4162F"/>
    <w:rsid w:val="00B46A65"/>
    <w:rsid w:val="00B503EC"/>
    <w:rsid w:val="00B52775"/>
    <w:rsid w:val="00B542EE"/>
    <w:rsid w:val="00B54BCC"/>
    <w:rsid w:val="00B555D1"/>
    <w:rsid w:val="00B55609"/>
    <w:rsid w:val="00B57FB4"/>
    <w:rsid w:val="00B60A36"/>
    <w:rsid w:val="00B63F3F"/>
    <w:rsid w:val="00B65894"/>
    <w:rsid w:val="00B661DC"/>
    <w:rsid w:val="00B66741"/>
    <w:rsid w:val="00B6712A"/>
    <w:rsid w:val="00B67C8F"/>
    <w:rsid w:val="00B7249E"/>
    <w:rsid w:val="00B727DE"/>
    <w:rsid w:val="00B73C00"/>
    <w:rsid w:val="00B73E17"/>
    <w:rsid w:val="00B7599F"/>
    <w:rsid w:val="00B75C1D"/>
    <w:rsid w:val="00B82AE9"/>
    <w:rsid w:val="00B848D7"/>
    <w:rsid w:val="00B8504B"/>
    <w:rsid w:val="00B87819"/>
    <w:rsid w:val="00B90A2D"/>
    <w:rsid w:val="00B92831"/>
    <w:rsid w:val="00B92923"/>
    <w:rsid w:val="00B9453B"/>
    <w:rsid w:val="00B947CE"/>
    <w:rsid w:val="00B949BA"/>
    <w:rsid w:val="00B94F93"/>
    <w:rsid w:val="00B95271"/>
    <w:rsid w:val="00B9755E"/>
    <w:rsid w:val="00BA2721"/>
    <w:rsid w:val="00BA625F"/>
    <w:rsid w:val="00BA7597"/>
    <w:rsid w:val="00BB0C0A"/>
    <w:rsid w:val="00BB1F5E"/>
    <w:rsid w:val="00BB2B9A"/>
    <w:rsid w:val="00BB4CE5"/>
    <w:rsid w:val="00BB5E70"/>
    <w:rsid w:val="00BC14A6"/>
    <w:rsid w:val="00BC247F"/>
    <w:rsid w:val="00BC2A46"/>
    <w:rsid w:val="00BC4748"/>
    <w:rsid w:val="00BC559A"/>
    <w:rsid w:val="00BC6FAB"/>
    <w:rsid w:val="00BC7D00"/>
    <w:rsid w:val="00BD09AD"/>
    <w:rsid w:val="00BD2D6A"/>
    <w:rsid w:val="00BD3438"/>
    <w:rsid w:val="00BD3F8B"/>
    <w:rsid w:val="00BD4F95"/>
    <w:rsid w:val="00BD6D0F"/>
    <w:rsid w:val="00BD7D92"/>
    <w:rsid w:val="00BD7FB8"/>
    <w:rsid w:val="00BE144B"/>
    <w:rsid w:val="00BE4227"/>
    <w:rsid w:val="00BE4E2D"/>
    <w:rsid w:val="00BE588D"/>
    <w:rsid w:val="00BE5EEC"/>
    <w:rsid w:val="00BF1451"/>
    <w:rsid w:val="00BF28C8"/>
    <w:rsid w:val="00BF43FF"/>
    <w:rsid w:val="00BF61AB"/>
    <w:rsid w:val="00BF6C40"/>
    <w:rsid w:val="00BF7BCD"/>
    <w:rsid w:val="00C0279B"/>
    <w:rsid w:val="00C02CEE"/>
    <w:rsid w:val="00C079C1"/>
    <w:rsid w:val="00C1094E"/>
    <w:rsid w:val="00C13BDD"/>
    <w:rsid w:val="00C14D1C"/>
    <w:rsid w:val="00C15E52"/>
    <w:rsid w:val="00C1782C"/>
    <w:rsid w:val="00C178BF"/>
    <w:rsid w:val="00C17A19"/>
    <w:rsid w:val="00C2033C"/>
    <w:rsid w:val="00C20762"/>
    <w:rsid w:val="00C2328D"/>
    <w:rsid w:val="00C24B6D"/>
    <w:rsid w:val="00C309C1"/>
    <w:rsid w:val="00C32282"/>
    <w:rsid w:val="00C33597"/>
    <w:rsid w:val="00C353FC"/>
    <w:rsid w:val="00C3571C"/>
    <w:rsid w:val="00C46F55"/>
    <w:rsid w:val="00C47748"/>
    <w:rsid w:val="00C52011"/>
    <w:rsid w:val="00C52AEC"/>
    <w:rsid w:val="00C53EA5"/>
    <w:rsid w:val="00C55706"/>
    <w:rsid w:val="00C56440"/>
    <w:rsid w:val="00C624A3"/>
    <w:rsid w:val="00C63C83"/>
    <w:rsid w:val="00C65C8F"/>
    <w:rsid w:val="00C67EF9"/>
    <w:rsid w:val="00C7020B"/>
    <w:rsid w:val="00C70726"/>
    <w:rsid w:val="00C70B65"/>
    <w:rsid w:val="00C728C8"/>
    <w:rsid w:val="00C72E85"/>
    <w:rsid w:val="00C73456"/>
    <w:rsid w:val="00C74CFE"/>
    <w:rsid w:val="00C75780"/>
    <w:rsid w:val="00C77159"/>
    <w:rsid w:val="00C8115B"/>
    <w:rsid w:val="00C83919"/>
    <w:rsid w:val="00C86A11"/>
    <w:rsid w:val="00C87B4C"/>
    <w:rsid w:val="00C92A0B"/>
    <w:rsid w:val="00C9613A"/>
    <w:rsid w:val="00CA081E"/>
    <w:rsid w:val="00CA1294"/>
    <w:rsid w:val="00CA4166"/>
    <w:rsid w:val="00CB0A90"/>
    <w:rsid w:val="00CB14BC"/>
    <w:rsid w:val="00CB17B2"/>
    <w:rsid w:val="00CB44F0"/>
    <w:rsid w:val="00CB6505"/>
    <w:rsid w:val="00CB6FA2"/>
    <w:rsid w:val="00CC0241"/>
    <w:rsid w:val="00CC2181"/>
    <w:rsid w:val="00CC2FDA"/>
    <w:rsid w:val="00CC3585"/>
    <w:rsid w:val="00CC7545"/>
    <w:rsid w:val="00CC75BE"/>
    <w:rsid w:val="00CD148E"/>
    <w:rsid w:val="00CD4EAA"/>
    <w:rsid w:val="00CD5ABC"/>
    <w:rsid w:val="00CD629B"/>
    <w:rsid w:val="00CD72F8"/>
    <w:rsid w:val="00CE0D6E"/>
    <w:rsid w:val="00CE3342"/>
    <w:rsid w:val="00CE3ADE"/>
    <w:rsid w:val="00CE3BA2"/>
    <w:rsid w:val="00CF02BC"/>
    <w:rsid w:val="00CF0C72"/>
    <w:rsid w:val="00CF2766"/>
    <w:rsid w:val="00CF3910"/>
    <w:rsid w:val="00CF3C41"/>
    <w:rsid w:val="00CF4ECC"/>
    <w:rsid w:val="00CF72AE"/>
    <w:rsid w:val="00D01630"/>
    <w:rsid w:val="00D10AEC"/>
    <w:rsid w:val="00D10BED"/>
    <w:rsid w:val="00D10E50"/>
    <w:rsid w:val="00D11108"/>
    <w:rsid w:val="00D113A6"/>
    <w:rsid w:val="00D12565"/>
    <w:rsid w:val="00D12782"/>
    <w:rsid w:val="00D1353E"/>
    <w:rsid w:val="00D151C9"/>
    <w:rsid w:val="00D15390"/>
    <w:rsid w:val="00D16759"/>
    <w:rsid w:val="00D235A8"/>
    <w:rsid w:val="00D23879"/>
    <w:rsid w:val="00D25EBF"/>
    <w:rsid w:val="00D3077D"/>
    <w:rsid w:val="00D34037"/>
    <w:rsid w:val="00D34DCB"/>
    <w:rsid w:val="00D355C6"/>
    <w:rsid w:val="00D377B6"/>
    <w:rsid w:val="00D37889"/>
    <w:rsid w:val="00D423F6"/>
    <w:rsid w:val="00D46084"/>
    <w:rsid w:val="00D5262E"/>
    <w:rsid w:val="00D561D3"/>
    <w:rsid w:val="00D56754"/>
    <w:rsid w:val="00D56B5B"/>
    <w:rsid w:val="00D61597"/>
    <w:rsid w:val="00D62066"/>
    <w:rsid w:val="00D6371F"/>
    <w:rsid w:val="00D63B0F"/>
    <w:rsid w:val="00D6545E"/>
    <w:rsid w:val="00D65E62"/>
    <w:rsid w:val="00D6705D"/>
    <w:rsid w:val="00D67770"/>
    <w:rsid w:val="00D67A01"/>
    <w:rsid w:val="00D716BD"/>
    <w:rsid w:val="00D74658"/>
    <w:rsid w:val="00D75C02"/>
    <w:rsid w:val="00D760DD"/>
    <w:rsid w:val="00D76BF7"/>
    <w:rsid w:val="00D774BF"/>
    <w:rsid w:val="00D81723"/>
    <w:rsid w:val="00D82F1C"/>
    <w:rsid w:val="00D83C88"/>
    <w:rsid w:val="00D85FF0"/>
    <w:rsid w:val="00D8765D"/>
    <w:rsid w:val="00D9094C"/>
    <w:rsid w:val="00D90BC7"/>
    <w:rsid w:val="00D91DEA"/>
    <w:rsid w:val="00D923BF"/>
    <w:rsid w:val="00D93ABC"/>
    <w:rsid w:val="00D9689A"/>
    <w:rsid w:val="00D97367"/>
    <w:rsid w:val="00DA0B67"/>
    <w:rsid w:val="00DA2582"/>
    <w:rsid w:val="00DA3053"/>
    <w:rsid w:val="00DA30BF"/>
    <w:rsid w:val="00DA5195"/>
    <w:rsid w:val="00DA5346"/>
    <w:rsid w:val="00DB06CE"/>
    <w:rsid w:val="00DB25A7"/>
    <w:rsid w:val="00DB37CC"/>
    <w:rsid w:val="00DB4CE6"/>
    <w:rsid w:val="00DB57EF"/>
    <w:rsid w:val="00DB7CF6"/>
    <w:rsid w:val="00DC1861"/>
    <w:rsid w:val="00DC4BA5"/>
    <w:rsid w:val="00DD16C0"/>
    <w:rsid w:val="00DD1BF2"/>
    <w:rsid w:val="00DD3E7C"/>
    <w:rsid w:val="00DD475C"/>
    <w:rsid w:val="00DD515C"/>
    <w:rsid w:val="00DE2CB5"/>
    <w:rsid w:val="00DE4F93"/>
    <w:rsid w:val="00DE6C22"/>
    <w:rsid w:val="00DE77CA"/>
    <w:rsid w:val="00DF020F"/>
    <w:rsid w:val="00DF30D0"/>
    <w:rsid w:val="00DF4664"/>
    <w:rsid w:val="00DF50E4"/>
    <w:rsid w:val="00E013D3"/>
    <w:rsid w:val="00E01A48"/>
    <w:rsid w:val="00E058EE"/>
    <w:rsid w:val="00E1177C"/>
    <w:rsid w:val="00E156A4"/>
    <w:rsid w:val="00E1732B"/>
    <w:rsid w:val="00E17C8B"/>
    <w:rsid w:val="00E17D8F"/>
    <w:rsid w:val="00E201DE"/>
    <w:rsid w:val="00E23E68"/>
    <w:rsid w:val="00E23F9D"/>
    <w:rsid w:val="00E24B0A"/>
    <w:rsid w:val="00E27543"/>
    <w:rsid w:val="00E310BD"/>
    <w:rsid w:val="00E31186"/>
    <w:rsid w:val="00E33D03"/>
    <w:rsid w:val="00E34E4E"/>
    <w:rsid w:val="00E35F61"/>
    <w:rsid w:val="00E36E52"/>
    <w:rsid w:val="00E4116F"/>
    <w:rsid w:val="00E411A9"/>
    <w:rsid w:val="00E431B8"/>
    <w:rsid w:val="00E441C6"/>
    <w:rsid w:val="00E442B3"/>
    <w:rsid w:val="00E468BB"/>
    <w:rsid w:val="00E50B51"/>
    <w:rsid w:val="00E5450E"/>
    <w:rsid w:val="00E54942"/>
    <w:rsid w:val="00E61083"/>
    <w:rsid w:val="00E62A77"/>
    <w:rsid w:val="00E62A8A"/>
    <w:rsid w:val="00E63A9A"/>
    <w:rsid w:val="00E64A22"/>
    <w:rsid w:val="00E65CC6"/>
    <w:rsid w:val="00E671AA"/>
    <w:rsid w:val="00E67768"/>
    <w:rsid w:val="00E72B8C"/>
    <w:rsid w:val="00E740E9"/>
    <w:rsid w:val="00E747F4"/>
    <w:rsid w:val="00E74A08"/>
    <w:rsid w:val="00E75686"/>
    <w:rsid w:val="00E75C9E"/>
    <w:rsid w:val="00E83F7E"/>
    <w:rsid w:val="00E84E12"/>
    <w:rsid w:val="00E9082E"/>
    <w:rsid w:val="00E918A6"/>
    <w:rsid w:val="00E91B1D"/>
    <w:rsid w:val="00E948BB"/>
    <w:rsid w:val="00EA257F"/>
    <w:rsid w:val="00EA26FF"/>
    <w:rsid w:val="00EA322B"/>
    <w:rsid w:val="00EA3768"/>
    <w:rsid w:val="00EA38DC"/>
    <w:rsid w:val="00EA60F1"/>
    <w:rsid w:val="00EA627D"/>
    <w:rsid w:val="00EA6C96"/>
    <w:rsid w:val="00EB08E5"/>
    <w:rsid w:val="00EB1DB9"/>
    <w:rsid w:val="00EB20DD"/>
    <w:rsid w:val="00EB5248"/>
    <w:rsid w:val="00EB7E03"/>
    <w:rsid w:val="00EC0910"/>
    <w:rsid w:val="00EC13BA"/>
    <w:rsid w:val="00EC25AD"/>
    <w:rsid w:val="00EC32F2"/>
    <w:rsid w:val="00EC49A4"/>
    <w:rsid w:val="00EC5F7C"/>
    <w:rsid w:val="00EC60C0"/>
    <w:rsid w:val="00EC6807"/>
    <w:rsid w:val="00EC7216"/>
    <w:rsid w:val="00ED0333"/>
    <w:rsid w:val="00ED34B3"/>
    <w:rsid w:val="00ED34E2"/>
    <w:rsid w:val="00ED395F"/>
    <w:rsid w:val="00ED4AF2"/>
    <w:rsid w:val="00ED68CD"/>
    <w:rsid w:val="00ED6D86"/>
    <w:rsid w:val="00EE089F"/>
    <w:rsid w:val="00EE2C43"/>
    <w:rsid w:val="00EE330E"/>
    <w:rsid w:val="00EE5477"/>
    <w:rsid w:val="00EE68C4"/>
    <w:rsid w:val="00EF2CAE"/>
    <w:rsid w:val="00EF44D2"/>
    <w:rsid w:val="00EF5C90"/>
    <w:rsid w:val="00EF750A"/>
    <w:rsid w:val="00EF76DD"/>
    <w:rsid w:val="00EF7B25"/>
    <w:rsid w:val="00F00204"/>
    <w:rsid w:val="00F024D4"/>
    <w:rsid w:val="00F02B90"/>
    <w:rsid w:val="00F032CE"/>
    <w:rsid w:val="00F05ED0"/>
    <w:rsid w:val="00F064D7"/>
    <w:rsid w:val="00F06752"/>
    <w:rsid w:val="00F07996"/>
    <w:rsid w:val="00F12A60"/>
    <w:rsid w:val="00F13F8B"/>
    <w:rsid w:val="00F14325"/>
    <w:rsid w:val="00F16F24"/>
    <w:rsid w:val="00F17BEA"/>
    <w:rsid w:val="00F17EB2"/>
    <w:rsid w:val="00F2091F"/>
    <w:rsid w:val="00F232C0"/>
    <w:rsid w:val="00F249BE"/>
    <w:rsid w:val="00F24B11"/>
    <w:rsid w:val="00F312D8"/>
    <w:rsid w:val="00F41968"/>
    <w:rsid w:val="00F41A40"/>
    <w:rsid w:val="00F41E7A"/>
    <w:rsid w:val="00F428C7"/>
    <w:rsid w:val="00F43773"/>
    <w:rsid w:val="00F43D20"/>
    <w:rsid w:val="00F45637"/>
    <w:rsid w:val="00F54767"/>
    <w:rsid w:val="00F56B32"/>
    <w:rsid w:val="00F62BB2"/>
    <w:rsid w:val="00F62CD7"/>
    <w:rsid w:val="00F63B73"/>
    <w:rsid w:val="00F64665"/>
    <w:rsid w:val="00F652C0"/>
    <w:rsid w:val="00F66959"/>
    <w:rsid w:val="00F70F59"/>
    <w:rsid w:val="00F71061"/>
    <w:rsid w:val="00F729C2"/>
    <w:rsid w:val="00F72DB8"/>
    <w:rsid w:val="00F7497A"/>
    <w:rsid w:val="00F74EF8"/>
    <w:rsid w:val="00F7535A"/>
    <w:rsid w:val="00F759C7"/>
    <w:rsid w:val="00F763B1"/>
    <w:rsid w:val="00F76E53"/>
    <w:rsid w:val="00F8172E"/>
    <w:rsid w:val="00F8363E"/>
    <w:rsid w:val="00F87F8E"/>
    <w:rsid w:val="00F910EB"/>
    <w:rsid w:val="00F911FE"/>
    <w:rsid w:val="00F9362C"/>
    <w:rsid w:val="00F94230"/>
    <w:rsid w:val="00F966FC"/>
    <w:rsid w:val="00FA04E2"/>
    <w:rsid w:val="00FA0B79"/>
    <w:rsid w:val="00FA5956"/>
    <w:rsid w:val="00FB51D6"/>
    <w:rsid w:val="00FB617C"/>
    <w:rsid w:val="00FB7478"/>
    <w:rsid w:val="00FC0010"/>
    <w:rsid w:val="00FC339D"/>
    <w:rsid w:val="00FC4989"/>
    <w:rsid w:val="00FC563B"/>
    <w:rsid w:val="00FC649C"/>
    <w:rsid w:val="00FD07D5"/>
    <w:rsid w:val="00FD0CD3"/>
    <w:rsid w:val="00FD1955"/>
    <w:rsid w:val="00FD28A6"/>
    <w:rsid w:val="00FD2A41"/>
    <w:rsid w:val="00FD2A66"/>
    <w:rsid w:val="00FD5D01"/>
    <w:rsid w:val="00FD75CC"/>
    <w:rsid w:val="00FD79B6"/>
    <w:rsid w:val="00FD7B98"/>
    <w:rsid w:val="00FE0423"/>
    <w:rsid w:val="00FE0658"/>
    <w:rsid w:val="00FE14F5"/>
    <w:rsid w:val="00FE16CA"/>
    <w:rsid w:val="00FE694B"/>
    <w:rsid w:val="00FE7396"/>
    <w:rsid w:val="00FE7858"/>
    <w:rsid w:val="00FF0408"/>
    <w:rsid w:val="00FF1CDD"/>
    <w:rsid w:val="00FF2FED"/>
    <w:rsid w:val="00FF35CA"/>
    <w:rsid w:val="00FF4C47"/>
    <w:rsid w:val="00FF600D"/>
    <w:rsid w:val="00FF6272"/>
    <w:rsid w:val="00FF63FF"/>
    <w:rsid w:val="00FF6C74"/>
    <w:rsid w:val="01103199"/>
    <w:rsid w:val="012F08D6"/>
    <w:rsid w:val="013405FE"/>
    <w:rsid w:val="01541165"/>
    <w:rsid w:val="016C3EAA"/>
    <w:rsid w:val="016F6949"/>
    <w:rsid w:val="01925D86"/>
    <w:rsid w:val="01A21296"/>
    <w:rsid w:val="01EC5902"/>
    <w:rsid w:val="01FA2B9A"/>
    <w:rsid w:val="020E018B"/>
    <w:rsid w:val="02271B7F"/>
    <w:rsid w:val="0250478D"/>
    <w:rsid w:val="025C77E9"/>
    <w:rsid w:val="026A7596"/>
    <w:rsid w:val="026B7D0F"/>
    <w:rsid w:val="0275787A"/>
    <w:rsid w:val="02AE5047"/>
    <w:rsid w:val="02C962F0"/>
    <w:rsid w:val="031F1920"/>
    <w:rsid w:val="03E967A4"/>
    <w:rsid w:val="03FF02C7"/>
    <w:rsid w:val="04292812"/>
    <w:rsid w:val="048837D7"/>
    <w:rsid w:val="04B36B91"/>
    <w:rsid w:val="04B9440B"/>
    <w:rsid w:val="051A0B86"/>
    <w:rsid w:val="05236D16"/>
    <w:rsid w:val="05386A05"/>
    <w:rsid w:val="054C4E1C"/>
    <w:rsid w:val="057D00D8"/>
    <w:rsid w:val="05990524"/>
    <w:rsid w:val="05AC7B83"/>
    <w:rsid w:val="06025866"/>
    <w:rsid w:val="06140320"/>
    <w:rsid w:val="0615263A"/>
    <w:rsid w:val="06163367"/>
    <w:rsid w:val="06234498"/>
    <w:rsid w:val="06310914"/>
    <w:rsid w:val="06416EB3"/>
    <w:rsid w:val="06755F7A"/>
    <w:rsid w:val="068D6A9A"/>
    <w:rsid w:val="069C7C0F"/>
    <w:rsid w:val="06A321AB"/>
    <w:rsid w:val="06AE5A12"/>
    <w:rsid w:val="06C92BFF"/>
    <w:rsid w:val="06D01A50"/>
    <w:rsid w:val="06D2293F"/>
    <w:rsid w:val="06ED7CCD"/>
    <w:rsid w:val="074F2FB1"/>
    <w:rsid w:val="07672177"/>
    <w:rsid w:val="076C1960"/>
    <w:rsid w:val="077A193F"/>
    <w:rsid w:val="07AB6709"/>
    <w:rsid w:val="07DD2A39"/>
    <w:rsid w:val="07F6380E"/>
    <w:rsid w:val="07FA0250"/>
    <w:rsid w:val="08207BC3"/>
    <w:rsid w:val="083B7362"/>
    <w:rsid w:val="084E4C47"/>
    <w:rsid w:val="085758FE"/>
    <w:rsid w:val="08F7413F"/>
    <w:rsid w:val="090B4C91"/>
    <w:rsid w:val="09346B32"/>
    <w:rsid w:val="09446ADF"/>
    <w:rsid w:val="095070F7"/>
    <w:rsid w:val="095F7392"/>
    <w:rsid w:val="09A95B83"/>
    <w:rsid w:val="0A3148DE"/>
    <w:rsid w:val="0A655949"/>
    <w:rsid w:val="0A8472D9"/>
    <w:rsid w:val="0A860A8E"/>
    <w:rsid w:val="0AE16426"/>
    <w:rsid w:val="0AF5058E"/>
    <w:rsid w:val="0AF53405"/>
    <w:rsid w:val="0B0C62AB"/>
    <w:rsid w:val="0B147988"/>
    <w:rsid w:val="0B38289D"/>
    <w:rsid w:val="0B691C7F"/>
    <w:rsid w:val="0B6945EB"/>
    <w:rsid w:val="0B963E52"/>
    <w:rsid w:val="0BC84926"/>
    <w:rsid w:val="0C071B2D"/>
    <w:rsid w:val="0C0A0936"/>
    <w:rsid w:val="0C5715E5"/>
    <w:rsid w:val="0C6179FC"/>
    <w:rsid w:val="0C7B0014"/>
    <w:rsid w:val="0C9426BE"/>
    <w:rsid w:val="0C9C3D0A"/>
    <w:rsid w:val="0C9F2F53"/>
    <w:rsid w:val="0CAF204C"/>
    <w:rsid w:val="0CD13AB3"/>
    <w:rsid w:val="0CDF2D12"/>
    <w:rsid w:val="0CE32B6A"/>
    <w:rsid w:val="0CF638A0"/>
    <w:rsid w:val="0D1902F9"/>
    <w:rsid w:val="0D4A617C"/>
    <w:rsid w:val="0D5A516C"/>
    <w:rsid w:val="0D8473E9"/>
    <w:rsid w:val="0D9C1620"/>
    <w:rsid w:val="0DB8208B"/>
    <w:rsid w:val="0DBB262A"/>
    <w:rsid w:val="0DCA6264"/>
    <w:rsid w:val="0E131C61"/>
    <w:rsid w:val="0E261FE6"/>
    <w:rsid w:val="0E5079FB"/>
    <w:rsid w:val="0E5A5DA8"/>
    <w:rsid w:val="0EC00267"/>
    <w:rsid w:val="0EDE2E4B"/>
    <w:rsid w:val="0F302916"/>
    <w:rsid w:val="0F546059"/>
    <w:rsid w:val="0F733A1B"/>
    <w:rsid w:val="0F961ACC"/>
    <w:rsid w:val="0FE4482E"/>
    <w:rsid w:val="0FE86021"/>
    <w:rsid w:val="107C41D4"/>
    <w:rsid w:val="10896258"/>
    <w:rsid w:val="109C1627"/>
    <w:rsid w:val="11502526"/>
    <w:rsid w:val="118B298D"/>
    <w:rsid w:val="11942BC5"/>
    <w:rsid w:val="119F5254"/>
    <w:rsid w:val="11B12FD8"/>
    <w:rsid w:val="11B75CBB"/>
    <w:rsid w:val="11BF6C66"/>
    <w:rsid w:val="11C60864"/>
    <w:rsid w:val="11E96C22"/>
    <w:rsid w:val="122B67A8"/>
    <w:rsid w:val="124E57A7"/>
    <w:rsid w:val="126853EA"/>
    <w:rsid w:val="127313AD"/>
    <w:rsid w:val="12790C6E"/>
    <w:rsid w:val="12840651"/>
    <w:rsid w:val="12885BCA"/>
    <w:rsid w:val="129A3AB6"/>
    <w:rsid w:val="12C11FC2"/>
    <w:rsid w:val="12D64B15"/>
    <w:rsid w:val="12E11725"/>
    <w:rsid w:val="12F4129C"/>
    <w:rsid w:val="12F6175F"/>
    <w:rsid w:val="13087E34"/>
    <w:rsid w:val="130E723B"/>
    <w:rsid w:val="132419F5"/>
    <w:rsid w:val="13276E88"/>
    <w:rsid w:val="136225EF"/>
    <w:rsid w:val="137A427F"/>
    <w:rsid w:val="137E4D95"/>
    <w:rsid w:val="1561030D"/>
    <w:rsid w:val="157B00F4"/>
    <w:rsid w:val="15815251"/>
    <w:rsid w:val="15B92FD4"/>
    <w:rsid w:val="15BF3116"/>
    <w:rsid w:val="15C0284B"/>
    <w:rsid w:val="15C711D7"/>
    <w:rsid w:val="15ED025F"/>
    <w:rsid w:val="16051E2B"/>
    <w:rsid w:val="16232EE4"/>
    <w:rsid w:val="16265F04"/>
    <w:rsid w:val="164333E0"/>
    <w:rsid w:val="166417BF"/>
    <w:rsid w:val="169228A7"/>
    <w:rsid w:val="16C60BB8"/>
    <w:rsid w:val="16E3372B"/>
    <w:rsid w:val="16E50911"/>
    <w:rsid w:val="16EB2EDF"/>
    <w:rsid w:val="16FD5042"/>
    <w:rsid w:val="17004AD1"/>
    <w:rsid w:val="171673AE"/>
    <w:rsid w:val="171968B0"/>
    <w:rsid w:val="172237A7"/>
    <w:rsid w:val="17816A97"/>
    <w:rsid w:val="178B69EF"/>
    <w:rsid w:val="17CF5774"/>
    <w:rsid w:val="17D661E0"/>
    <w:rsid w:val="18327578"/>
    <w:rsid w:val="183363FC"/>
    <w:rsid w:val="18711213"/>
    <w:rsid w:val="18781C3C"/>
    <w:rsid w:val="188A2615"/>
    <w:rsid w:val="18A5411E"/>
    <w:rsid w:val="18AB7E13"/>
    <w:rsid w:val="18AE6786"/>
    <w:rsid w:val="18B733CE"/>
    <w:rsid w:val="191A1BF9"/>
    <w:rsid w:val="191F6BCF"/>
    <w:rsid w:val="192F2B55"/>
    <w:rsid w:val="19582C56"/>
    <w:rsid w:val="19671726"/>
    <w:rsid w:val="19875F8A"/>
    <w:rsid w:val="1995436F"/>
    <w:rsid w:val="19D0151C"/>
    <w:rsid w:val="19D650BB"/>
    <w:rsid w:val="1A7844E3"/>
    <w:rsid w:val="1A8416B3"/>
    <w:rsid w:val="1A980BF6"/>
    <w:rsid w:val="1AAD2966"/>
    <w:rsid w:val="1AD03BC1"/>
    <w:rsid w:val="1AD63050"/>
    <w:rsid w:val="1AD74821"/>
    <w:rsid w:val="1AE94761"/>
    <w:rsid w:val="1B025738"/>
    <w:rsid w:val="1B0B7911"/>
    <w:rsid w:val="1B8B0AA7"/>
    <w:rsid w:val="1B9745DC"/>
    <w:rsid w:val="1BB5230D"/>
    <w:rsid w:val="1BB601F1"/>
    <w:rsid w:val="1BDB1783"/>
    <w:rsid w:val="1BEC4B7D"/>
    <w:rsid w:val="1BFE7101"/>
    <w:rsid w:val="1C26488F"/>
    <w:rsid w:val="1C40117A"/>
    <w:rsid w:val="1C4D1C0E"/>
    <w:rsid w:val="1C5547CD"/>
    <w:rsid w:val="1CCE7DCF"/>
    <w:rsid w:val="1D250B1F"/>
    <w:rsid w:val="1D2A49E0"/>
    <w:rsid w:val="1D3B7D02"/>
    <w:rsid w:val="1D427565"/>
    <w:rsid w:val="1D6F43AC"/>
    <w:rsid w:val="1D77135C"/>
    <w:rsid w:val="1D835719"/>
    <w:rsid w:val="1D9A0BD9"/>
    <w:rsid w:val="1DE93742"/>
    <w:rsid w:val="1E06643B"/>
    <w:rsid w:val="1E1B1342"/>
    <w:rsid w:val="1E350FB9"/>
    <w:rsid w:val="1E3C1E86"/>
    <w:rsid w:val="1E6A7624"/>
    <w:rsid w:val="1E77284D"/>
    <w:rsid w:val="1E9E620E"/>
    <w:rsid w:val="1EA7303C"/>
    <w:rsid w:val="1EB56E38"/>
    <w:rsid w:val="1ED43AA0"/>
    <w:rsid w:val="1FAF58AA"/>
    <w:rsid w:val="1FBD3689"/>
    <w:rsid w:val="1FCA2A68"/>
    <w:rsid w:val="1FD5297A"/>
    <w:rsid w:val="1FE45D58"/>
    <w:rsid w:val="1FEC5F0E"/>
    <w:rsid w:val="1FF476F8"/>
    <w:rsid w:val="1FFE0EDB"/>
    <w:rsid w:val="20074931"/>
    <w:rsid w:val="20237B15"/>
    <w:rsid w:val="205C4392"/>
    <w:rsid w:val="2069657B"/>
    <w:rsid w:val="206E6D36"/>
    <w:rsid w:val="207B6AB8"/>
    <w:rsid w:val="208E08AC"/>
    <w:rsid w:val="20921085"/>
    <w:rsid w:val="20C8146A"/>
    <w:rsid w:val="20EB2521"/>
    <w:rsid w:val="20EC3A5E"/>
    <w:rsid w:val="20FA4BD1"/>
    <w:rsid w:val="211E4DDC"/>
    <w:rsid w:val="21224D76"/>
    <w:rsid w:val="21225495"/>
    <w:rsid w:val="21240656"/>
    <w:rsid w:val="212D3864"/>
    <w:rsid w:val="21300DC1"/>
    <w:rsid w:val="214A08F3"/>
    <w:rsid w:val="21D87690"/>
    <w:rsid w:val="21E8348C"/>
    <w:rsid w:val="21F90D70"/>
    <w:rsid w:val="2221281D"/>
    <w:rsid w:val="22245F0B"/>
    <w:rsid w:val="22246412"/>
    <w:rsid w:val="22790A15"/>
    <w:rsid w:val="2287375A"/>
    <w:rsid w:val="22A87595"/>
    <w:rsid w:val="22AF2A59"/>
    <w:rsid w:val="22B05EAA"/>
    <w:rsid w:val="22B311F7"/>
    <w:rsid w:val="23EB0F5E"/>
    <w:rsid w:val="23F6486B"/>
    <w:rsid w:val="23F9654F"/>
    <w:rsid w:val="24050C12"/>
    <w:rsid w:val="24380291"/>
    <w:rsid w:val="2450425F"/>
    <w:rsid w:val="248A44A0"/>
    <w:rsid w:val="24BB2531"/>
    <w:rsid w:val="24EE538D"/>
    <w:rsid w:val="25093238"/>
    <w:rsid w:val="250D51C7"/>
    <w:rsid w:val="25115925"/>
    <w:rsid w:val="25141179"/>
    <w:rsid w:val="251C3150"/>
    <w:rsid w:val="25297C9A"/>
    <w:rsid w:val="253B7FCE"/>
    <w:rsid w:val="25406CB0"/>
    <w:rsid w:val="25525390"/>
    <w:rsid w:val="255352FC"/>
    <w:rsid w:val="25990527"/>
    <w:rsid w:val="25D87E41"/>
    <w:rsid w:val="260E6C3B"/>
    <w:rsid w:val="2614370F"/>
    <w:rsid w:val="261608AF"/>
    <w:rsid w:val="261B00A2"/>
    <w:rsid w:val="26320878"/>
    <w:rsid w:val="26537569"/>
    <w:rsid w:val="268045C6"/>
    <w:rsid w:val="26BD5390"/>
    <w:rsid w:val="26E44B4C"/>
    <w:rsid w:val="26EF493B"/>
    <w:rsid w:val="27001DD4"/>
    <w:rsid w:val="271A2AD3"/>
    <w:rsid w:val="27420FD5"/>
    <w:rsid w:val="275E3CE1"/>
    <w:rsid w:val="276B76FF"/>
    <w:rsid w:val="277403F3"/>
    <w:rsid w:val="27882DBE"/>
    <w:rsid w:val="27990A06"/>
    <w:rsid w:val="27A66B00"/>
    <w:rsid w:val="27CC4C71"/>
    <w:rsid w:val="27D0632B"/>
    <w:rsid w:val="281C705C"/>
    <w:rsid w:val="284E19A3"/>
    <w:rsid w:val="28582E80"/>
    <w:rsid w:val="288C0361"/>
    <w:rsid w:val="28B30350"/>
    <w:rsid w:val="28D67D0A"/>
    <w:rsid w:val="28DE15F5"/>
    <w:rsid w:val="28DE3504"/>
    <w:rsid w:val="29375D2B"/>
    <w:rsid w:val="293C7C66"/>
    <w:rsid w:val="29573356"/>
    <w:rsid w:val="2979633B"/>
    <w:rsid w:val="29996DB4"/>
    <w:rsid w:val="29B1281C"/>
    <w:rsid w:val="29F77744"/>
    <w:rsid w:val="2A0D2CDB"/>
    <w:rsid w:val="2A23573A"/>
    <w:rsid w:val="2A513CA2"/>
    <w:rsid w:val="2A584480"/>
    <w:rsid w:val="2A8235D9"/>
    <w:rsid w:val="2A923C29"/>
    <w:rsid w:val="2A9F3DD5"/>
    <w:rsid w:val="2ACB5959"/>
    <w:rsid w:val="2B1F179E"/>
    <w:rsid w:val="2B4925AF"/>
    <w:rsid w:val="2B4A6BF7"/>
    <w:rsid w:val="2B56515C"/>
    <w:rsid w:val="2B7917A4"/>
    <w:rsid w:val="2B926A1B"/>
    <w:rsid w:val="2BAF6917"/>
    <w:rsid w:val="2BCA4EFA"/>
    <w:rsid w:val="2C631E99"/>
    <w:rsid w:val="2C6C6095"/>
    <w:rsid w:val="2C7463D0"/>
    <w:rsid w:val="2C8D7E8E"/>
    <w:rsid w:val="2CD70D74"/>
    <w:rsid w:val="2D2A474F"/>
    <w:rsid w:val="2D310962"/>
    <w:rsid w:val="2D3B084E"/>
    <w:rsid w:val="2D3E3E50"/>
    <w:rsid w:val="2D7A0714"/>
    <w:rsid w:val="2D827A9E"/>
    <w:rsid w:val="2DB13C5B"/>
    <w:rsid w:val="2DCF3142"/>
    <w:rsid w:val="2DDC4D6A"/>
    <w:rsid w:val="2E2806C2"/>
    <w:rsid w:val="2E360080"/>
    <w:rsid w:val="2E5A6F3A"/>
    <w:rsid w:val="2E63286E"/>
    <w:rsid w:val="2E8212E5"/>
    <w:rsid w:val="2EB37D3F"/>
    <w:rsid w:val="2ED65F14"/>
    <w:rsid w:val="2F0B2E1B"/>
    <w:rsid w:val="2F0D331D"/>
    <w:rsid w:val="2F13312F"/>
    <w:rsid w:val="2F9F7D51"/>
    <w:rsid w:val="2FB02076"/>
    <w:rsid w:val="2FF039F7"/>
    <w:rsid w:val="2FFF2925"/>
    <w:rsid w:val="300171E9"/>
    <w:rsid w:val="301549A5"/>
    <w:rsid w:val="30270179"/>
    <w:rsid w:val="3027796E"/>
    <w:rsid w:val="30335AC5"/>
    <w:rsid w:val="30507EC4"/>
    <w:rsid w:val="309B7959"/>
    <w:rsid w:val="30CB2D7B"/>
    <w:rsid w:val="30F6148C"/>
    <w:rsid w:val="310F3718"/>
    <w:rsid w:val="312643E4"/>
    <w:rsid w:val="31350F8E"/>
    <w:rsid w:val="31452AFB"/>
    <w:rsid w:val="31471014"/>
    <w:rsid w:val="315476CC"/>
    <w:rsid w:val="31740735"/>
    <w:rsid w:val="31A852DC"/>
    <w:rsid w:val="31BD40BB"/>
    <w:rsid w:val="31BF7F04"/>
    <w:rsid w:val="32541DCF"/>
    <w:rsid w:val="325702D0"/>
    <w:rsid w:val="326B2896"/>
    <w:rsid w:val="32855F74"/>
    <w:rsid w:val="32943040"/>
    <w:rsid w:val="32A6153E"/>
    <w:rsid w:val="32D03AAC"/>
    <w:rsid w:val="32DD1EA9"/>
    <w:rsid w:val="32F939E5"/>
    <w:rsid w:val="334838A4"/>
    <w:rsid w:val="3353654B"/>
    <w:rsid w:val="335C35A3"/>
    <w:rsid w:val="3399180B"/>
    <w:rsid w:val="339A7B2C"/>
    <w:rsid w:val="33C75BB0"/>
    <w:rsid w:val="33D12C87"/>
    <w:rsid w:val="33DA1F0E"/>
    <w:rsid w:val="33E2039D"/>
    <w:rsid w:val="33F3096D"/>
    <w:rsid w:val="340E7112"/>
    <w:rsid w:val="343005E5"/>
    <w:rsid w:val="34481350"/>
    <w:rsid w:val="34547870"/>
    <w:rsid w:val="346459F5"/>
    <w:rsid w:val="34891B75"/>
    <w:rsid w:val="34BA39E2"/>
    <w:rsid w:val="351665FA"/>
    <w:rsid w:val="35321B24"/>
    <w:rsid w:val="357F4BA6"/>
    <w:rsid w:val="358E481B"/>
    <w:rsid w:val="35D36756"/>
    <w:rsid w:val="35F46225"/>
    <w:rsid w:val="36336BC4"/>
    <w:rsid w:val="365C3409"/>
    <w:rsid w:val="368E3CC1"/>
    <w:rsid w:val="36C25A6A"/>
    <w:rsid w:val="36EA523E"/>
    <w:rsid w:val="36EE4B0A"/>
    <w:rsid w:val="36EE5F78"/>
    <w:rsid w:val="372E064D"/>
    <w:rsid w:val="3757401F"/>
    <w:rsid w:val="3760047D"/>
    <w:rsid w:val="376A4412"/>
    <w:rsid w:val="377514A5"/>
    <w:rsid w:val="37A324EF"/>
    <w:rsid w:val="37E555DF"/>
    <w:rsid w:val="37F20947"/>
    <w:rsid w:val="37F23902"/>
    <w:rsid w:val="37F80E91"/>
    <w:rsid w:val="37FC1E0F"/>
    <w:rsid w:val="381E68BC"/>
    <w:rsid w:val="385209AB"/>
    <w:rsid w:val="38572964"/>
    <w:rsid w:val="385E73EE"/>
    <w:rsid w:val="38607A96"/>
    <w:rsid w:val="387C55DA"/>
    <w:rsid w:val="38855285"/>
    <w:rsid w:val="38AE7D94"/>
    <w:rsid w:val="38EC6A31"/>
    <w:rsid w:val="38F511E0"/>
    <w:rsid w:val="390F1B3A"/>
    <w:rsid w:val="3910412D"/>
    <w:rsid w:val="392001A9"/>
    <w:rsid w:val="392C314B"/>
    <w:rsid w:val="3933650D"/>
    <w:rsid w:val="394C3F76"/>
    <w:rsid w:val="399431F0"/>
    <w:rsid w:val="39946083"/>
    <w:rsid w:val="39C47464"/>
    <w:rsid w:val="39C72ADC"/>
    <w:rsid w:val="39F27EE2"/>
    <w:rsid w:val="3A353E00"/>
    <w:rsid w:val="3A357F33"/>
    <w:rsid w:val="3A501238"/>
    <w:rsid w:val="3A5B5B61"/>
    <w:rsid w:val="3A7A35E9"/>
    <w:rsid w:val="3A886888"/>
    <w:rsid w:val="3ABC09B5"/>
    <w:rsid w:val="3ADF1FF7"/>
    <w:rsid w:val="3ADF5696"/>
    <w:rsid w:val="3AF72A91"/>
    <w:rsid w:val="3B18789B"/>
    <w:rsid w:val="3B1E1311"/>
    <w:rsid w:val="3B1F3013"/>
    <w:rsid w:val="3B312C43"/>
    <w:rsid w:val="3B8168DB"/>
    <w:rsid w:val="3B8B6955"/>
    <w:rsid w:val="3BAD3DDA"/>
    <w:rsid w:val="3BB74A55"/>
    <w:rsid w:val="3BC63E3C"/>
    <w:rsid w:val="3BC72D58"/>
    <w:rsid w:val="3BEC3A24"/>
    <w:rsid w:val="3BF110B8"/>
    <w:rsid w:val="3CAB357F"/>
    <w:rsid w:val="3CBD56C1"/>
    <w:rsid w:val="3CFF2929"/>
    <w:rsid w:val="3D323A63"/>
    <w:rsid w:val="3D3302B1"/>
    <w:rsid w:val="3D6E7152"/>
    <w:rsid w:val="3DA72832"/>
    <w:rsid w:val="3DB4703D"/>
    <w:rsid w:val="3DD31490"/>
    <w:rsid w:val="3DEA53C1"/>
    <w:rsid w:val="3DF95317"/>
    <w:rsid w:val="3E03156F"/>
    <w:rsid w:val="3E3B5626"/>
    <w:rsid w:val="3E4905ED"/>
    <w:rsid w:val="3E4E64EB"/>
    <w:rsid w:val="3E9C3CAD"/>
    <w:rsid w:val="3ECF08AB"/>
    <w:rsid w:val="3ED13D0F"/>
    <w:rsid w:val="3ED53955"/>
    <w:rsid w:val="3EFB5020"/>
    <w:rsid w:val="3F4264B6"/>
    <w:rsid w:val="3F443227"/>
    <w:rsid w:val="3FD16CA1"/>
    <w:rsid w:val="3FD97780"/>
    <w:rsid w:val="3FEB0D4E"/>
    <w:rsid w:val="3FEB184C"/>
    <w:rsid w:val="3FFA05A8"/>
    <w:rsid w:val="401234D7"/>
    <w:rsid w:val="40212C6E"/>
    <w:rsid w:val="4021410B"/>
    <w:rsid w:val="404B7E39"/>
    <w:rsid w:val="405515B2"/>
    <w:rsid w:val="40D67229"/>
    <w:rsid w:val="40D779BB"/>
    <w:rsid w:val="411F3814"/>
    <w:rsid w:val="41245197"/>
    <w:rsid w:val="419C17C3"/>
    <w:rsid w:val="41FD561A"/>
    <w:rsid w:val="42074830"/>
    <w:rsid w:val="421B7EF4"/>
    <w:rsid w:val="426D4FFD"/>
    <w:rsid w:val="42752FB0"/>
    <w:rsid w:val="42862732"/>
    <w:rsid w:val="42966A87"/>
    <w:rsid w:val="42BC14A1"/>
    <w:rsid w:val="42DB49AB"/>
    <w:rsid w:val="42FC2CC0"/>
    <w:rsid w:val="43162CAD"/>
    <w:rsid w:val="43212F13"/>
    <w:rsid w:val="432337BF"/>
    <w:rsid w:val="432711B0"/>
    <w:rsid w:val="43460BBF"/>
    <w:rsid w:val="434E0E84"/>
    <w:rsid w:val="435D1289"/>
    <w:rsid w:val="435E42EC"/>
    <w:rsid w:val="437F238B"/>
    <w:rsid w:val="43B8581E"/>
    <w:rsid w:val="43F017F1"/>
    <w:rsid w:val="44044F50"/>
    <w:rsid w:val="443F0665"/>
    <w:rsid w:val="44455953"/>
    <w:rsid w:val="44594E2F"/>
    <w:rsid w:val="4461680D"/>
    <w:rsid w:val="448A3981"/>
    <w:rsid w:val="448B015C"/>
    <w:rsid w:val="448F0A36"/>
    <w:rsid w:val="44AD42C3"/>
    <w:rsid w:val="44B67B22"/>
    <w:rsid w:val="44CF2FFA"/>
    <w:rsid w:val="44DB75FC"/>
    <w:rsid w:val="45082CB3"/>
    <w:rsid w:val="450F74C8"/>
    <w:rsid w:val="45527900"/>
    <w:rsid w:val="45763013"/>
    <w:rsid w:val="45AF7ED7"/>
    <w:rsid w:val="45B7788A"/>
    <w:rsid w:val="45CD376E"/>
    <w:rsid w:val="45E118C3"/>
    <w:rsid w:val="45FB1E7F"/>
    <w:rsid w:val="46016687"/>
    <w:rsid w:val="461061A6"/>
    <w:rsid w:val="46163D79"/>
    <w:rsid w:val="4677074D"/>
    <w:rsid w:val="46780E23"/>
    <w:rsid w:val="468214D6"/>
    <w:rsid w:val="468D54A2"/>
    <w:rsid w:val="469D4F81"/>
    <w:rsid w:val="46AC73DD"/>
    <w:rsid w:val="46F4389B"/>
    <w:rsid w:val="4708662F"/>
    <w:rsid w:val="47144ECE"/>
    <w:rsid w:val="476153E7"/>
    <w:rsid w:val="47A936E0"/>
    <w:rsid w:val="480124F1"/>
    <w:rsid w:val="480369AD"/>
    <w:rsid w:val="48266A96"/>
    <w:rsid w:val="482D3D00"/>
    <w:rsid w:val="4857210D"/>
    <w:rsid w:val="48573C4F"/>
    <w:rsid w:val="485E79EC"/>
    <w:rsid w:val="486155B7"/>
    <w:rsid w:val="4886137D"/>
    <w:rsid w:val="48C01586"/>
    <w:rsid w:val="48C83209"/>
    <w:rsid w:val="48C84CDC"/>
    <w:rsid w:val="49025963"/>
    <w:rsid w:val="4910418A"/>
    <w:rsid w:val="491A3323"/>
    <w:rsid w:val="493041C2"/>
    <w:rsid w:val="49367CA4"/>
    <w:rsid w:val="495E29AC"/>
    <w:rsid w:val="496C12C8"/>
    <w:rsid w:val="497C0CBD"/>
    <w:rsid w:val="499320E7"/>
    <w:rsid w:val="4999309D"/>
    <w:rsid w:val="49C43B5B"/>
    <w:rsid w:val="49DE0716"/>
    <w:rsid w:val="49EC67F4"/>
    <w:rsid w:val="49FC6E50"/>
    <w:rsid w:val="4A2D0CD1"/>
    <w:rsid w:val="4A6C727B"/>
    <w:rsid w:val="4A74212B"/>
    <w:rsid w:val="4A88238F"/>
    <w:rsid w:val="4AE13F7F"/>
    <w:rsid w:val="4AE57386"/>
    <w:rsid w:val="4B180DEB"/>
    <w:rsid w:val="4B1B6418"/>
    <w:rsid w:val="4B6230AA"/>
    <w:rsid w:val="4B6D49BA"/>
    <w:rsid w:val="4B952653"/>
    <w:rsid w:val="4BB72C44"/>
    <w:rsid w:val="4BD34EB3"/>
    <w:rsid w:val="4BE328EB"/>
    <w:rsid w:val="4BED01F7"/>
    <w:rsid w:val="4C115A07"/>
    <w:rsid w:val="4C2A7311"/>
    <w:rsid w:val="4C495C4B"/>
    <w:rsid w:val="4C4A00FB"/>
    <w:rsid w:val="4C4D002A"/>
    <w:rsid w:val="4C6952A0"/>
    <w:rsid w:val="4C6A20DA"/>
    <w:rsid w:val="4CAF1B08"/>
    <w:rsid w:val="4CB23E6C"/>
    <w:rsid w:val="4CB80FD7"/>
    <w:rsid w:val="4CBF441E"/>
    <w:rsid w:val="4CEC092C"/>
    <w:rsid w:val="4D0D5029"/>
    <w:rsid w:val="4D1238C0"/>
    <w:rsid w:val="4D1A3C9E"/>
    <w:rsid w:val="4D1F4531"/>
    <w:rsid w:val="4D342300"/>
    <w:rsid w:val="4D5B5F39"/>
    <w:rsid w:val="4D623834"/>
    <w:rsid w:val="4D6D5069"/>
    <w:rsid w:val="4D993EEE"/>
    <w:rsid w:val="4DCA2DD0"/>
    <w:rsid w:val="4DD57CD9"/>
    <w:rsid w:val="4DD961F5"/>
    <w:rsid w:val="4DDC6581"/>
    <w:rsid w:val="4E0760DF"/>
    <w:rsid w:val="4E455308"/>
    <w:rsid w:val="4E5740F9"/>
    <w:rsid w:val="4E5840E8"/>
    <w:rsid w:val="4E61009A"/>
    <w:rsid w:val="4E616944"/>
    <w:rsid w:val="4E6613A1"/>
    <w:rsid w:val="4E68322E"/>
    <w:rsid w:val="4EA22DC5"/>
    <w:rsid w:val="4EA92D7B"/>
    <w:rsid w:val="4EDA48B1"/>
    <w:rsid w:val="4EEE600D"/>
    <w:rsid w:val="4F2A099E"/>
    <w:rsid w:val="4F5E1995"/>
    <w:rsid w:val="4F6A7975"/>
    <w:rsid w:val="4F6F159D"/>
    <w:rsid w:val="4F806A71"/>
    <w:rsid w:val="4F822E8A"/>
    <w:rsid w:val="4F864D85"/>
    <w:rsid w:val="4FA7239E"/>
    <w:rsid w:val="4FB218A4"/>
    <w:rsid w:val="4FF5450E"/>
    <w:rsid w:val="503D13B8"/>
    <w:rsid w:val="5065193B"/>
    <w:rsid w:val="508A7AE7"/>
    <w:rsid w:val="50A83492"/>
    <w:rsid w:val="50B64134"/>
    <w:rsid w:val="50E1576D"/>
    <w:rsid w:val="50EE47FF"/>
    <w:rsid w:val="50FC732D"/>
    <w:rsid w:val="50FD7219"/>
    <w:rsid w:val="50FE6C90"/>
    <w:rsid w:val="5110637A"/>
    <w:rsid w:val="5119719F"/>
    <w:rsid w:val="51311DE4"/>
    <w:rsid w:val="513452B1"/>
    <w:rsid w:val="516A4A43"/>
    <w:rsid w:val="51706E4D"/>
    <w:rsid w:val="51723FA8"/>
    <w:rsid w:val="517F44EF"/>
    <w:rsid w:val="5210271A"/>
    <w:rsid w:val="52172DC3"/>
    <w:rsid w:val="52272BB5"/>
    <w:rsid w:val="52366710"/>
    <w:rsid w:val="5244303A"/>
    <w:rsid w:val="524A171E"/>
    <w:rsid w:val="524C795C"/>
    <w:rsid w:val="52624B82"/>
    <w:rsid w:val="528C3811"/>
    <w:rsid w:val="52AC1BC0"/>
    <w:rsid w:val="52F359A8"/>
    <w:rsid w:val="530658F8"/>
    <w:rsid w:val="53324D44"/>
    <w:rsid w:val="536040EB"/>
    <w:rsid w:val="539203D1"/>
    <w:rsid w:val="539D2628"/>
    <w:rsid w:val="53AA0F94"/>
    <w:rsid w:val="53AA15DA"/>
    <w:rsid w:val="53BA0CDE"/>
    <w:rsid w:val="53C71DC2"/>
    <w:rsid w:val="53CE7EAF"/>
    <w:rsid w:val="53D2310F"/>
    <w:rsid w:val="54080614"/>
    <w:rsid w:val="54414339"/>
    <w:rsid w:val="54440D35"/>
    <w:rsid w:val="54450380"/>
    <w:rsid w:val="5449645C"/>
    <w:rsid w:val="54682AA5"/>
    <w:rsid w:val="546C674C"/>
    <w:rsid w:val="548D6861"/>
    <w:rsid w:val="54911FE3"/>
    <w:rsid w:val="549E6589"/>
    <w:rsid w:val="54FF4804"/>
    <w:rsid w:val="55147A8A"/>
    <w:rsid w:val="55457B9F"/>
    <w:rsid w:val="5546079C"/>
    <w:rsid w:val="557A35F5"/>
    <w:rsid w:val="5594611A"/>
    <w:rsid w:val="55A40A86"/>
    <w:rsid w:val="55AA5678"/>
    <w:rsid w:val="55B56805"/>
    <w:rsid w:val="55D36E2F"/>
    <w:rsid w:val="55EF5121"/>
    <w:rsid w:val="55F164EE"/>
    <w:rsid w:val="560A2E76"/>
    <w:rsid w:val="5627782F"/>
    <w:rsid w:val="56411479"/>
    <w:rsid w:val="56531203"/>
    <w:rsid w:val="565A2422"/>
    <w:rsid w:val="56846DDA"/>
    <w:rsid w:val="56B3041D"/>
    <w:rsid w:val="56D4025E"/>
    <w:rsid w:val="56E45FDD"/>
    <w:rsid w:val="56F1529C"/>
    <w:rsid w:val="57287A59"/>
    <w:rsid w:val="573758C8"/>
    <w:rsid w:val="57385038"/>
    <w:rsid w:val="57781584"/>
    <w:rsid w:val="579855DF"/>
    <w:rsid w:val="57FF16A9"/>
    <w:rsid w:val="58156C63"/>
    <w:rsid w:val="58202CA7"/>
    <w:rsid w:val="583814F6"/>
    <w:rsid w:val="585C0654"/>
    <w:rsid w:val="588E0BC4"/>
    <w:rsid w:val="58972C40"/>
    <w:rsid w:val="58A338B2"/>
    <w:rsid w:val="58E45F0F"/>
    <w:rsid w:val="5907719B"/>
    <w:rsid w:val="597E48EE"/>
    <w:rsid w:val="599E5F30"/>
    <w:rsid w:val="59AA2DF4"/>
    <w:rsid w:val="59B060E5"/>
    <w:rsid w:val="59BA5404"/>
    <w:rsid w:val="59F813F8"/>
    <w:rsid w:val="59FC1714"/>
    <w:rsid w:val="5A175C85"/>
    <w:rsid w:val="5A3E51A1"/>
    <w:rsid w:val="5A477CB9"/>
    <w:rsid w:val="5A5269ED"/>
    <w:rsid w:val="5A914B6D"/>
    <w:rsid w:val="5AD75EB5"/>
    <w:rsid w:val="5AE1071F"/>
    <w:rsid w:val="5B072C82"/>
    <w:rsid w:val="5B0F0CDF"/>
    <w:rsid w:val="5B260937"/>
    <w:rsid w:val="5B3E2963"/>
    <w:rsid w:val="5B5156DC"/>
    <w:rsid w:val="5B523878"/>
    <w:rsid w:val="5B792308"/>
    <w:rsid w:val="5B7C0182"/>
    <w:rsid w:val="5B814B89"/>
    <w:rsid w:val="5BA6720A"/>
    <w:rsid w:val="5BC66D68"/>
    <w:rsid w:val="5BD959DF"/>
    <w:rsid w:val="5BF502C0"/>
    <w:rsid w:val="5C096E65"/>
    <w:rsid w:val="5C642F3C"/>
    <w:rsid w:val="5C8333EA"/>
    <w:rsid w:val="5CAD391C"/>
    <w:rsid w:val="5CC4555B"/>
    <w:rsid w:val="5CCA18F0"/>
    <w:rsid w:val="5CCD3130"/>
    <w:rsid w:val="5CD15D9F"/>
    <w:rsid w:val="5D0E6130"/>
    <w:rsid w:val="5D171633"/>
    <w:rsid w:val="5D19597B"/>
    <w:rsid w:val="5D461A02"/>
    <w:rsid w:val="5D591AE8"/>
    <w:rsid w:val="5D7C024B"/>
    <w:rsid w:val="5D8A5AB5"/>
    <w:rsid w:val="5DA51BC8"/>
    <w:rsid w:val="5DAB0ACC"/>
    <w:rsid w:val="5DAF7997"/>
    <w:rsid w:val="5DC46D61"/>
    <w:rsid w:val="5DCA48EC"/>
    <w:rsid w:val="5DCD435F"/>
    <w:rsid w:val="5DD17D66"/>
    <w:rsid w:val="5DE85587"/>
    <w:rsid w:val="5E244E6A"/>
    <w:rsid w:val="5E341393"/>
    <w:rsid w:val="5E5A7853"/>
    <w:rsid w:val="5E953F05"/>
    <w:rsid w:val="5EF65A83"/>
    <w:rsid w:val="5EFB03CE"/>
    <w:rsid w:val="5EFE292A"/>
    <w:rsid w:val="5F17575D"/>
    <w:rsid w:val="5F590A86"/>
    <w:rsid w:val="5F6F68E9"/>
    <w:rsid w:val="5FE07218"/>
    <w:rsid w:val="5FE973B9"/>
    <w:rsid w:val="5FF949C3"/>
    <w:rsid w:val="6005528A"/>
    <w:rsid w:val="600F5452"/>
    <w:rsid w:val="607F6438"/>
    <w:rsid w:val="60976E16"/>
    <w:rsid w:val="60B37ECD"/>
    <w:rsid w:val="60DF7CE2"/>
    <w:rsid w:val="61174D0F"/>
    <w:rsid w:val="61403D05"/>
    <w:rsid w:val="618C1156"/>
    <w:rsid w:val="619A5E8C"/>
    <w:rsid w:val="61AC716C"/>
    <w:rsid w:val="61CC133D"/>
    <w:rsid w:val="61CD46E8"/>
    <w:rsid w:val="61CF4EA5"/>
    <w:rsid w:val="61D52FAF"/>
    <w:rsid w:val="61F41CED"/>
    <w:rsid w:val="620C624C"/>
    <w:rsid w:val="6218475C"/>
    <w:rsid w:val="621C46A3"/>
    <w:rsid w:val="622F1D6A"/>
    <w:rsid w:val="62395D3E"/>
    <w:rsid w:val="624D7464"/>
    <w:rsid w:val="62755D4C"/>
    <w:rsid w:val="62BB7009"/>
    <w:rsid w:val="62C14CC0"/>
    <w:rsid w:val="62D76B69"/>
    <w:rsid w:val="62DF6016"/>
    <w:rsid w:val="62E22E5B"/>
    <w:rsid w:val="62ED672D"/>
    <w:rsid w:val="62F3575F"/>
    <w:rsid w:val="62F9502D"/>
    <w:rsid w:val="62FC2201"/>
    <w:rsid w:val="6300236D"/>
    <w:rsid w:val="6347462D"/>
    <w:rsid w:val="636A5F83"/>
    <w:rsid w:val="63742DFA"/>
    <w:rsid w:val="63762D69"/>
    <w:rsid w:val="63992AB6"/>
    <w:rsid w:val="63ED3134"/>
    <w:rsid w:val="643E58EA"/>
    <w:rsid w:val="6449409B"/>
    <w:rsid w:val="644B4A36"/>
    <w:rsid w:val="64AB67FC"/>
    <w:rsid w:val="64CC4DE0"/>
    <w:rsid w:val="64EC5BCE"/>
    <w:rsid w:val="6500191E"/>
    <w:rsid w:val="652E5F08"/>
    <w:rsid w:val="658857FA"/>
    <w:rsid w:val="659608F3"/>
    <w:rsid w:val="65A5510C"/>
    <w:rsid w:val="65B25E6C"/>
    <w:rsid w:val="65C93704"/>
    <w:rsid w:val="65D92CDC"/>
    <w:rsid w:val="660F64E3"/>
    <w:rsid w:val="66303C8B"/>
    <w:rsid w:val="66595A09"/>
    <w:rsid w:val="66680281"/>
    <w:rsid w:val="669548A0"/>
    <w:rsid w:val="66A3563B"/>
    <w:rsid w:val="66AF1630"/>
    <w:rsid w:val="66F17850"/>
    <w:rsid w:val="66FD5AAE"/>
    <w:rsid w:val="673B19D9"/>
    <w:rsid w:val="67470BDE"/>
    <w:rsid w:val="674C7AEE"/>
    <w:rsid w:val="678E1DDA"/>
    <w:rsid w:val="679E2E24"/>
    <w:rsid w:val="679F3132"/>
    <w:rsid w:val="67F07EC2"/>
    <w:rsid w:val="67F94CF3"/>
    <w:rsid w:val="682A1590"/>
    <w:rsid w:val="685067F2"/>
    <w:rsid w:val="686757D4"/>
    <w:rsid w:val="68974437"/>
    <w:rsid w:val="68AF484A"/>
    <w:rsid w:val="68C103ED"/>
    <w:rsid w:val="68D54B83"/>
    <w:rsid w:val="68F1103E"/>
    <w:rsid w:val="690F7B9E"/>
    <w:rsid w:val="69135535"/>
    <w:rsid w:val="692D50F8"/>
    <w:rsid w:val="693C6D37"/>
    <w:rsid w:val="693F1FFD"/>
    <w:rsid w:val="69405724"/>
    <w:rsid w:val="69573929"/>
    <w:rsid w:val="69602467"/>
    <w:rsid w:val="69723C80"/>
    <w:rsid w:val="69736FCB"/>
    <w:rsid w:val="69860E1C"/>
    <w:rsid w:val="69A13CAB"/>
    <w:rsid w:val="69AA51A2"/>
    <w:rsid w:val="69B976BC"/>
    <w:rsid w:val="69F85A10"/>
    <w:rsid w:val="69F92F6A"/>
    <w:rsid w:val="6A0B665F"/>
    <w:rsid w:val="6A327E1A"/>
    <w:rsid w:val="6A60678D"/>
    <w:rsid w:val="6A892C55"/>
    <w:rsid w:val="6AA941C0"/>
    <w:rsid w:val="6AC27AE4"/>
    <w:rsid w:val="6AFB5AF1"/>
    <w:rsid w:val="6B0D5FFB"/>
    <w:rsid w:val="6B37242C"/>
    <w:rsid w:val="6B4927D4"/>
    <w:rsid w:val="6B8F1395"/>
    <w:rsid w:val="6BA61F49"/>
    <w:rsid w:val="6BCD1AB1"/>
    <w:rsid w:val="6BEB074C"/>
    <w:rsid w:val="6C14136F"/>
    <w:rsid w:val="6C1B4C4E"/>
    <w:rsid w:val="6C594B93"/>
    <w:rsid w:val="6C595ED1"/>
    <w:rsid w:val="6C883367"/>
    <w:rsid w:val="6C8A2C8B"/>
    <w:rsid w:val="6C932381"/>
    <w:rsid w:val="6CA24A26"/>
    <w:rsid w:val="6CDA39F7"/>
    <w:rsid w:val="6CFE39BD"/>
    <w:rsid w:val="6D471757"/>
    <w:rsid w:val="6D544C6E"/>
    <w:rsid w:val="6D6C6548"/>
    <w:rsid w:val="6DBB3C29"/>
    <w:rsid w:val="6DC01D49"/>
    <w:rsid w:val="6DC147E2"/>
    <w:rsid w:val="6DC82F78"/>
    <w:rsid w:val="6DCE4502"/>
    <w:rsid w:val="6DDE5E29"/>
    <w:rsid w:val="6DF33E4E"/>
    <w:rsid w:val="6DF47877"/>
    <w:rsid w:val="6E1A4D35"/>
    <w:rsid w:val="6E3B14E4"/>
    <w:rsid w:val="6E4B6915"/>
    <w:rsid w:val="6E5C46F2"/>
    <w:rsid w:val="6E6B50B9"/>
    <w:rsid w:val="6E901A0B"/>
    <w:rsid w:val="6EB944DE"/>
    <w:rsid w:val="6EE627E0"/>
    <w:rsid w:val="6EF03300"/>
    <w:rsid w:val="6F2F103B"/>
    <w:rsid w:val="6F5719E3"/>
    <w:rsid w:val="6F580826"/>
    <w:rsid w:val="6F5B00A4"/>
    <w:rsid w:val="6FE35C4C"/>
    <w:rsid w:val="6FF813C2"/>
    <w:rsid w:val="701A464A"/>
    <w:rsid w:val="702F6E98"/>
    <w:rsid w:val="703B41BC"/>
    <w:rsid w:val="7059452C"/>
    <w:rsid w:val="705C6C46"/>
    <w:rsid w:val="705F6B51"/>
    <w:rsid w:val="70671581"/>
    <w:rsid w:val="70707AB1"/>
    <w:rsid w:val="70790BD9"/>
    <w:rsid w:val="70974AF9"/>
    <w:rsid w:val="70B228EF"/>
    <w:rsid w:val="70CC2682"/>
    <w:rsid w:val="70D414C8"/>
    <w:rsid w:val="70D90830"/>
    <w:rsid w:val="70F51DC4"/>
    <w:rsid w:val="710002D0"/>
    <w:rsid w:val="71020708"/>
    <w:rsid w:val="712A6890"/>
    <w:rsid w:val="71470A16"/>
    <w:rsid w:val="7186338D"/>
    <w:rsid w:val="718A3E15"/>
    <w:rsid w:val="719065D7"/>
    <w:rsid w:val="720D2607"/>
    <w:rsid w:val="721F57D9"/>
    <w:rsid w:val="72235CFA"/>
    <w:rsid w:val="722B018E"/>
    <w:rsid w:val="724A127E"/>
    <w:rsid w:val="725E1116"/>
    <w:rsid w:val="72603FBA"/>
    <w:rsid w:val="726A340A"/>
    <w:rsid w:val="726B2CF2"/>
    <w:rsid w:val="72853A93"/>
    <w:rsid w:val="728D2439"/>
    <w:rsid w:val="72974244"/>
    <w:rsid w:val="72CF3C0E"/>
    <w:rsid w:val="72E51011"/>
    <w:rsid w:val="72E63212"/>
    <w:rsid w:val="72ED7C8F"/>
    <w:rsid w:val="7306300D"/>
    <w:rsid w:val="730E6397"/>
    <w:rsid w:val="73B77AE9"/>
    <w:rsid w:val="73C41FBC"/>
    <w:rsid w:val="73C95424"/>
    <w:rsid w:val="73FC5F38"/>
    <w:rsid w:val="74231A26"/>
    <w:rsid w:val="743D26EB"/>
    <w:rsid w:val="7451102A"/>
    <w:rsid w:val="745E1AC9"/>
    <w:rsid w:val="74A958FC"/>
    <w:rsid w:val="74AD325E"/>
    <w:rsid w:val="75045B29"/>
    <w:rsid w:val="751E1006"/>
    <w:rsid w:val="752A2AA1"/>
    <w:rsid w:val="753A280D"/>
    <w:rsid w:val="753F305A"/>
    <w:rsid w:val="75554EA7"/>
    <w:rsid w:val="755C65E2"/>
    <w:rsid w:val="75606819"/>
    <w:rsid w:val="756667AA"/>
    <w:rsid w:val="75804BBE"/>
    <w:rsid w:val="759145A1"/>
    <w:rsid w:val="75AB067F"/>
    <w:rsid w:val="75B13DAA"/>
    <w:rsid w:val="75E578D3"/>
    <w:rsid w:val="762409BD"/>
    <w:rsid w:val="764B43E5"/>
    <w:rsid w:val="764E465B"/>
    <w:rsid w:val="767F1CC1"/>
    <w:rsid w:val="76894B19"/>
    <w:rsid w:val="76A84238"/>
    <w:rsid w:val="76C047EA"/>
    <w:rsid w:val="76C64B45"/>
    <w:rsid w:val="76DC4FA6"/>
    <w:rsid w:val="76EA08E3"/>
    <w:rsid w:val="77313F13"/>
    <w:rsid w:val="774F27F4"/>
    <w:rsid w:val="775115C9"/>
    <w:rsid w:val="77534D85"/>
    <w:rsid w:val="77671309"/>
    <w:rsid w:val="77904F5B"/>
    <w:rsid w:val="78071644"/>
    <w:rsid w:val="783F0283"/>
    <w:rsid w:val="785C2FB1"/>
    <w:rsid w:val="785E4AC0"/>
    <w:rsid w:val="787E2B29"/>
    <w:rsid w:val="788A590B"/>
    <w:rsid w:val="788C5CA6"/>
    <w:rsid w:val="78E1579A"/>
    <w:rsid w:val="79031417"/>
    <w:rsid w:val="79231B3E"/>
    <w:rsid w:val="7946299C"/>
    <w:rsid w:val="794F3592"/>
    <w:rsid w:val="79B718B1"/>
    <w:rsid w:val="7A013736"/>
    <w:rsid w:val="7A050EBD"/>
    <w:rsid w:val="7A1E7537"/>
    <w:rsid w:val="7A422644"/>
    <w:rsid w:val="7A650CA1"/>
    <w:rsid w:val="7A6D11F3"/>
    <w:rsid w:val="7A98250B"/>
    <w:rsid w:val="7A9B1D16"/>
    <w:rsid w:val="7AB854EE"/>
    <w:rsid w:val="7ABF4F57"/>
    <w:rsid w:val="7AC24D10"/>
    <w:rsid w:val="7AE40F9E"/>
    <w:rsid w:val="7AF10CF5"/>
    <w:rsid w:val="7B027A3F"/>
    <w:rsid w:val="7B082CBD"/>
    <w:rsid w:val="7B1944CE"/>
    <w:rsid w:val="7B2E73D0"/>
    <w:rsid w:val="7B3864C9"/>
    <w:rsid w:val="7B65250F"/>
    <w:rsid w:val="7BA111A8"/>
    <w:rsid w:val="7BA942EC"/>
    <w:rsid w:val="7BBE6C55"/>
    <w:rsid w:val="7BBF23A9"/>
    <w:rsid w:val="7BDE1382"/>
    <w:rsid w:val="7BE33B60"/>
    <w:rsid w:val="7BFE72F2"/>
    <w:rsid w:val="7C1E4228"/>
    <w:rsid w:val="7C474F6F"/>
    <w:rsid w:val="7CB001CF"/>
    <w:rsid w:val="7CB52C96"/>
    <w:rsid w:val="7CBA778E"/>
    <w:rsid w:val="7CD419AC"/>
    <w:rsid w:val="7CE13AFC"/>
    <w:rsid w:val="7D1F1CD1"/>
    <w:rsid w:val="7D5A5BED"/>
    <w:rsid w:val="7D7A63AF"/>
    <w:rsid w:val="7D7D2B32"/>
    <w:rsid w:val="7DC625D5"/>
    <w:rsid w:val="7DF80950"/>
    <w:rsid w:val="7E057B39"/>
    <w:rsid w:val="7E0B56A9"/>
    <w:rsid w:val="7E263B52"/>
    <w:rsid w:val="7E3D3C33"/>
    <w:rsid w:val="7E405854"/>
    <w:rsid w:val="7E944482"/>
    <w:rsid w:val="7EC5124B"/>
    <w:rsid w:val="7ECD11DE"/>
    <w:rsid w:val="7F174589"/>
    <w:rsid w:val="7F2A6968"/>
    <w:rsid w:val="7F506A28"/>
    <w:rsid w:val="7F87689E"/>
    <w:rsid w:val="7F8D2050"/>
    <w:rsid w:val="7F916F59"/>
    <w:rsid w:val="7FE81FEC"/>
    <w:rsid w:val="7FE926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f" stroke="f">
      <v:fill on="f"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99" w:semiHidden="0" w:name="footer"/>
    <w:lsdException w:uiPriority="99" w:name="index heading"/>
    <w:lsdException w:qFormat="1" w:unhideWhenUsed="0" w:uiPriority="35" w:semiHidden="0" w:name="caption"/>
    <w:lsdException w:unhideWhenUsed="0" w:uiPriority="0" w:semiHidden="0"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4"/>
      <w:szCs w:val="24"/>
      <w:lang w:val="en-US" w:eastAsia="zh-CN" w:bidi="ar-SA"/>
    </w:rPr>
  </w:style>
  <w:style w:type="paragraph" w:styleId="4">
    <w:name w:val="heading 1"/>
    <w:basedOn w:val="1"/>
    <w:next w:val="1"/>
    <w:qFormat/>
    <w:uiPriority w:val="0"/>
    <w:pPr>
      <w:keepNext/>
      <w:spacing w:line="360" w:lineRule="auto"/>
      <w:ind w:left="-147" w:leftChars="-70" w:firstLine="1199" w:firstLineChars="597"/>
      <w:outlineLvl w:val="0"/>
    </w:pPr>
    <w:rPr>
      <w:b/>
      <w:bCs/>
      <w:sz w:val="32"/>
      <w:lang/>
    </w:rPr>
  </w:style>
  <w:style w:type="paragraph" w:styleId="5">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108"/>
    <w:qFormat/>
    <w:uiPriority w:val="0"/>
    <w:pPr>
      <w:keepNext/>
      <w:keepLines/>
      <w:spacing w:before="260" w:beforeLines="0" w:after="260" w:afterLines="0" w:line="413" w:lineRule="auto"/>
      <w:outlineLvl w:val="2"/>
    </w:pPr>
    <w:rPr>
      <w:b/>
      <w:bCs/>
      <w:sz w:val="32"/>
      <w:szCs w:val="32"/>
    </w:rPr>
  </w:style>
  <w:style w:type="paragraph" w:styleId="7">
    <w:name w:val="heading 4"/>
    <w:basedOn w:val="1"/>
    <w:next w:val="1"/>
    <w:qFormat/>
    <w:uiPriority w:val="0"/>
    <w:pPr>
      <w:keepNext/>
      <w:keepLines/>
      <w:adjustRightInd w:val="0"/>
      <w:snapToGrid w:val="0"/>
      <w:spacing w:before="10" w:after="10" w:line="360" w:lineRule="auto"/>
      <w:jc w:val="left"/>
      <w:textAlignment w:val="baseline"/>
      <w:outlineLvl w:val="3"/>
    </w:pPr>
    <w:rPr>
      <w:rFonts w:ascii="Arial" w:hAnsi="Arial"/>
      <w:b/>
      <w:kern w:val="0"/>
      <w:sz w:val="24"/>
      <w:szCs w:val="20"/>
    </w:rPr>
  </w:style>
  <w:style w:type="character" w:default="1" w:styleId="30">
    <w:name w:val="Default Paragraph Font"/>
    <w:uiPriority w:val="0"/>
  </w:style>
  <w:style w:type="table" w:default="1" w:styleId="28">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8"/>
      <w:tblCellMar>
        <w:top w:w="0" w:type="dxa"/>
        <w:left w:w="108" w:type="dxa"/>
        <w:bottom w:w="0" w:type="dxa"/>
        <w:right w:w="108" w:type="dxa"/>
      </w:tblCellMar>
    </w:tblPr>
  </w:style>
  <w:style w:type="paragraph" w:styleId="2">
    <w:name w:val="Body Text First Indent 2"/>
    <w:basedOn w:val="3"/>
    <w:unhideWhenUsed/>
    <w:uiPriority w:val="99"/>
    <w:pPr>
      <w:spacing w:after="120" w:afterLines="0" w:line="240" w:lineRule="auto"/>
      <w:ind w:left="420" w:leftChars="200" w:firstLine="420" w:firstLineChars="200"/>
      <w:jc w:val="both"/>
    </w:pPr>
    <w:rPr>
      <w:sz w:val="21"/>
      <w:szCs w:val="24"/>
    </w:rPr>
  </w:style>
  <w:style w:type="paragraph" w:styleId="3">
    <w:name w:val="Body Text Indent"/>
    <w:basedOn w:val="1"/>
    <w:link w:val="84"/>
    <w:uiPriority w:val="0"/>
    <w:pPr>
      <w:ind w:firstLine="480"/>
      <w:jc w:val="left"/>
    </w:pPr>
    <w:rPr>
      <w:rFonts w:hint="eastAsia" w:ascii="宋体" w:hAnsi="宋体"/>
      <w:kern w:val="0"/>
      <w:szCs w:val="21"/>
    </w:rPr>
  </w:style>
  <w:style w:type="paragraph" w:styleId="8">
    <w:name w:val="Normal Indent"/>
    <w:basedOn w:val="1"/>
    <w:next w:val="1"/>
    <w:link w:val="92"/>
    <w:uiPriority w:val="0"/>
    <w:pPr>
      <w:spacing w:line="360" w:lineRule="auto"/>
      <w:ind w:firstLine="420"/>
    </w:pPr>
    <w:rPr>
      <w:rFonts w:ascii="仿宋_GB2312" w:hAnsi="Arial Black" w:eastAsia="仿宋_GB2312"/>
      <w:sz w:val="28"/>
      <w:szCs w:val="20"/>
    </w:rPr>
  </w:style>
  <w:style w:type="paragraph" w:styleId="9">
    <w:name w:val="caption"/>
    <w:basedOn w:val="1"/>
    <w:next w:val="1"/>
    <w:qFormat/>
    <w:uiPriority w:val="35"/>
    <w:pPr>
      <w:adjustRightInd w:val="0"/>
      <w:snapToGrid w:val="0"/>
      <w:spacing w:line="348" w:lineRule="auto"/>
      <w:ind w:firstLine="200" w:firstLineChars="200"/>
    </w:pPr>
    <w:rPr>
      <w:rFonts w:ascii="Arial" w:hAnsi="Arial" w:eastAsia="黑体" w:cs="Arial"/>
      <w:sz w:val="20"/>
      <w:szCs w:val="20"/>
    </w:rPr>
  </w:style>
  <w:style w:type="paragraph" w:styleId="10">
    <w:name w:val="Document Map"/>
    <w:basedOn w:val="1"/>
    <w:uiPriority w:val="0"/>
    <w:pPr>
      <w:shd w:val="clear" w:color="auto" w:fill="000080"/>
    </w:pPr>
  </w:style>
  <w:style w:type="paragraph" w:styleId="11">
    <w:name w:val="annotation text"/>
    <w:basedOn w:val="1"/>
    <w:uiPriority w:val="0"/>
    <w:pPr>
      <w:jc w:val="left"/>
    </w:pPr>
  </w:style>
  <w:style w:type="paragraph" w:styleId="12">
    <w:name w:val="Body Text 3"/>
    <w:basedOn w:val="1"/>
    <w:uiPriority w:val="0"/>
    <w:pPr>
      <w:jc w:val="both"/>
    </w:pPr>
    <w:rPr>
      <w:rFonts w:ascii="Times New Roman" w:hAnsi="Times New Roman" w:eastAsia="宋体"/>
      <w:szCs w:val="20"/>
    </w:rPr>
  </w:style>
  <w:style w:type="paragraph" w:styleId="13">
    <w:name w:val="Body Text"/>
    <w:basedOn w:val="1"/>
    <w:link w:val="87"/>
    <w:uiPriority w:val="0"/>
    <w:pPr>
      <w:keepNext w:val="0"/>
      <w:keepLines w:val="0"/>
      <w:widowControl/>
      <w:suppressLineNumbers w:val="0"/>
      <w:spacing w:before="0" w:beforeAutospacing="0" w:after="0" w:afterAutospacing="0" w:line="360" w:lineRule="auto"/>
      <w:ind w:left="0" w:right="0" w:firstLine="200" w:firstLineChars="200"/>
      <w:jc w:val="left"/>
    </w:pPr>
    <w:rPr>
      <w:spacing w:val="20"/>
      <w:kern w:val="0"/>
      <w:sz w:val="28"/>
    </w:rPr>
  </w:style>
  <w:style w:type="paragraph" w:styleId="14">
    <w:name w:val="Plain Text"/>
    <w:basedOn w:val="1"/>
    <w:link w:val="109"/>
    <w:qFormat/>
    <w:uiPriority w:val="0"/>
    <w:rPr>
      <w:rFonts w:ascii="宋体" w:hAnsi="Courier New"/>
      <w:szCs w:val="20"/>
    </w:rPr>
  </w:style>
  <w:style w:type="paragraph" w:styleId="15">
    <w:name w:val="Date"/>
    <w:basedOn w:val="1"/>
    <w:next w:val="1"/>
    <w:unhideWhenUsed/>
    <w:uiPriority w:val="99"/>
    <w:rPr>
      <w:sz w:val="28"/>
      <w:szCs w:val="20"/>
    </w:rPr>
  </w:style>
  <w:style w:type="paragraph" w:styleId="16">
    <w:name w:val="Body Text Indent 2"/>
    <w:basedOn w:val="1"/>
    <w:next w:val="1"/>
    <w:link w:val="102"/>
    <w:uiPriority w:val="0"/>
    <w:pPr>
      <w:spacing w:before="120" w:beforeLines="0" w:line="360" w:lineRule="auto"/>
      <w:ind w:firstLine="527"/>
    </w:pPr>
    <w:rPr>
      <w:rFonts w:hint="eastAsia" w:ascii="宋体" w:hAnsi="宋体"/>
      <w:sz w:val="28"/>
      <w:szCs w:val="20"/>
    </w:rPr>
  </w:style>
  <w:style w:type="paragraph" w:styleId="17">
    <w:name w:val="Balloon Text"/>
    <w:basedOn w:val="1"/>
    <w:uiPriority w:val="0"/>
    <w:rPr>
      <w:sz w:val="18"/>
      <w:szCs w:val="18"/>
    </w:rPr>
  </w:style>
  <w:style w:type="paragraph" w:styleId="18">
    <w:name w:val="footer"/>
    <w:basedOn w:val="1"/>
    <w:link w:val="101"/>
    <w:uiPriority w:val="99"/>
    <w:pPr>
      <w:tabs>
        <w:tab w:val="center" w:pos="4153"/>
        <w:tab w:val="right" w:pos="8306"/>
      </w:tabs>
      <w:snapToGrid w:val="0"/>
      <w:jc w:val="left"/>
    </w:pPr>
    <w:rPr>
      <w:sz w:val="18"/>
      <w:szCs w:val="18"/>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List"/>
    <w:basedOn w:val="1"/>
    <w:qFormat/>
    <w:uiPriority w:val="0"/>
    <w:pPr>
      <w:spacing w:line="400" w:lineRule="exact"/>
      <w:jc w:val="center"/>
    </w:pPr>
    <w:rPr>
      <w:rFonts w:ascii="宋体"/>
      <w:sz w:val="24"/>
      <w:szCs w:val="20"/>
    </w:rPr>
  </w:style>
  <w:style w:type="paragraph" w:styleId="21">
    <w:name w:val="Body Text Indent 3"/>
    <w:basedOn w:val="1"/>
    <w:uiPriority w:val="0"/>
    <w:pPr>
      <w:spacing w:before="120" w:beforeLines="0" w:line="360" w:lineRule="auto"/>
      <w:ind w:firstLine="482"/>
    </w:pPr>
    <w:rPr>
      <w:rFonts w:ascii="宋体"/>
      <w:sz w:val="24"/>
    </w:rPr>
  </w:style>
  <w:style w:type="paragraph" w:styleId="22">
    <w:name w:val="table of figures"/>
    <w:basedOn w:val="1"/>
    <w:next w:val="1"/>
    <w:uiPriority w:val="0"/>
    <w:pPr>
      <w:ind w:left="200" w:leftChars="200" w:hanging="200" w:hangingChars="200"/>
    </w:pPr>
    <w:rPr>
      <w:sz w:val="28"/>
      <w:szCs w:val="20"/>
    </w:rPr>
  </w:style>
  <w:style w:type="paragraph" w:styleId="23">
    <w:name w:val="toc 2"/>
    <w:basedOn w:val="1"/>
    <w:next w:val="1"/>
    <w:unhideWhenUsed/>
    <w:uiPriority w:val="39"/>
    <w:pPr>
      <w:jc w:val="center"/>
    </w:pPr>
  </w:style>
  <w:style w:type="paragraph" w:styleId="24">
    <w:name w:val="Body Text 2"/>
    <w:basedOn w:val="1"/>
    <w:uiPriority w:val="0"/>
    <w:pPr>
      <w:spacing w:after="120" w:afterLines="0" w:line="480" w:lineRule="auto"/>
    </w:pPr>
  </w:style>
  <w:style w:type="paragraph" w:styleId="25">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paragraph" w:styleId="26">
    <w:name w:val="index 1"/>
    <w:basedOn w:val="1"/>
    <w:next w:val="1"/>
    <w:uiPriority w:val="0"/>
    <w:pPr>
      <w:spacing w:line="240" w:lineRule="atLeast"/>
    </w:pPr>
    <w:rPr>
      <w:spacing w:val="-6"/>
      <w:szCs w:val="21"/>
    </w:rPr>
  </w:style>
  <w:style w:type="paragraph" w:styleId="27">
    <w:name w:val="annotation subject"/>
    <w:basedOn w:val="11"/>
    <w:next w:val="11"/>
    <w:uiPriority w:val="0"/>
    <w:rPr>
      <w:b/>
      <w:bCs/>
    </w:rPr>
  </w:style>
  <w:style w:type="table" w:styleId="29">
    <w:name w:val="Table Grid"/>
    <w:basedOn w:val="28"/>
    <w:qFormat/>
    <w:uiPriority w:val="5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0"/>
    <w:rPr>
      <w:b/>
      <w:bCs/>
    </w:rPr>
  </w:style>
  <w:style w:type="character" w:styleId="32">
    <w:name w:val="page number"/>
    <w:basedOn w:val="30"/>
    <w:uiPriority w:val="0"/>
  </w:style>
  <w:style w:type="character" w:styleId="33">
    <w:name w:val="FollowedHyperlink"/>
    <w:unhideWhenUsed/>
    <w:uiPriority w:val="99"/>
    <w:rPr>
      <w:color w:val="000000"/>
      <w:u w:val="none"/>
    </w:rPr>
  </w:style>
  <w:style w:type="character" w:styleId="34">
    <w:name w:val="Hyperlink"/>
    <w:uiPriority w:val="0"/>
    <w:rPr>
      <w:color w:val="000000"/>
      <w:u w:val="none"/>
    </w:rPr>
  </w:style>
  <w:style w:type="character" w:styleId="35">
    <w:name w:val="annotation reference"/>
    <w:uiPriority w:val="0"/>
    <w:rPr>
      <w:sz w:val="21"/>
      <w:szCs w:val="21"/>
    </w:rPr>
  </w:style>
  <w:style w:type="paragraph" w:customStyle="1" w:styleId="36">
    <w:name w:val="报告"/>
    <w:basedOn w:val="1"/>
    <w:qFormat/>
    <w:uiPriority w:val="0"/>
    <w:pPr>
      <w:adjustRightInd w:val="0"/>
      <w:spacing w:line="360" w:lineRule="auto"/>
      <w:ind w:firstLine="505"/>
      <w:jc w:val="left"/>
      <w:textAlignment w:val="baseline"/>
    </w:pPr>
    <w:rPr>
      <w:kern w:val="0"/>
      <w:sz w:val="24"/>
      <w:szCs w:val="20"/>
    </w:rPr>
  </w:style>
  <w:style w:type="paragraph" w:customStyle="1" w:styleId="37">
    <w:name w:val="表头"/>
    <w:basedOn w:val="13"/>
    <w:next w:val="1"/>
    <w:qFormat/>
    <w:uiPriority w:val="0"/>
    <w:pPr>
      <w:adjustRightInd w:val="0"/>
      <w:snapToGrid w:val="0"/>
      <w:spacing w:before="50"/>
      <w:jc w:val="center"/>
      <w:textAlignment w:val="baseline"/>
    </w:pPr>
    <w:rPr>
      <w:rFonts w:ascii="Calibri" w:hAnsi="Calibri"/>
      <w:b/>
      <w:kern w:val="10"/>
      <w:sz w:val="20"/>
      <w:szCs w:val="20"/>
    </w:rPr>
  </w:style>
  <w:style w:type="paragraph" w:customStyle="1" w:styleId="38">
    <w:name w:val="正文文字缩进 2"/>
    <w:basedOn w:val="1"/>
    <w:next w:val="1"/>
    <w:uiPriority w:val="0"/>
    <w:pPr>
      <w:widowControl/>
      <w:spacing w:line="520" w:lineRule="exact"/>
      <w:ind w:firstLine="480"/>
    </w:pPr>
    <w:rPr>
      <w:color w:val="000000"/>
      <w:sz w:val="24"/>
      <w:szCs w:val="20"/>
    </w:rPr>
  </w:style>
  <w:style w:type="paragraph" w:customStyle="1" w:styleId="39">
    <w:name w:val="无间隔1"/>
    <w:qFormat/>
    <w:uiPriority w:val="1"/>
    <w:pPr>
      <w:widowControl w:val="0"/>
      <w:jc w:val="center"/>
    </w:pPr>
    <w:rPr>
      <w:kern w:val="2"/>
      <w:sz w:val="21"/>
      <w:szCs w:val="24"/>
      <w:lang w:val="en-US" w:eastAsia="zh-CN" w:bidi="ar-SA"/>
    </w:rPr>
  </w:style>
  <w:style w:type="paragraph" w:customStyle="1" w:styleId="40">
    <w:name w:val="样式35"/>
    <w:basedOn w:val="1"/>
    <w:uiPriority w:val="0"/>
    <w:pPr>
      <w:adjustRightInd w:val="0"/>
      <w:spacing w:line="312" w:lineRule="auto"/>
      <w:ind w:firstLine="567"/>
    </w:pPr>
    <w:rPr>
      <w:rFonts w:ascii="宋体"/>
      <w:kern w:val="0"/>
      <w:sz w:val="28"/>
      <w:szCs w:val="20"/>
    </w:rPr>
  </w:style>
  <w:style w:type="paragraph" w:customStyle="1" w:styleId="41">
    <w:name w:val="表格标题"/>
    <w:basedOn w:val="1"/>
    <w:uiPriority w:val="0"/>
    <w:pPr>
      <w:adjustRightInd w:val="0"/>
      <w:snapToGrid w:val="0"/>
      <w:spacing w:before="60" w:beforeLines="0" w:line="460" w:lineRule="exact"/>
      <w:jc w:val="center"/>
    </w:pPr>
    <w:rPr>
      <w:sz w:val="24"/>
      <w:szCs w:val="20"/>
    </w:rPr>
  </w:style>
  <w:style w:type="paragraph" w:customStyle="1" w:styleId="42">
    <w:name w:val="表格文字2"/>
    <w:basedOn w:val="1"/>
    <w:uiPriority w:val="0"/>
    <w:pPr>
      <w:tabs>
        <w:tab w:val="left" w:pos="277"/>
        <w:tab w:val="left" w:pos="600"/>
        <w:tab w:val="left" w:pos="780"/>
        <w:tab w:val="left" w:pos="2517"/>
      </w:tabs>
      <w:adjustRightInd w:val="0"/>
      <w:spacing w:before="60" w:beforeLines="0"/>
      <w:jc w:val="center"/>
      <w:textAlignment w:val="baseline"/>
    </w:pPr>
    <w:rPr>
      <w:kern w:val="0"/>
      <w:szCs w:val="21"/>
    </w:rPr>
  </w:style>
  <w:style w:type="paragraph" w:customStyle="1" w:styleId="43">
    <w:name w:val=" Char1"/>
    <w:basedOn w:val="1"/>
    <w:uiPriority w:val="0"/>
    <w:rPr>
      <w:sz w:val="24"/>
    </w:rPr>
  </w:style>
  <w:style w:type="paragraph" w:customStyle="1" w:styleId="44">
    <w:name w:val=" Char"/>
    <w:basedOn w:val="1"/>
    <w:uiPriority w:val="0"/>
    <w:rPr>
      <w:sz w:val="24"/>
    </w:rPr>
  </w:style>
  <w:style w:type="paragraph" w:customStyle="1" w:styleId="45">
    <w:name w:val="表格五号"/>
    <w:basedOn w:val="1"/>
    <w:uiPriority w:val="0"/>
    <w:pPr>
      <w:tabs>
        <w:tab w:val="right" w:leader="dot" w:pos="8721"/>
      </w:tabs>
      <w:adjustRightInd w:val="0"/>
      <w:snapToGrid w:val="0"/>
      <w:spacing w:line="320" w:lineRule="exact"/>
      <w:ind w:left="-42" w:leftChars="-20" w:right="-42" w:rightChars="-20"/>
      <w:jc w:val="center"/>
      <w:textAlignment w:val="baseline"/>
    </w:pPr>
    <w:rPr>
      <w:snapToGrid w:val="0"/>
      <w:kern w:val="0"/>
      <w:szCs w:val="21"/>
    </w:rPr>
  </w:style>
  <w:style w:type="paragraph" w:customStyle="1" w:styleId="46">
    <w:name w:val="正文01"/>
    <w:basedOn w:val="1"/>
    <w:uiPriority w:val="0"/>
    <w:pPr>
      <w:adjustRightInd w:val="0"/>
      <w:snapToGrid w:val="0"/>
      <w:spacing w:before="60" w:beforeLines="0" w:line="460" w:lineRule="exact"/>
      <w:ind w:firstLine="200" w:firstLineChars="200"/>
    </w:pPr>
    <w:rPr>
      <w:sz w:val="24"/>
    </w:rPr>
  </w:style>
  <w:style w:type="paragraph" w:customStyle="1" w:styleId="47">
    <w:name w:val="样式 (中文) 仿宋_GB2312 四号 黑色 行距: 1.5 倍行距"/>
    <w:basedOn w:val="1"/>
    <w:uiPriority w:val="0"/>
    <w:pPr>
      <w:spacing w:line="360" w:lineRule="auto"/>
      <w:ind w:firstLine="200" w:firstLineChars="200"/>
    </w:pPr>
    <w:rPr>
      <w:rFonts w:eastAsia="仿宋_GB2312"/>
      <w:color w:val="000000"/>
      <w:sz w:val="24"/>
      <w:szCs w:val="20"/>
    </w:rPr>
  </w:style>
  <w:style w:type="paragraph" w:customStyle="1" w:styleId="48">
    <w:name w:val="表内容"/>
    <w:basedOn w:val="1"/>
    <w:qFormat/>
    <w:uiPriority w:val="0"/>
    <w:pPr>
      <w:jc w:val="center"/>
    </w:pPr>
    <w:rPr>
      <w:rFonts w:ascii="Calibri" w:hAnsi="Calibri"/>
      <w:kern w:val="0"/>
      <w:sz w:val="20"/>
      <w:szCs w:val="21"/>
    </w:rPr>
  </w:style>
  <w:style w:type="paragraph" w:customStyle="1" w:styleId="49">
    <w:name w:val="Char Char Char Char Char Char1 Char Char Char Char"/>
    <w:basedOn w:val="1"/>
    <w:qFormat/>
    <w:uiPriority w:val="0"/>
    <w:rPr>
      <w:rFonts w:ascii="Times New Roman" w:hAnsi="Times New Roman"/>
      <w:sz w:val="21"/>
      <w:szCs w:val="21"/>
    </w:rPr>
  </w:style>
  <w:style w:type="paragraph" w:customStyle="1" w:styleId="50">
    <w:name w:val="中文报告书样式"/>
    <w:basedOn w:val="1"/>
    <w:uiPriority w:val="0"/>
    <w:pPr>
      <w:adjustRightInd w:val="0"/>
      <w:spacing w:line="480" w:lineRule="atLeast"/>
      <w:ind w:firstLine="482"/>
      <w:textAlignment w:val="baseline"/>
    </w:pPr>
    <w:rPr>
      <w:kern w:val="24"/>
      <w:sz w:val="24"/>
      <w:szCs w:val="20"/>
    </w:rPr>
  </w:style>
  <w:style w:type="paragraph" w:customStyle="1" w:styleId="51">
    <w:name w:val="表格文字"/>
    <w:basedOn w:val="13"/>
    <w:link w:val="86"/>
    <w:qFormat/>
    <w:uiPriority w:val="0"/>
    <w:pPr>
      <w:adjustRightInd w:val="0"/>
      <w:snapToGrid w:val="0"/>
      <w:spacing w:after="0" w:afterLines="0"/>
      <w:jc w:val="center"/>
    </w:pPr>
    <w:rPr>
      <w:rFonts w:ascii="宋体" w:hAnsi="宋体"/>
      <w:spacing w:val="0"/>
      <w:kern w:val="2"/>
      <w:sz w:val="21"/>
      <w:szCs w:val="21"/>
      <w:lang w:val="en-US" w:eastAsia="zh-CN"/>
    </w:rPr>
  </w:style>
  <w:style w:type="paragraph" w:customStyle="1" w:styleId="52">
    <w:name w:val="报告书"/>
    <w:basedOn w:val="1"/>
    <w:uiPriority w:val="0"/>
    <w:pPr>
      <w:adjustRightInd w:val="0"/>
      <w:snapToGrid w:val="0"/>
      <w:spacing w:line="440" w:lineRule="atLeast"/>
      <w:ind w:firstLine="482"/>
      <w:textAlignment w:val="baseline"/>
    </w:pPr>
    <w:rPr>
      <w:rFonts w:ascii="宋体"/>
      <w:kern w:val="24"/>
      <w:sz w:val="24"/>
      <w:szCs w:val="20"/>
    </w:rPr>
  </w:style>
  <w:style w:type="paragraph" w:customStyle="1" w:styleId="53">
    <w:name w:val="正文内容"/>
    <w:link w:val="107"/>
    <w:uiPriority w:val="0"/>
    <w:pPr>
      <w:widowControl w:val="0"/>
      <w:snapToGrid w:val="0"/>
      <w:spacing w:before="60" w:after="60" w:line="480" w:lineRule="exact"/>
      <w:ind w:firstLine="200" w:firstLineChars="200"/>
      <w:jc w:val="both"/>
    </w:pPr>
    <w:rPr>
      <w:rFonts w:eastAsia="Times New Roman"/>
      <w:kern w:val="2"/>
      <w:sz w:val="24"/>
      <w:szCs w:val="24"/>
      <w:lang w:val="en-US" w:eastAsia="zh-CN" w:bidi="ar-SA"/>
    </w:rPr>
  </w:style>
  <w:style w:type="paragraph" w:customStyle="1" w:styleId="54">
    <w:name w:val="标题33"/>
    <w:basedOn w:val="8"/>
    <w:uiPriority w:val="0"/>
    <w:pPr>
      <w:spacing w:before="156" w:beforeLines="50" w:after="156" w:afterLines="50" w:line="400" w:lineRule="exact"/>
      <w:ind w:firstLine="0"/>
    </w:pPr>
    <w:rPr>
      <w:rFonts w:hAnsi="宋体"/>
      <w:sz w:val="24"/>
    </w:rPr>
  </w:style>
  <w:style w:type="paragraph" w:customStyle="1" w:styleId="55">
    <w:name w:val="表格"/>
    <w:basedOn w:val="20"/>
    <w:next w:val="1"/>
    <w:qFormat/>
    <w:uiPriority w:val="0"/>
    <w:pPr>
      <w:pBdr>
        <w:top w:val="none" w:color="auto" w:sz="0" w:space="1"/>
        <w:left w:val="none" w:color="auto" w:sz="0" w:space="4"/>
        <w:bottom w:val="none" w:color="auto" w:sz="0" w:space="1"/>
        <w:right w:val="none" w:color="auto" w:sz="0" w:space="4"/>
      </w:pBdr>
      <w:spacing w:line="240" w:lineRule="auto"/>
      <w:ind w:firstLine="0" w:firstLineChars="0"/>
      <w:jc w:val="center"/>
      <w:textAlignment w:val="center"/>
    </w:pPr>
    <w:rPr>
      <w:rFonts w:ascii="Times New Roman" w:hAnsi="Times New Roman" w:eastAsia="宋体"/>
      <w:sz w:val="21"/>
    </w:rPr>
  </w:style>
  <w:style w:type="paragraph" w:customStyle="1" w:styleId="56">
    <w:name w:val="表"/>
    <w:basedOn w:val="1"/>
    <w:qFormat/>
    <w:uiPriority w:val="0"/>
    <w:pPr>
      <w:spacing w:line="240" w:lineRule="exact"/>
    </w:pPr>
    <w:rPr>
      <w:rFonts w:ascii="仿宋_GB2312" w:hAnsi="宋体" w:eastAsia="仿宋_GB2312"/>
      <w:kern w:val="0"/>
      <w:sz w:val="18"/>
      <w:szCs w:val="18"/>
    </w:rPr>
  </w:style>
  <w:style w:type="paragraph" w:customStyle="1" w:styleId="57">
    <w:name w:val="正正"/>
    <w:basedOn w:val="1"/>
    <w:link w:val="110"/>
    <w:qFormat/>
    <w:uiPriority w:val="0"/>
    <w:pPr>
      <w:spacing w:line="312" w:lineRule="auto"/>
      <w:ind w:firstLine="200" w:firstLineChars="200"/>
    </w:pPr>
    <w:rPr>
      <w:rFonts w:ascii="Times New Roman" w:hAnsi="Times New Roman"/>
      <w:sz w:val="21"/>
    </w:rPr>
  </w:style>
  <w:style w:type="paragraph" w:customStyle="1" w:styleId="58">
    <w:name w:val="小四正文"/>
    <w:link w:val="104"/>
    <w:uiPriority w:val="0"/>
    <w:pPr>
      <w:widowControl w:val="0"/>
      <w:snapToGrid w:val="0"/>
      <w:spacing w:line="360" w:lineRule="auto"/>
      <w:ind w:firstLine="200" w:firstLineChars="200"/>
      <w:jc w:val="both"/>
    </w:pPr>
    <w:rPr>
      <w:color w:val="000000"/>
      <w:spacing w:val="8"/>
      <w:kern w:val="2"/>
      <w:sz w:val="24"/>
      <w:szCs w:val="24"/>
      <w:lang w:val="en-GB" w:eastAsia="zh-CN" w:bidi="ar-SA"/>
    </w:rPr>
  </w:style>
  <w:style w:type="paragraph" w:customStyle="1" w:styleId="59">
    <w:name w:val="正文1"/>
    <w:basedOn w:val="1"/>
    <w:uiPriority w:val="0"/>
    <w:pPr>
      <w:widowControl/>
      <w:spacing w:line="360" w:lineRule="auto"/>
      <w:ind w:firstLine="482"/>
    </w:pPr>
    <w:rPr>
      <w:kern w:val="0"/>
      <w:sz w:val="24"/>
      <w:szCs w:val="20"/>
    </w:rPr>
  </w:style>
  <w:style w:type="paragraph" w:customStyle="1" w:styleId="60">
    <w:name w:val="表格首行"/>
    <w:basedOn w:val="1"/>
    <w:next w:val="1"/>
    <w:qFormat/>
    <w:uiPriority w:val="0"/>
    <w:pPr>
      <w:adjustRightInd w:val="0"/>
      <w:jc w:val="center"/>
    </w:pPr>
    <w:rPr>
      <w:rFonts w:cs="宋体"/>
      <w:b/>
    </w:rPr>
  </w:style>
  <w:style w:type="paragraph" w:customStyle="1" w:styleId="61">
    <w:name w:val=" Char2"/>
    <w:basedOn w:val="1"/>
    <w:uiPriority w:val="0"/>
    <w:rPr>
      <w:sz w:val="24"/>
    </w:rPr>
  </w:style>
  <w:style w:type="paragraph" w:customStyle="1" w:styleId="62">
    <w:name w:val="报告表正文"/>
    <w:basedOn w:val="1"/>
    <w:uiPriority w:val="0"/>
    <w:pPr>
      <w:adjustRightInd w:val="0"/>
      <w:spacing w:line="312" w:lineRule="auto"/>
      <w:ind w:left="113" w:right="113" w:firstLine="482"/>
      <w:jc w:val="left"/>
      <w:textAlignment w:val="baseline"/>
    </w:pPr>
    <w:rPr>
      <w:kern w:val="0"/>
      <w:sz w:val="24"/>
      <w:szCs w:val="20"/>
    </w:rPr>
  </w:style>
  <w:style w:type="paragraph" w:customStyle="1" w:styleId="63">
    <w:name w:val="Body Text 22"/>
    <w:basedOn w:val="1"/>
    <w:uiPriority w:val="0"/>
    <w:pPr>
      <w:adjustRightInd w:val="0"/>
      <w:spacing w:line="440" w:lineRule="atLeast"/>
      <w:ind w:firstLine="480"/>
      <w:textAlignment w:val="baseline"/>
    </w:pPr>
    <w:rPr>
      <w:rFonts w:eastAsia="仿宋_GB2312"/>
      <w:sz w:val="24"/>
      <w:szCs w:val="20"/>
    </w:rPr>
  </w:style>
  <w:style w:type="paragraph" w:customStyle="1" w:styleId="64">
    <w:name w:val="正文lcc"/>
    <w:basedOn w:val="1"/>
    <w:qFormat/>
    <w:uiPriority w:val="0"/>
    <w:pPr>
      <w:adjustRightInd w:val="0"/>
      <w:snapToGrid w:val="0"/>
      <w:spacing w:line="360" w:lineRule="auto"/>
      <w:ind w:firstLine="200" w:firstLineChars="200"/>
    </w:pPr>
    <w:rPr>
      <w:rFonts w:ascii="Calibri" w:hAnsi="Calibri" w:eastAsia="Times New Roman"/>
      <w:kern w:val="0"/>
    </w:rPr>
  </w:style>
  <w:style w:type="paragraph" w:customStyle="1" w:styleId="65">
    <w:name w:val="正文何昌泽"/>
    <w:basedOn w:val="1"/>
    <w:qFormat/>
    <w:uiPriority w:val="0"/>
    <w:pPr>
      <w:adjustRightInd w:val="0"/>
      <w:snapToGrid w:val="0"/>
      <w:spacing w:line="360" w:lineRule="auto"/>
      <w:ind w:firstLine="200" w:firstLineChars="200"/>
    </w:pPr>
    <w:rPr>
      <w:rFonts w:ascii="Calibri" w:hAnsi="Calibri"/>
      <w:kern w:val="0"/>
    </w:rPr>
  </w:style>
  <w:style w:type="paragraph" w:customStyle="1" w:styleId="66">
    <w:name w:val=" Char Char Char Char Char Char1 Char"/>
    <w:basedOn w:val="1"/>
    <w:uiPriority w:val="0"/>
    <w:rPr>
      <w:szCs w:val="20"/>
    </w:rPr>
  </w:style>
  <w:style w:type="paragraph" w:customStyle="1" w:styleId="67">
    <w:name w:val=" Char Char Char Char Char Char Char"/>
    <w:basedOn w:val="1"/>
    <w:uiPriority w:val="0"/>
    <w:pPr>
      <w:widowControl/>
      <w:spacing w:after="160" w:afterLines="0" w:line="240" w:lineRule="exact"/>
      <w:jc w:val="left"/>
    </w:pPr>
    <w:rPr>
      <w:rFonts w:ascii="Arial" w:hAnsi="Arial" w:eastAsia="Times New Roman" w:cs="Verdana"/>
      <w:b/>
      <w:kern w:val="0"/>
      <w:sz w:val="24"/>
      <w:lang w:eastAsia="en-US"/>
    </w:rPr>
  </w:style>
  <w:style w:type="paragraph" w:customStyle="1" w:styleId="68">
    <w:name w:val="报告表格"/>
    <w:basedOn w:val="1"/>
    <w:qFormat/>
    <w:uiPriority w:val="0"/>
    <w:pPr>
      <w:autoSpaceDE w:val="0"/>
      <w:autoSpaceDN w:val="0"/>
      <w:adjustRightInd w:val="0"/>
      <w:spacing w:before="40" w:beforeLines="0" w:after="40" w:afterLines="0"/>
      <w:jc w:val="center"/>
      <w:textAlignment w:val="baseline"/>
    </w:pPr>
    <w:rPr>
      <w:kern w:val="0"/>
      <w:szCs w:val="20"/>
    </w:rPr>
  </w:style>
  <w:style w:type="paragraph" w:customStyle="1" w:styleId="69">
    <w:name w:val="标准正文"/>
    <w:qFormat/>
    <w:uiPriority w:val="0"/>
    <w:pPr>
      <w:keepNext/>
      <w:keepLines/>
      <w:snapToGrid w:val="0"/>
      <w:spacing w:before="50" w:beforeLines="50" w:after="50" w:afterLines="50" w:line="360" w:lineRule="auto"/>
      <w:ind w:firstLine="200" w:firstLineChars="200"/>
      <w:jc w:val="both"/>
    </w:pPr>
    <w:rPr>
      <w:sz w:val="24"/>
      <w:szCs w:val="24"/>
      <w:lang w:val="en-US" w:eastAsia="zh-CN" w:bidi="ar-SA"/>
    </w:rPr>
  </w:style>
  <w:style w:type="paragraph" w:customStyle="1" w:styleId="70">
    <w:name w:val="默认段落字体 Para Char Char Char Char"/>
    <w:basedOn w:val="1"/>
    <w:uiPriority w:val="0"/>
  </w:style>
  <w:style w:type="paragraph" w:customStyle="1" w:styleId="71">
    <w:name w:val="首行缩进:  2 字符（清和）"/>
    <w:basedOn w:val="1"/>
    <w:qFormat/>
    <w:uiPriority w:val="0"/>
    <w:pPr>
      <w:spacing w:line="500" w:lineRule="exact"/>
      <w:ind w:firstLine="480"/>
    </w:pPr>
    <w:rPr>
      <w:rFonts w:cs="宋体"/>
    </w:rPr>
  </w:style>
  <w:style w:type="paragraph" w:customStyle="1" w:styleId="72">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73">
    <w:name w:val="zxz5"/>
    <w:next w:val="1"/>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74">
    <w:name w:val="样式 样式 样式5 + 首行缩进:  2 字符 +"/>
    <w:basedOn w:val="1"/>
    <w:qFormat/>
    <w:uiPriority w:val="0"/>
    <w:pPr>
      <w:spacing w:line="312" w:lineRule="auto"/>
      <w:ind w:firstLine="200" w:firstLineChars="200"/>
    </w:pPr>
    <w:rPr>
      <w:rFonts w:ascii="Times New Roman" w:hAnsi="Times New Roman" w:cs="宋体"/>
      <w:kern w:val="0"/>
      <w:sz w:val="21"/>
      <w:szCs w:val="20"/>
    </w:rPr>
  </w:style>
  <w:style w:type="paragraph" w:customStyle="1" w:styleId="75">
    <w:name w:val="标题1"/>
    <w:basedOn w:val="1"/>
    <w:qFormat/>
    <w:uiPriority w:val="0"/>
    <w:pPr>
      <w:spacing w:line="360" w:lineRule="auto"/>
    </w:pPr>
    <w:rPr>
      <w:rFonts w:ascii="Calibri" w:hAnsi="Calibri"/>
      <w:b/>
      <w:bCs/>
      <w:kern w:val="0"/>
      <w:sz w:val="28"/>
      <w:szCs w:val="28"/>
    </w:rPr>
  </w:style>
  <w:style w:type="paragraph" w:customStyle="1" w:styleId="76">
    <w:name w:val="Char"/>
    <w:basedOn w:val="1"/>
    <w:uiPriority w:val="0"/>
    <w:rPr>
      <w:sz w:val="24"/>
    </w:rPr>
  </w:style>
  <w:style w:type="paragraph" w:customStyle="1" w:styleId="77">
    <w:name w:val="报告书表格"/>
    <w:basedOn w:val="1"/>
    <w:uiPriority w:val="0"/>
    <w:pPr>
      <w:adjustRightInd w:val="0"/>
      <w:spacing w:before="60" w:beforeLines="0" w:after="60" w:afterLines="0" w:line="240" w:lineRule="atLeast"/>
      <w:jc w:val="center"/>
      <w:textAlignment w:val="baseline"/>
    </w:pPr>
    <w:rPr>
      <w:kern w:val="0"/>
      <w:szCs w:val="20"/>
    </w:rPr>
  </w:style>
  <w:style w:type="paragraph" w:customStyle="1" w:styleId="78">
    <w:name w:val="表格正文"/>
    <w:basedOn w:val="1"/>
    <w:uiPriority w:val="0"/>
    <w:pPr>
      <w:spacing w:line="360" w:lineRule="exact"/>
      <w:jc w:val="center"/>
    </w:pPr>
    <w:rPr>
      <w:szCs w:val="20"/>
    </w:rPr>
  </w:style>
  <w:style w:type="paragraph" w:customStyle="1" w:styleId="79">
    <w:name w:val="表格内容"/>
    <w:basedOn w:val="1"/>
    <w:qFormat/>
    <w:uiPriority w:val="0"/>
    <w:pPr>
      <w:widowControl/>
      <w:adjustRightInd w:val="0"/>
      <w:snapToGrid w:val="0"/>
      <w:spacing w:line="240" w:lineRule="auto"/>
      <w:ind w:firstLine="0" w:firstLineChars="0"/>
      <w:jc w:val="center"/>
    </w:pPr>
    <w:rPr>
      <w:rFonts w:ascii="Times New Roman" w:hAnsi="Times New Roman" w:eastAsia="宋体"/>
      <w:color w:val="000000"/>
      <w:sz w:val="21"/>
    </w:rPr>
  </w:style>
  <w:style w:type="paragraph" w:customStyle="1" w:styleId="80">
    <w:name w:val="1"/>
    <w:basedOn w:val="1"/>
    <w:uiPriority w:val="0"/>
    <w:rPr>
      <w:sz w:val="24"/>
    </w:rPr>
  </w:style>
  <w:style w:type="paragraph" w:customStyle="1" w:styleId="81">
    <w:name w:val="正文编号"/>
    <w:basedOn w:val="1"/>
    <w:link w:val="111"/>
    <w:uiPriority w:val="0"/>
    <w:pPr>
      <w:numPr>
        <w:ilvl w:val="0"/>
        <w:numId w:val="1"/>
      </w:numPr>
      <w:spacing w:line="360" w:lineRule="auto"/>
      <w:jc w:val="left"/>
    </w:pPr>
    <w:rPr>
      <w:rFonts w:ascii="Calibri" w:hAnsi="Calibri"/>
      <w:szCs w:val="21"/>
    </w:rPr>
  </w:style>
  <w:style w:type="paragraph" w:customStyle="1" w:styleId="82">
    <w:name w:val="Char Char Char Char"/>
    <w:basedOn w:val="1"/>
    <w:uiPriority w:val="0"/>
    <w:rPr>
      <w:rFonts w:ascii="Times New Roman" w:hAnsi="Times New Roman"/>
      <w:sz w:val="21"/>
    </w:rPr>
  </w:style>
  <w:style w:type="paragraph" w:customStyle="1" w:styleId="83">
    <w:name w:val="1 Char Char Char Char Char Char Char Char Char Char"/>
    <w:basedOn w:val="1"/>
    <w:uiPriority w:val="0"/>
  </w:style>
  <w:style w:type="character" w:customStyle="1" w:styleId="84">
    <w:name w:val="正文文本缩进 字符"/>
    <w:link w:val="3"/>
    <w:uiPriority w:val="0"/>
    <w:rPr>
      <w:rFonts w:hint="eastAsia" w:ascii="宋体" w:hAnsi="宋体" w:eastAsia="宋体" w:cs="宋体"/>
      <w:sz w:val="24"/>
      <w:szCs w:val="21"/>
    </w:rPr>
  </w:style>
  <w:style w:type="character" w:customStyle="1" w:styleId="85">
    <w:name w:val="font51"/>
    <w:qFormat/>
    <w:uiPriority w:val="0"/>
    <w:rPr>
      <w:rFonts w:hint="eastAsia" w:ascii="宋体" w:hAnsi="宋体" w:eastAsia="宋体" w:cs="宋体"/>
      <w:color w:val="000000"/>
      <w:sz w:val="18"/>
      <w:szCs w:val="18"/>
      <w:u w:val="none"/>
    </w:rPr>
  </w:style>
  <w:style w:type="character" w:customStyle="1" w:styleId="86">
    <w:name w:val="表格文字 Char"/>
    <w:link w:val="51"/>
    <w:uiPriority w:val="0"/>
    <w:rPr>
      <w:rFonts w:ascii="宋体" w:hAnsi="宋体" w:eastAsia="宋体"/>
      <w:kern w:val="2"/>
      <w:sz w:val="21"/>
      <w:szCs w:val="21"/>
      <w:lang w:val="en-US" w:eastAsia="zh-CN" w:bidi="ar-SA"/>
    </w:rPr>
  </w:style>
  <w:style w:type="character" w:customStyle="1" w:styleId="87">
    <w:name w:val="正文文本 字符"/>
    <w:link w:val="13"/>
    <w:uiPriority w:val="0"/>
    <w:rPr>
      <w:spacing w:val="20"/>
      <w:sz w:val="28"/>
      <w:szCs w:val="24"/>
    </w:rPr>
  </w:style>
  <w:style w:type="character" w:customStyle="1" w:styleId="88">
    <w:name w:val="title"/>
    <w:basedOn w:val="30"/>
    <w:uiPriority w:val="0"/>
  </w:style>
  <w:style w:type="character" w:customStyle="1" w:styleId="89">
    <w:name w:val="正文文本缩进 2 Char1"/>
    <w:uiPriority w:val="0"/>
    <w:rPr>
      <w:rFonts w:hint="eastAsia" w:ascii="宋体" w:hAnsi="宋体" w:eastAsia="宋体" w:cs="宋体"/>
      <w:sz w:val="24"/>
    </w:rPr>
  </w:style>
  <w:style w:type="character" w:customStyle="1" w:styleId="90">
    <w:name w:val="正文文本 Char1"/>
    <w:uiPriority w:val="0"/>
    <w:rPr>
      <w:kern w:val="2"/>
      <w:sz w:val="21"/>
      <w:szCs w:val="24"/>
    </w:rPr>
  </w:style>
  <w:style w:type="character" w:customStyle="1" w:styleId="91">
    <w:name w:val="纯文本 Char"/>
    <w:uiPriority w:val="0"/>
    <w:rPr>
      <w:rFonts w:hint="eastAsia" w:ascii="宋体" w:hAnsi="Courier New" w:eastAsia="宋体" w:cs="宋体"/>
      <w:spacing w:val="20"/>
      <w:sz w:val="28"/>
      <w:szCs w:val="21"/>
    </w:rPr>
  </w:style>
  <w:style w:type="character" w:customStyle="1" w:styleId="92">
    <w:name w:val="正文缩进 字符"/>
    <w:link w:val="8"/>
    <w:uiPriority w:val="0"/>
    <w:rPr>
      <w:rFonts w:ascii="仿宋_GB2312" w:hAnsi="Arial Black" w:eastAsia="仿宋_GB2312"/>
      <w:kern w:val="2"/>
      <w:sz w:val="28"/>
      <w:lang w:val="en-US" w:eastAsia="zh-CN" w:bidi="ar-SA"/>
    </w:rPr>
  </w:style>
  <w:style w:type="character" w:customStyle="1" w:styleId="93">
    <w:name w:val="正文文本缩进 Char1"/>
    <w:uiPriority w:val="0"/>
    <w:rPr>
      <w:rFonts w:hint="eastAsia" w:ascii="宋体" w:hAnsi="宋体" w:eastAsia="宋体" w:cs="宋体"/>
      <w:sz w:val="24"/>
    </w:rPr>
  </w:style>
  <w:style w:type="character" w:customStyle="1" w:styleId="94">
    <w:name w:val="font21"/>
    <w:qFormat/>
    <w:uiPriority w:val="0"/>
    <w:rPr>
      <w:rFonts w:hint="eastAsia" w:ascii="宋体" w:hAnsi="宋体" w:eastAsia="宋体" w:cs="宋体"/>
      <w:color w:val="000000"/>
      <w:sz w:val="22"/>
      <w:szCs w:val="22"/>
      <w:u w:val="none"/>
    </w:rPr>
  </w:style>
  <w:style w:type="character" w:customStyle="1" w:styleId="95">
    <w:name w:val="普通文字 Char Char1"/>
    <w:aliases w:val="Plain Text Char1 Char,Plain Text Char Char Char1,Plain Text Char Char1,Plain Text Char2 Char1,Plain Text Char2 Char Char,Plain Text Char1 Char Char Char,Plain Text Char Char Char Char,普通文字 Char1"/>
    <w:uiPriority w:val="0"/>
    <w:rPr>
      <w:rFonts w:ascii="宋体" w:hAnsi="Courier New"/>
      <w:spacing w:val="-2"/>
      <w:kern w:val="28"/>
      <w:sz w:val="21"/>
    </w:rPr>
  </w:style>
  <w:style w:type="character" w:customStyle="1" w:styleId="96">
    <w:name w:val="fontstyle11"/>
    <w:qFormat/>
    <w:uiPriority w:val="0"/>
    <w:rPr>
      <w:rFonts w:hint="default" w:ascii="Times New Roman" w:hAnsi="Times New Roman" w:cs="Times New Roman"/>
      <w:color w:val="000000"/>
      <w:sz w:val="24"/>
      <w:szCs w:val="24"/>
    </w:rPr>
  </w:style>
  <w:style w:type="character" w:customStyle="1" w:styleId="97">
    <w:name w:val="孙普文字 Char1"/>
    <w:aliases w:val="Plain Text Char,纯文本 Char Char2,普通文字 Char Char Char1,普通文字 Char2,纯文本 Char1 Char1,纯文本 Char Char Char1,普通文字 Char Char2,纯文本 Char1 Char Char Char,纯文本 Char Char Char Char Char,纯文本 Char Char1 Char,纯文本 Char1 Char Char1,纯文本 Char Char Char Char1"/>
    <w:uiPriority w:val="0"/>
    <w:rPr>
      <w:rFonts w:ascii="宋体" w:hAnsi="Courier New"/>
      <w:kern w:val="2"/>
      <w:sz w:val="24"/>
    </w:rPr>
  </w:style>
  <w:style w:type="character" w:customStyle="1" w:styleId="98">
    <w:name w:val="font61"/>
    <w:qFormat/>
    <w:uiPriority w:val="0"/>
    <w:rPr>
      <w:rFonts w:hint="eastAsia" w:ascii="宋体" w:hAnsi="宋体" w:eastAsia="宋体" w:cs="宋体"/>
      <w:color w:val="000000"/>
      <w:sz w:val="20"/>
      <w:szCs w:val="20"/>
      <w:u w:val="none"/>
    </w:rPr>
  </w:style>
  <w:style w:type="character" w:customStyle="1" w:styleId="99">
    <w:name w:val="报告表正文 Char"/>
    <w:uiPriority w:val="0"/>
    <w:rPr>
      <w:rFonts w:hint="eastAsia" w:ascii="宋体" w:hAnsi="宋体" w:eastAsia="宋体" w:cs="宋体"/>
      <w:sz w:val="24"/>
    </w:rPr>
  </w:style>
  <w:style w:type="character" w:customStyle="1" w:styleId="100">
    <w:name w:val="wz"/>
    <w:basedOn w:val="30"/>
    <w:uiPriority w:val="0"/>
  </w:style>
  <w:style w:type="character" w:customStyle="1" w:styleId="101">
    <w:name w:val="页脚 字符"/>
    <w:link w:val="18"/>
    <w:uiPriority w:val="99"/>
    <w:rPr>
      <w:kern w:val="2"/>
      <w:sz w:val="18"/>
      <w:szCs w:val="18"/>
    </w:rPr>
  </w:style>
  <w:style w:type="character" w:customStyle="1" w:styleId="102">
    <w:name w:val="正文文本缩进 2 字符"/>
    <w:link w:val="16"/>
    <w:uiPriority w:val="0"/>
    <w:rPr>
      <w:rFonts w:hint="eastAsia" w:ascii="宋体" w:hAnsi="宋体" w:eastAsia="宋体" w:cs="宋体"/>
      <w:kern w:val="2"/>
      <w:sz w:val="28"/>
    </w:rPr>
  </w:style>
  <w:style w:type="character" w:customStyle="1" w:styleId="103">
    <w:name w:val="正文文本缩进 Char"/>
    <w:aliases w:val="正文文字缩进1 Char,正文文字( 首段缩进两字） Char"/>
    <w:uiPriority w:val="0"/>
    <w:rPr>
      <w:rFonts w:ascii="宋体" w:hAnsi="Arial" w:eastAsia="宋体" w:cs="Arial"/>
      <w:color w:val="000000"/>
      <w:kern w:val="2"/>
      <w:sz w:val="28"/>
      <w:szCs w:val="28"/>
      <w:lang w:val="en-US" w:eastAsia="zh-CN" w:bidi="ar-SA"/>
    </w:rPr>
  </w:style>
  <w:style w:type="character" w:customStyle="1" w:styleId="104">
    <w:name w:val="小四正文 Char"/>
    <w:link w:val="58"/>
    <w:uiPriority w:val="0"/>
    <w:rPr>
      <w:color w:val="000000"/>
      <w:spacing w:val="8"/>
      <w:kern w:val="2"/>
      <w:sz w:val="24"/>
      <w:szCs w:val="24"/>
      <w:lang w:val="en-GB" w:eastAsia="zh-CN" w:bidi="ar-SA"/>
    </w:rPr>
  </w:style>
  <w:style w:type="character" w:customStyle="1" w:styleId="105">
    <w:name w:val="正文文本缩进 3 Char Char"/>
    <w:aliases w:val="正文文本缩进 31,正文文字缩进 3,正文文字缩进4,正文文本缩进 3 Char Char Char,正文文本缩进 32"/>
    <w:uiPriority w:val="0"/>
    <w:rPr>
      <w:rFonts w:ascii="宋体" w:hAnsi="宋体" w:eastAsia="宋体"/>
      <w:b/>
      <w:bCs/>
      <w:kern w:val="2"/>
      <w:sz w:val="24"/>
      <w:lang w:val="en-US" w:eastAsia="zh-CN" w:bidi="ar-SA"/>
    </w:rPr>
  </w:style>
  <w:style w:type="character" w:customStyle="1" w:styleId="106">
    <w:name w:val="正文（首行缩进两字） Char"/>
    <w:uiPriority w:val="0"/>
    <w:rPr>
      <w:rFonts w:eastAsia="宋体"/>
      <w:kern w:val="2"/>
      <w:sz w:val="24"/>
      <w:lang w:val="en-US" w:eastAsia="zh-CN"/>
    </w:rPr>
  </w:style>
  <w:style w:type="character" w:customStyle="1" w:styleId="107">
    <w:name w:val="正文内容 Char Char"/>
    <w:link w:val="53"/>
    <w:uiPriority w:val="0"/>
    <w:rPr>
      <w:rFonts w:eastAsia="Times New Roman"/>
      <w:kern w:val="2"/>
      <w:sz w:val="24"/>
      <w:szCs w:val="24"/>
      <w:lang w:val="en-US" w:eastAsia="zh-CN" w:bidi="ar-SA"/>
    </w:rPr>
  </w:style>
  <w:style w:type="character" w:customStyle="1" w:styleId="108">
    <w:name w:val="标题 3 字符"/>
    <w:link w:val="6"/>
    <w:uiPriority w:val="0"/>
    <w:rPr>
      <w:rFonts w:eastAsia="宋体"/>
      <w:b/>
      <w:bCs/>
      <w:kern w:val="2"/>
      <w:sz w:val="32"/>
      <w:szCs w:val="32"/>
      <w:lang w:val="en-US" w:eastAsia="zh-CN" w:bidi="ar-SA"/>
    </w:rPr>
  </w:style>
  <w:style w:type="character" w:customStyle="1" w:styleId="109">
    <w:name w:val="纯文本 字符"/>
    <w:link w:val="14"/>
    <w:uiPriority w:val="0"/>
    <w:rPr>
      <w:rFonts w:ascii="宋体" w:hAnsi="Courier New" w:eastAsia="宋体"/>
      <w:kern w:val="2"/>
      <w:sz w:val="24"/>
      <w:lang w:val="en-US" w:eastAsia="zh-CN" w:bidi="ar-SA"/>
    </w:rPr>
  </w:style>
  <w:style w:type="character" w:customStyle="1" w:styleId="110">
    <w:name w:val="正正 Char"/>
    <w:link w:val="57"/>
    <w:qFormat/>
    <w:uiPriority w:val="0"/>
    <w:rPr>
      <w:rFonts w:ascii="Times New Roman" w:hAnsi="Times New Roman"/>
      <w:kern w:val="2"/>
      <w:sz w:val="21"/>
      <w:szCs w:val="24"/>
    </w:rPr>
  </w:style>
  <w:style w:type="character" w:customStyle="1" w:styleId="111">
    <w:name w:val="正文编号 Char Char"/>
    <w:link w:val="81"/>
    <w:uiPriority w:val="0"/>
    <w:rPr>
      <w:rFonts w:ascii="Calibri" w:hAnsi="Calibri"/>
      <w:kern w:val="2"/>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26.png"/><Relationship Id="rId50" Type="http://schemas.openxmlformats.org/officeDocument/2006/relationships/image" Target="media/image25.wmf"/><Relationship Id="rId5" Type="http://schemas.openxmlformats.org/officeDocument/2006/relationships/header" Target="header1.xml"/><Relationship Id="rId49" Type="http://schemas.openxmlformats.org/officeDocument/2006/relationships/oleObject" Target="embeddings/oleObject17.bin"/><Relationship Id="rId48" Type="http://schemas.openxmlformats.org/officeDocument/2006/relationships/image" Target="media/image24.png"/><Relationship Id="rId47" Type="http://schemas.openxmlformats.org/officeDocument/2006/relationships/image" Target="media/image23.png"/><Relationship Id="rId46" Type="http://schemas.openxmlformats.org/officeDocument/2006/relationships/image" Target="media/image22.wmf"/><Relationship Id="rId45" Type="http://schemas.openxmlformats.org/officeDocument/2006/relationships/oleObject" Target="embeddings/oleObject16.bin"/><Relationship Id="rId44" Type="http://schemas.openxmlformats.org/officeDocument/2006/relationships/image" Target="media/image21.wmf"/><Relationship Id="rId43" Type="http://schemas.openxmlformats.org/officeDocument/2006/relationships/oleObject" Target="embeddings/oleObject15.bin"/><Relationship Id="rId42" Type="http://schemas.openxmlformats.org/officeDocument/2006/relationships/image" Target="media/image20.wmf"/><Relationship Id="rId41" Type="http://schemas.openxmlformats.org/officeDocument/2006/relationships/oleObject" Target="embeddings/oleObject14.bin"/><Relationship Id="rId40" Type="http://schemas.openxmlformats.org/officeDocument/2006/relationships/image" Target="media/image19.wmf"/><Relationship Id="rId4" Type="http://schemas.openxmlformats.org/officeDocument/2006/relationships/footer" Target="footer2.xml"/><Relationship Id="rId39" Type="http://schemas.openxmlformats.org/officeDocument/2006/relationships/oleObject" Target="embeddings/oleObject13.bin"/><Relationship Id="rId38" Type="http://schemas.openxmlformats.org/officeDocument/2006/relationships/image" Target="media/image18.wmf"/><Relationship Id="rId37" Type="http://schemas.openxmlformats.org/officeDocument/2006/relationships/oleObject" Target="embeddings/oleObject12.bin"/><Relationship Id="rId36" Type="http://schemas.openxmlformats.org/officeDocument/2006/relationships/image" Target="media/image17.wmf"/><Relationship Id="rId35" Type="http://schemas.openxmlformats.org/officeDocument/2006/relationships/oleObject" Target="embeddings/oleObject11.bin"/><Relationship Id="rId34" Type="http://schemas.openxmlformats.org/officeDocument/2006/relationships/image" Target="media/image16.wmf"/><Relationship Id="rId33" Type="http://schemas.openxmlformats.org/officeDocument/2006/relationships/oleObject" Target="embeddings/oleObject10.bin"/><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er" Target="footer1.xml"/><Relationship Id="rId29" Type="http://schemas.openxmlformats.org/officeDocument/2006/relationships/image" Target="media/image12.emf"/><Relationship Id="rId28" Type="http://schemas.openxmlformats.org/officeDocument/2006/relationships/oleObject" Target="embeddings/oleObject9.bin"/><Relationship Id="rId27" Type="http://schemas.openxmlformats.org/officeDocument/2006/relationships/image" Target="media/image11.wmf"/><Relationship Id="rId26" Type="http://schemas.openxmlformats.org/officeDocument/2006/relationships/oleObject" Target="embeddings/oleObject8.bin"/><Relationship Id="rId25" Type="http://schemas.openxmlformats.org/officeDocument/2006/relationships/image" Target="media/image10.wmf"/><Relationship Id="rId24" Type="http://schemas.openxmlformats.org/officeDocument/2006/relationships/oleObject" Target="embeddings/oleObject7.bin"/><Relationship Id="rId23" Type="http://schemas.openxmlformats.org/officeDocument/2006/relationships/image" Target="media/image9.wmf"/><Relationship Id="rId22" Type="http://schemas.openxmlformats.org/officeDocument/2006/relationships/oleObject" Target="embeddings/oleObject6.bin"/><Relationship Id="rId21" Type="http://schemas.openxmlformats.org/officeDocument/2006/relationships/image" Target="media/image8.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4.bin"/><Relationship Id="rId17" Type="http://schemas.openxmlformats.org/officeDocument/2006/relationships/image" Target="media/image6.wmf"/><Relationship Id="rId16" Type="http://schemas.openxmlformats.org/officeDocument/2006/relationships/oleObject" Target="embeddings/oleObject3.bin"/><Relationship Id="rId15" Type="http://schemas.openxmlformats.org/officeDocument/2006/relationships/image" Target="media/image5.wmf"/><Relationship Id="rId14" Type="http://schemas.openxmlformats.org/officeDocument/2006/relationships/oleObject" Target="embeddings/oleObject2.bin"/><Relationship Id="rId13" Type="http://schemas.openxmlformats.org/officeDocument/2006/relationships/image" Target="media/image4.wmf"/><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nju</Company>
  <Pages>101</Pages>
  <Words>68049</Words>
  <Characters>78017</Characters>
  <Lines>591</Lines>
  <Paragraphs>166</Paragraphs>
  <TotalTime>28</TotalTime>
  <ScaleCrop>false</ScaleCrop>
  <LinksUpToDate>false</LinksUpToDate>
  <CharactersWithSpaces>78707</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2014-08-05T06:42:00Z</dcterms:created>
  <dc:creator>y</dc:creator>
  <cp:lastModifiedBy>Administrator</cp:lastModifiedBy>
  <cp:lastPrinted>2020-11-19T06:59:00Z</cp:lastPrinted>
  <dcterms:modified xsi:type="dcterms:W3CDTF">2020-12-10T02:44:38Z</dcterms:modified>
  <dc:title>远洋天然香料加工环评</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