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r>
        <w:rPr>
          <w:rFonts w:hint="eastAsia"/>
        </w:rPr>
        <w:t xml:space="preserve"> </w:t>
      </w:r>
      <w:r>
        <w:tab/>
      </w:r>
    </w:p>
    <w:p>
      <w:pPr>
        <w:spacing w:line="360" w:lineRule="auto"/>
        <w:jc w:val="center"/>
        <w:rPr>
          <w:rFonts w:cs="Times New Roman"/>
          <w:szCs w:val="22"/>
        </w:rPr>
      </w:pPr>
    </w:p>
    <w:p>
      <w:pPr>
        <w:spacing w:line="360" w:lineRule="auto"/>
        <w:jc w:val="center"/>
        <w:rPr>
          <w:rFonts w:cs="Times New Roman"/>
          <w:szCs w:val="22"/>
        </w:rPr>
      </w:pPr>
    </w:p>
    <w:p>
      <w:pPr>
        <w:spacing w:line="360" w:lineRule="auto"/>
        <w:jc w:val="center"/>
        <w:rPr>
          <w:rFonts w:cs="Times New Roman"/>
          <w:szCs w:val="22"/>
        </w:rPr>
      </w:pPr>
    </w:p>
    <w:p>
      <w:pPr>
        <w:spacing w:line="360" w:lineRule="auto"/>
        <w:jc w:val="center"/>
        <w:rPr>
          <w:rFonts w:cs="Times New Roman"/>
          <w:szCs w:val="22"/>
        </w:rPr>
      </w:pPr>
    </w:p>
    <w:p>
      <w:pPr>
        <w:spacing w:line="360" w:lineRule="auto"/>
        <w:rPr>
          <w:rFonts w:cs="Times New Roman"/>
          <w:szCs w:val="22"/>
        </w:rPr>
      </w:pPr>
    </w:p>
    <w:p>
      <w:pPr>
        <w:spacing w:after="120" w:line="360" w:lineRule="auto"/>
        <w:jc w:val="center"/>
        <w:rPr>
          <w:rFonts w:cs="Times New Roman"/>
          <w:b/>
          <w:sz w:val="72"/>
          <w:szCs w:val="72"/>
        </w:rPr>
      </w:pPr>
      <w:r>
        <w:rPr>
          <w:rFonts w:cs="Times New Roman"/>
          <w:b/>
          <w:sz w:val="72"/>
          <w:szCs w:val="72"/>
        </w:rPr>
        <w:t>建设项目环境影响报告表</w:t>
      </w:r>
    </w:p>
    <w:p>
      <w:pPr>
        <w:topLinePunct/>
        <w:spacing w:line="360" w:lineRule="auto"/>
        <w:jc w:val="center"/>
        <w:rPr>
          <w:rFonts w:cs="Times New Roman"/>
          <w:b/>
          <w:snapToGrid w:val="0"/>
          <w:sz w:val="44"/>
          <w:szCs w:val="44"/>
        </w:rPr>
      </w:pPr>
    </w:p>
    <w:p>
      <w:pPr>
        <w:topLinePunct/>
        <w:spacing w:line="360" w:lineRule="auto"/>
        <w:jc w:val="center"/>
        <w:rPr>
          <w:rFonts w:cs="Times New Roman"/>
          <w:b/>
          <w:snapToGrid w:val="0"/>
          <w:sz w:val="44"/>
          <w:szCs w:val="44"/>
        </w:rPr>
      </w:pPr>
      <w:r>
        <w:rPr>
          <w:rFonts w:cs="Times New Roman"/>
          <w:b/>
          <w:snapToGrid w:val="0"/>
          <w:sz w:val="44"/>
          <w:szCs w:val="44"/>
        </w:rPr>
        <w:t>(</w:t>
      </w:r>
      <w:r>
        <w:rPr>
          <w:rFonts w:hint="eastAsia" w:cs="Times New Roman"/>
          <w:b/>
          <w:snapToGrid w:val="0"/>
          <w:sz w:val="44"/>
          <w:szCs w:val="44"/>
        </w:rPr>
        <w:t>公示</w:t>
      </w:r>
      <w:r>
        <w:rPr>
          <w:rFonts w:hint="eastAsia" w:cs="Times New Roman"/>
          <w:b/>
          <w:snapToGrid w:val="0"/>
          <w:sz w:val="44"/>
          <w:szCs w:val="44"/>
          <w:lang w:eastAsia="zh-CN"/>
        </w:rPr>
        <w:t>版</w:t>
      </w:r>
      <w:bookmarkStart w:id="19" w:name="_GoBack"/>
      <w:bookmarkEnd w:id="19"/>
      <w:r>
        <w:rPr>
          <w:rFonts w:cs="Times New Roman"/>
          <w:b/>
          <w:snapToGrid w:val="0"/>
          <w:sz w:val="44"/>
          <w:szCs w:val="44"/>
        </w:rPr>
        <w:t>)</w:t>
      </w:r>
    </w:p>
    <w:p>
      <w:pPr>
        <w:spacing w:line="360" w:lineRule="auto"/>
        <w:rPr>
          <w:rFonts w:cs="Times New Roman"/>
          <w:sz w:val="32"/>
        </w:rPr>
      </w:pPr>
    </w:p>
    <w:p>
      <w:pPr>
        <w:spacing w:line="360" w:lineRule="auto"/>
        <w:rPr>
          <w:rFonts w:cs="Times New Roman"/>
          <w:sz w:val="32"/>
        </w:rPr>
      </w:pPr>
    </w:p>
    <w:p>
      <w:pPr>
        <w:spacing w:line="360" w:lineRule="auto"/>
        <w:rPr>
          <w:rFonts w:cs="Times New Roman"/>
          <w:sz w:val="32"/>
        </w:rPr>
      </w:pPr>
    </w:p>
    <w:p>
      <w:pPr>
        <w:spacing w:line="360" w:lineRule="auto"/>
        <w:ind w:left="1738" w:leftChars="67" w:hanging="1577" w:hangingChars="491"/>
        <w:jc w:val="left"/>
        <w:rPr>
          <w:rFonts w:cs="Times New Roman"/>
          <w:b/>
          <w:sz w:val="32"/>
          <w:u w:val="single"/>
        </w:rPr>
      </w:pPr>
      <w:r>
        <w:rPr>
          <w:rFonts w:cs="Times New Roman"/>
          <w:b/>
          <w:sz w:val="32"/>
        </w:rPr>
        <w:t>项目名称：</w:t>
      </w:r>
      <w:r>
        <w:rPr>
          <w:rFonts w:hint="eastAsia" w:cs="Times New Roman"/>
          <w:b/>
          <w:sz w:val="32"/>
          <w:u w:val="single"/>
        </w:rPr>
        <w:t>四川省乐山市峨边彝族自治县城郊污水处理及管网建设项目</w:t>
      </w:r>
    </w:p>
    <w:p>
      <w:pPr>
        <w:spacing w:line="360" w:lineRule="auto"/>
        <w:ind w:left="1821" w:leftChars="49" w:hanging="1703" w:hangingChars="530"/>
        <w:rPr>
          <w:rFonts w:cs="Times New Roman"/>
          <w:b/>
          <w:sz w:val="32"/>
          <w:u w:val="thick"/>
        </w:rPr>
      </w:pPr>
    </w:p>
    <w:p>
      <w:pPr>
        <w:spacing w:line="360" w:lineRule="auto"/>
        <w:ind w:left="1821" w:leftChars="49" w:hanging="1703" w:hangingChars="530"/>
        <w:rPr>
          <w:rFonts w:cs="Times New Roman"/>
          <w:b/>
          <w:sz w:val="32"/>
          <w:u w:val="thick"/>
        </w:rPr>
      </w:pPr>
    </w:p>
    <w:p>
      <w:pPr>
        <w:spacing w:line="360" w:lineRule="auto"/>
        <w:ind w:firstLine="141" w:firstLineChars="44"/>
        <w:rPr>
          <w:rFonts w:cs="Times New Roman"/>
          <w:sz w:val="28"/>
          <w:u w:val="single"/>
        </w:rPr>
      </w:pPr>
      <w:r>
        <w:rPr>
          <w:rFonts w:cs="Times New Roman"/>
          <w:b/>
          <w:sz w:val="32"/>
        </w:rPr>
        <w:t>建设单位(盖章)：</w:t>
      </w:r>
      <w:r>
        <w:rPr>
          <w:rFonts w:hint="eastAsia" w:cs="Times New Roman"/>
          <w:b/>
          <w:sz w:val="32"/>
          <w:u w:val="single"/>
        </w:rPr>
        <w:t>峨边彝族自治县城市建设投资有限公司</w:t>
      </w:r>
    </w:p>
    <w:p>
      <w:pPr>
        <w:spacing w:line="360" w:lineRule="auto"/>
        <w:rPr>
          <w:rFonts w:cs="Times New Roman"/>
          <w:sz w:val="32"/>
        </w:rPr>
      </w:pPr>
    </w:p>
    <w:p>
      <w:pPr>
        <w:spacing w:line="360" w:lineRule="auto"/>
        <w:rPr>
          <w:rFonts w:cs="Times New Roman"/>
        </w:rPr>
      </w:pPr>
    </w:p>
    <w:p>
      <w:pPr>
        <w:spacing w:line="360" w:lineRule="auto"/>
        <w:rPr>
          <w:rFonts w:cs="Times New Roman"/>
        </w:rPr>
      </w:pPr>
    </w:p>
    <w:p>
      <w:pPr>
        <w:spacing w:line="360" w:lineRule="auto"/>
        <w:rPr>
          <w:rFonts w:cs="Times New Roman"/>
          <w:sz w:val="32"/>
        </w:rPr>
      </w:pPr>
    </w:p>
    <w:tbl>
      <w:tblPr>
        <w:tblStyle w:val="30"/>
        <w:tblW w:w="7054" w:type="dxa"/>
        <w:jc w:val="center"/>
        <w:tblLayout w:type="fixed"/>
        <w:tblCellMar>
          <w:top w:w="0" w:type="dxa"/>
          <w:left w:w="108" w:type="dxa"/>
          <w:bottom w:w="0" w:type="dxa"/>
          <w:right w:w="108" w:type="dxa"/>
        </w:tblCellMar>
      </w:tblPr>
      <w:tblGrid>
        <w:gridCol w:w="1977"/>
        <w:gridCol w:w="5077"/>
      </w:tblGrid>
      <w:tr>
        <w:tblPrEx>
          <w:tblCellMar>
            <w:top w:w="0" w:type="dxa"/>
            <w:left w:w="108" w:type="dxa"/>
            <w:bottom w:w="0" w:type="dxa"/>
            <w:right w:w="108" w:type="dxa"/>
          </w:tblCellMar>
        </w:tblPrEx>
        <w:trPr>
          <w:trHeight w:val="567" w:hRule="exact"/>
          <w:jc w:val="center"/>
        </w:trPr>
        <w:tc>
          <w:tcPr>
            <w:tcW w:w="1977" w:type="dxa"/>
            <w:vAlign w:val="center"/>
          </w:tcPr>
          <w:p>
            <w:pPr>
              <w:spacing w:line="240" w:lineRule="atLeast"/>
              <w:jc w:val="center"/>
              <w:rPr>
                <w:rFonts w:cs="Times New Roman"/>
                <w:b/>
                <w:sz w:val="28"/>
                <w:szCs w:val="28"/>
              </w:rPr>
            </w:pPr>
            <w:r>
              <w:rPr>
                <w:rFonts w:cs="Times New Roman"/>
                <w:b/>
                <w:sz w:val="28"/>
                <w:szCs w:val="28"/>
              </w:rPr>
              <w:t>编制单位：</w:t>
            </w:r>
          </w:p>
        </w:tc>
        <w:tc>
          <w:tcPr>
            <w:tcW w:w="5077" w:type="dxa"/>
            <w:vAlign w:val="center"/>
          </w:tcPr>
          <w:p>
            <w:pPr>
              <w:spacing w:line="240" w:lineRule="atLeast"/>
              <w:jc w:val="left"/>
              <w:rPr>
                <w:rFonts w:cs="Times New Roman"/>
                <w:b/>
                <w:sz w:val="28"/>
                <w:szCs w:val="28"/>
              </w:rPr>
            </w:pPr>
            <w:r>
              <w:rPr>
                <w:rFonts w:hint="eastAsia" w:cs="Times New Roman"/>
                <w:b/>
                <w:sz w:val="28"/>
                <w:szCs w:val="28"/>
              </w:rPr>
              <w:t>四川天和环境工程科技有限公司</w:t>
            </w:r>
          </w:p>
        </w:tc>
      </w:tr>
      <w:tr>
        <w:tblPrEx>
          <w:tblCellMar>
            <w:top w:w="0" w:type="dxa"/>
            <w:left w:w="108" w:type="dxa"/>
            <w:bottom w:w="0" w:type="dxa"/>
            <w:right w:w="108" w:type="dxa"/>
          </w:tblCellMar>
        </w:tblPrEx>
        <w:trPr>
          <w:trHeight w:val="567" w:hRule="exact"/>
          <w:jc w:val="center"/>
        </w:trPr>
        <w:tc>
          <w:tcPr>
            <w:tcW w:w="7054" w:type="dxa"/>
            <w:gridSpan w:val="2"/>
            <w:vAlign w:val="center"/>
          </w:tcPr>
          <w:p>
            <w:pPr>
              <w:spacing w:line="240" w:lineRule="atLeast"/>
              <w:jc w:val="center"/>
              <w:rPr>
                <w:rFonts w:cs="Times New Roman"/>
                <w:b/>
                <w:sz w:val="28"/>
                <w:szCs w:val="28"/>
              </w:rPr>
            </w:pPr>
            <w:r>
              <w:rPr>
                <w:rFonts w:cs="Times New Roman"/>
                <w:b/>
                <w:sz w:val="28"/>
                <w:szCs w:val="28"/>
              </w:rPr>
              <w:t>二〇二〇年</w:t>
            </w:r>
            <w:r>
              <w:rPr>
                <w:rFonts w:hint="eastAsia" w:cs="Times New Roman"/>
                <w:b/>
                <w:sz w:val="28"/>
                <w:szCs w:val="28"/>
              </w:rPr>
              <w:t>十二</w:t>
            </w:r>
            <w:r>
              <w:rPr>
                <w:rFonts w:cs="Times New Roman"/>
                <w:b/>
                <w:sz w:val="28"/>
                <w:szCs w:val="28"/>
              </w:rPr>
              <w:t>月</w:t>
            </w:r>
          </w:p>
        </w:tc>
      </w:tr>
    </w:tbl>
    <w:p>
      <w:pPr>
        <w:snapToGrid w:val="0"/>
        <w:spacing w:line="360" w:lineRule="auto"/>
        <w:jc w:val="center"/>
        <w:rPr>
          <w:rFonts w:cs="Times New Roman"/>
          <w:b/>
          <w:sz w:val="32"/>
          <w:szCs w:val="28"/>
        </w:rPr>
        <w:sectPr>
          <w:headerReference r:id="rId3" w:type="default"/>
          <w:footerReference r:id="rId4" w:type="default"/>
          <w:footerReference r:id="rId5" w:type="even"/>
          <w:pgSz w:w="11906" w:h="16838"/>
          <w:pgMar w:top="1814" w:right="1673" w:bottom="1814" w:left="1673" w:header="851" w:footer="958" w:gutter="0"/>
          <w:pgNumType w:start="1"/>
          <w:cols w:space="720" w:num="1"/>
          <w:docGrid w:linePitch="312" w:charSpace="0"/>
        </w:sectPr>
      </w:pPr>
    </w:p>
    <w:p>
      <w:pPr>
        <w:snapToGrid w:val="0"/>
        <w:spacing w:line="360" w:lineRule="auto"/>
        <w:jc w:val="center"/>
        <w:rPr>
          <w:rFonts w:cs="Times New Roman"/>
          <w:b/>
          <w:sz w:val="32"/>
          <w:szCs w:val="28"/>
        </w:rPr>
        <w:sectPr>
          <w:pgSz w:w="11906" w:h="16838"/>
          <w:pgMar w:top="1814" w:right="1673" w:bottom="1814" w:left="1673" w:header="851" w:footer="958" w:gutter="0"/>
          <w:pgNumType w:start="1"/>
          <w:cols w:space="720" w:num="1"/>
          <w:docGrid w:linePitch="312" w:charSpace="0"/>
        </w:sectPr>
      </w:pPr>
      <w:r>
        <w:rPr>
          <w:rFonts w:cs="Times New Roman"/>
          <w:b/>
          <w:sz w:val="32"/>
          <w:szCs w:val="28"/>
        </w:rPr>
        <w:drawing>
          <wp:inline distT="0" distB="0" distL="0" distR="0">
            <wp:extent cx="5435600" cy="7748270"/>
            <wp:effectExtent l="0" t="0" r="0"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35600" cy="7748270"/>
                    </a:xfrm>
                    <a:prstGeom prst="rect">
                      <a:avLst/>
                    </a:prstGeom>
                    <a:noFill/>
                    <a:ln>
                      <a:noFill/>
                    </a:ln>
                  </pic:spPr>
                </pic:pic>
              </a:graphicData>
            </a:graphic>
          </wp:inline>
        </w:drawing>
      </w:r>
    </w:p>
    <w:p>
      <w:pPr>
        <w:snapToGrid w:val="0"/>
        <w:spacing w:line="360" w:lineRule="auto"/>
        <w:jc w:val="center"/>
        <w:rPr>
          <w:rFonts w:cs="Times New Roman"/>
          <w:b/>
          <w:sz w:val="32"/>
          <w:szCs w:val="28"/>
        </w:rPr>
        <w:sectPr>
          <w:pgSz w:w="11906" w:h="16838"/>
          <w:pgMar w:top="1814" w:right="1673" w:bottom="1814" w:left="1673" w:header="851" w:footer="958" w:gutter="0"/>
          <w:pgNumType w:start="1"/>
          <w:cols w:space="720" w:num="1"/>
          <w:docGrid w:linePitch="312" w:charSpace="0"/>
        </w:sectPr>
      </w:pPr>
      <w:r>
        <w:rPr>
          <w:rFonts w:cs="Times New Roman"/>
          <w:b/>
          <w:sz w:val="32"/>
          <w:szCs w:val="28"/>
        </w:rPr>
        <w:drawing>
          <wp:inline distT="0" distB="0" distL="0" distR="0">
            <wp:extent cx="5435600" cy="7690485"/>
            <wp:effectExtent l="0" t="0" r="0" b="571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35600" cy="7690485"/>
                    </a:xfrm>
                    <a:prstGeom prst="rect">
                      <a:avLst/>
                    </a:prstGeom>
                    <a:noFill/>
                    <a:ln>
                      <a:noFill/>
                    </a:ln>
                  </pic:spPr>
                </pic:pic>
              </a:graphicData>
            </a:graphic>
          </wp:inline>
        </w:drawing>
      </w:r>
    </w:p>
    <w:p>
      <w:pPr>
        <w:snapToGrid w:val="0"/>
        <w:spacing w:line="360" w:lineRule="auto"/>
        <w:jc w:val="center"/>
        <w:rPr>
          <w:rFonts w:cs="Times New Roman"/>
          <w:b/>
          <w:sz w:val="32"/>
          <w:szCs w:val="28"/>
        </w:rPr>
      </w:pPr>
      <w:r>
        <w:rPr>
          <w:rFonts w:cs="Times New Roman"/>
          <w:b/>
          <w:sz w:val="32"/>
          <w:szCs w:val="28"/>
        </w:rPr>
        <w:t>《建设项目环境影响报告表》编制说明</w:t>
      </w:r>
    </w:p>
    <w:p>
      <w:pPr>
        <w:snapToGrid w:val="0"/>
        <w:spacing w:line="600" w:lineRule="exact"/>
        <w:ind w:firstLine="560" w:firstLineChars="200"/>
        <w:rPr>
          <w:rFonts w:cs="Times New Roman"/>
          <w:sz w:val="28"/>
        </w:rPr>
      </w:pPr>
      <w:r>
        <w:rPr>
          <w:rFonts w:cs="Times New Roman"/>
          <w:sz w:val="28"/>
        </w:rPr>
        <w:t>《建设项目环境影响报告表》由具有从事环境影响评价工作资质的单位编制。</w:t>
      </w:r>
    </w:p>
    <w:p>
      <w:pPr>
        <w:snapToGrid w:val="0"/>
        <w:spacing w:line="600" w:lineRule="exact"/>
        <w:ind w:firstLine="560" w:firstLineChars="200"/>
        <w:rPr>
          <w:rFonts w:cs="Times New Roman"/>
          <w:sz w:val="28"/>
        </w:rPr>
      </w:pPr>
      <w:r>
        <w:rPr>
          <w:rFonts w:cs="Times New Roman"/>
          <w:sz w:val="28"/>
        </w:rPr>
        <w:t>1、项目名称－－指项目立项批复时的名称，应不超过30个字（两个英文字段作一个汉字）。</w:t>
      </w:r>
    </w:p>
    <w:p>
      <w:pPr>
        <w:snapToGrid w:val="0"/>
        <w:spacing w:line="600" w:lineRule="exact"/>
        <w:ind w:firstLine="560" w:firstLineChars="200"/>
        <w:rPr>
          <w:rFonts w:cs="Times New Roman"/>
          <w:sz w:val="28"/>
        </w:rPr>
      </w:pPr>
      <w:r>
        <w:rPr>
          <w:rFonts w:cs="Times New Roman"/>
          <w:sz w:val="28"/>
        </w:rPr>
        <w:t>2、建设地点－－指项目所在地详细地址，公路、铁路应填写起止地点。</w:t>
      </w:r>
    </w:p>
    <w:p>
      <w:pPr>
        <w:snapToGrid w:val="0"/>
        <w:spacing w:line="600" w:lineRule="exact"/>
        <w:ind w:firstLine="560" w:firstLineChars="200"/>
        <w:rPr>
          <w:rFonts w:cs="Times New Roman"/>
          <w:sz w:val="28"/>
        </w:rPr>
      </w:pPr>
      <w:r>
        <w:rPr>
          <w:rFonts w:cs="Times New Roman"/>
          <w:sz w:val="28"/>
        </w:rPr>
        <w:t>3、行业类别－－按国标填写。</w:t>
      </w:r>
    </w:p>
    <w:p>
      <w:pPr>
        <w:snapToGrid w:val="0"/>
        <w:spacing w:line="600" w:lineRule="exact"/>
        <w:ind w:firstLine="560" w:firstLineChars="200"/>
        <w:rPr>
          <w:rFonts w:cs="Times New Roman"/>
          <w:sz w:val="28"/>
        </w:rPr>
      </w:pPr>
      <w:r>
        <w:rPr>
          <w:rFonts w:cs="Times New Roman"/>
          <w:sz w:val="28"/>
        </w:rPr>
        <w:t>4、总投资－－指项目投资总额。</w:t>
      </w:r>
    </w:p>
    <w:p>
      <w:pPr>
        <w:snapToGrid w:val="0"/>
        <w:spacing w:line="600" w:lineRule="exact"/>
        <w:ind w:firstLine="560" w:firstLineChars="200"/>
        <w:rPr>
          <w:rFonts w:cs="Times New Roman"/>
          <w:sz w:val="28"/>
        </w:rPr>
      </w:pPr>
      <w:r>
        <w:rPr>
          <w:rFonts w:cs="Times New Roman"/>
          <w:sz w:val="28"/>
        </w:rPr>
        <w:t>5、主要环境保护目标－－指项目区周围一定范围内集中居民住宅区、学校、医院、保护文物、风景名胜区、水源地和生态敏感点等、应尽可能给出保护目标、性质、规模和距厂界距离等。</w:t>
      </w:r>
    </w:p>
    <w:p>
      <w:pPr>
        <w:snapToGrid w:val="0"/>
        <w:spacing w:line="600" w:lineRule="exact"/>
        <w:ind w:firstLine="560" w:firstLineChars="200"/>
        <w:rPr>
          <w:rFonts w:cs="Times New Roman"/>
          <w:sz w:val="28"/>
        </w:rPr>
      </w:pPr>
      <w:r>
        <w:rPr>
          <w:rFonts w:cs="Times New Roman"/>
          <w:sz w:val="28"/>
        </w:rPr>
        <w:t>6、结论与建议－－给出本项目清洁生产、达标排放和总量控制的分析结论，确定污染防治措施的有效性，说明本项目对环境造成的影响，给出建设项目环境可行性的明确结论。同时提出减少环境影响的其他建议。</w:t>
      </w:r>
    </w:p>
    <w:p>
      <w:pPr>
        <w:snapToGrid w:val="0"/>
        <w:spacing w:line="600" w:lineRule="exact"/>
        <w:ind w:firstLine="560" w:firstLineChars="200"/>
        <w:rPr>
          <w:rFonts w:cs="Times New Roman"/>
          <w:sz w:val="28"/>
        </w:rPr>
      </w:pPr>
      <w:r>
        <w:rPr>
          <w:rFonts w:cs="Times New Roman"/>
          <w:sz w:val="28"/>
        </w:rPr>
        <w:t>7、预审意见－－由行业主管部门填写答复意见，无主管部门项目，可不填。</w:t>
      </w:r>
    </w:p>
    <w:p>
      <w:pPr>
        <w:snapToGrid w:val="0"/>
        <w:spacing w:line="600" w:lineRule="exact"/>
        <w:ind w:firstLine="560" w:firstLineChars="200"/>
        <w:rPr>
          <w:rFonts w:cs="Times New Roman"/>
          <w:sz w:val="28"/>
        </w:rPr>
        <w:sectPr>
          <w:pgSz w:w="11906" w:h="16838"/>
          <w:pgMar w:top="1814" w:right="1673" w:bottom="1814" w:left="1673" w:header="851" w:footer="958" w:gutter="0"/>
          <w:pgNumType w:start="1"/>
          <w:cols w:space="720" w:num="1"/>
          <w:docGrid w:linePitch="312" w:charSpace="0"/>
        </w:sectPr>
      </w:pPr>
      <w:r>
        <w:rPr>
          <w:rFonts w:cs="Times New Roman"/>
          <w:sz w:val="28"/>
        </w:rPr>
        <w:t>8、审批意见－－负责审批该项目的环境保护行政主管部门批复。</w:t>
      </w:r>
    </w:p>
    <w:p>
      <w:pPr>
        <w:pStyle w:val="2"/>
        <w:rPr>
          <w:b w:val="0"/>
        </w:rPr>
      </w:pPr>
      <w:r>
        <w:t>建设项目基本情况（表一）</w:t>
      </w:r>
    </w:p>
    <w:tbl>
      <w:tblPr>
        <w:tblStyle w:val="30"/>
        <w:tblW w:w="912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94"/>
        <w:gridCol w:w="2513"/>
        <w:gridCol w:w="240"/>
        <w:gridCol w:w="1031"/>
        <w:gridCol w:w="100"/>
        <w:gridCol w:w="1243"/>
        <w:gridCol w:w="106"/>
        <w:gridCol w:w="1365"/>
        <w:gridCol w:w="149"/>
        <w:gridCol w:w="11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rPr>
            </w:pPr>
            <w:r>
              <w:rPr>
                <w:rFonts w:cs="Times New Roman"/>
                <w:b/>
              </w:rPr>
              <w:t>项目名称</w:t>
            </w:r>
          </w:p>
        </w:tc>
        <w:tc>
          <w:tcPr>
            <w:tcW w:w="7930" w:type="dxa"/>
            <w:gridSpan w:val="9"/>
            <w:tcBorders>
              <w:top w:val="single" w:color="auto" w:sz="4" w:space="0"/>
              <w:left w:val="single" w:color="auto" w:sz="4" w:space="0"/>
              <w:bottom w:val="single" w:color="auto" w:sz="4" w:space="0"/>
            </w:tcBorders>
            <w:vAlign w:val="center"/>
          </w:tcPr>
          <w:p>
            <w:pPr>
              <w:pStyle w:val="130"/>
              <w:adjustRightInd/>
              <w:spacing w:before="0" w:line="240" w:lineRule="auto"/>
              <w:ind w:firstLineChars="0"/>
              <w:textAlignment w:val="auto"/>
              <w:rPr>
                <w:rFonts w:ascii="Times New Roman" w:cs="Times New Roman"/>
                <w:kern w:val="2"/>
              </w:rPr>
            </w:pPr>
            <w:bookmarkStart w:id="0" w:name="_Hlk47446614"/>
            <w:r>
              <w:rPr>
                <w:rFonts w:hint="eastAsia" w:ascii="Times New Roman" w:cs="Times New Roman"/>
                <w:kern w:val="2"/>
              </w:rPr>
              <w:t>四川省乐山市峨边彝族自治县城郊污水处理及管网建设项目</w:t>
            </w:r>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rPr>
            </w:pPr>
            <w:r>
              <w:rPr>
                <w:rFonts w:cs="Times New Roman"/>
                <w:b/>
              </w:rPr>
              <w:t>建设单位</w:t>
            </w:r>
          </w:p>
        </w:tc>
        <w:tc>
          <w:tcPr>
            <w:tcW w:w="7930" w:type="dxa"/>
            <w:gridSpan w:val="9"/>
            <w:tcBorders>
              <w:top w:val="single" w:color="auto" w:sz="4" w:space="0"/>
              <w:left w:val="single" w:color="auto" w:sz="4" w:space="0"/>
              <w:bottom w:val="single" w:color="auto" w:sz="4" w:space="0"/>
            </w:tcBorders>
            <w:vAlign w:val="center"/>
          </w:tcPr>
          <w:p>
            <w:pPr>
              <w:pStyle w:val="130"/>
              <w:adjustRightInd/>
              <w:spacing w:before="0" w:line="240" w:lineRule="auto"/>
              <w:ind w:firstLineChars="0"/>
              <w:textAlignment w:val="auto"/>
              <w:rPr>
                <w:rFonts w:ascii="Times New Roman" w:cs="Times New Roman"/>
                <w:kern w:val="2"/>
              </w:rPr>
            </w:pPr>
            <w:bookmarkStart w:id="1" w:name="_Hlk47446623"/>
            <w:r>
              <w:rPr>
                <w:rFonts w:hint="eastAsia" w:ascii="Times New Roman" w:cs="Times New Roman"/>
                <w:kern w:val="2"/>
              </w:rPr>
              <w:t>峨边彝族自治县城市建设投资有限</w:t>
            </w:r>
            <w:r>
              <w:rPr>
                <w:rFonts w:ascii="Times New Roman" w:cs="Times New Roman"/>
                <w:kern w:val="2"/>
              </w:rPr>
              <w:t>公司</w:t>
            </w:r>
            <w:bookmarkEnd w:id="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szCs w:val="24"/>
              </w:rPr>
            </w:pPr>
            <w:r>
              <w:rPr>
                <w:rFonts w:cs="Times New Roman"/>
                <w:b/>
                <w:szCs w:val="24"/>
              </w:rPr>
              <w:t>法人代表</w:t>
            </w:r>
          </w:p>
        </w:tc>
        <w:tc>
          <w:tcPr>
            <w:tcW w:w="3784" w:type="dxa"/>
            <w:gridSpan w:val="3"/>
            <w:tcBorders>
              <w:top w:val="single" w:color="auto" w:sz="4" w:space="0"/>
              <w:left w:val="single" w:color="auto" w:sz="4" w:space="0"/>
              <w:bottom w:val="single" w:color="auto" w:sz="4" w:space="0"/>
              <w:right w:val="single" w:color="auto" w:sz="4" w:space="0"/>
            </w:tcBorders>
            <w:vAlign w:val="center"/>
          </w:tcPr>
          <w:p>
            <w:pPr>
              <w:pStyle w:val="130"/>
              <w:adjustRightInd/>
              <w:spacing w:before="0" w:line="240" w:lineRule="auto"/>
              <w:ind w:firstLineChars="0"/>
              <w:textAlignment w:val="auto"/>
              <w:rPr>
                <w:rFonts w:ascii="Times New Roman" w:cs="Times New Roman"/>
                <w:szCs w:val="24"/>
              </w:rPr>
            </w:pPr>
            <w:r>
              <w:rPr>
                <w:rFonts w:hint="eastAsia" w:ascii="Times New Roman" w:cs="Times New Roman"/>
                <w:szCs w:val="24"/>
              </w:rPr>
              <w:t>葛宗宏</w:t>
            </w:r>
          </w:p>
        </w:tc>
        <w:tc>
          <w:tcPr>
            <w:tcW w:w="1449" w:type="dxa"/>
            <w:gridSpan w:val="3"/>
            <w:tcBorders>
              <w:top w:val="single" w:color="auto" w:sz="4" w:space="0"/>
              <w:left w:val="single" w:color="auto" w:sz="4" w:space="0"/>
              <w:bottom w:val="single" w:color="auto" w:sz="4" w:space="0"/>
              <w:right w:val="single" w:color="auto" w:sz="4" w:space="0"/>
            </w:tcBorders>
            <w:vAlign w:val="center"/>
          </w:tcPr>
          <w:p>
            <w:pPr>
              <w:jc w:val="center"/>
              <w:rPr>
                <w:rFonts w:cs="Times New Roman"/>
                <w:b/>
              </w:rPr>
            </w:pPr>
            <w:r>
              <w:rPr>
                <w:rFonts w:cs="Times New Roman"/>
                <w:b/>
              </w:rPr>
              <w:t>联系人</w:t>
            </w:r>
          </w:p>
        </w:tc>
        <w:tc>
          <w:tcPr>
            <w:tcW w:w="2697" w:type="dxa"/>
            <w:gridSpan w:val="3"/>
            <w:tcBorders>
              <w:top w:val="single" w:color="auto" w:sz="4" w:space="0"/>
              <w:left w:val="single" w:color="auto" w:sz="4" w:space="0"/>
              <w:bottom w:val="single" w:color="auto" w:sz="4" w:space="0"/>
            </w:tcBorders>
            <w:vAlign w:val="center"/>
          </w:tcPr>
          <w:p>
            <w:pPr>
              <w:pStyle w:val="130"/>
              <w:adjustRightInd/>
              <w:spacing w:before="0" w:line="240" w:lineRule="auto"/>
              <w:ind w:firstLineChars="0"/>
              <w:textAlignment w:val="auto"/>
              <w:rPr>
                <w:rFonts w:ascii="Times New Roman" w:cs="Times New Roman"/>
                <w:kern w:val="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szCs w:val="24"/>
              </w:rPr>
            </w:pPr>
            <w:r>
              <w:rPr>
                <w:rFonts w:cs="Times New Roman"/>
                <w:b/>
                <w:szCs w:val="24"/>
              </w:rPr>
              <w:t>通讯地址</w:t>
            </w:r>
          </w:p>
        </w:tc>
        <w:tc>
          <w:tcPr>
            <w:tcW w:w="7930" w:type="dxa"/>
            <w:gridSpan w:val="9"/>
            <w:tcBorders>
              <w:top w:val="single" w:color="auto" w:sz="4" w:space="0"/>
              <w:left w:val="single" w:color="auto" w:sz="4" w:space="0"/>
              <w:bottom w:val="single" w:color="auto" w:sz="4" w:space="0"/>
            </w:tcBorders>
            <w:vAlign w:val="center"/>
          </w:tcPr>
          <w:p>
            <w:pPr>
              <w:pStyle w:val="130"/>
              <w:adjustRightInd/>
              <w:spacing w:before="0" w:line="240" w:lineRule="auto"/>
              <w:ind w:firstLineChars="0"/>
              <w:textAlignment w:val="auto"/>
              <w:rPr>
                <w:rFonts w:ascii="Times New Roman" w:cs="Times New Roman"/>
                <w:szCs w:val="24"/>
                <w:highlight w:val="yellow"/>
              </w:rPr>
            </w:pPr>
            <w:r>
              <w:rPr>
                <w:rFonts w:ascii="Times New Roman" w:cs="Times New Roman"/>
                <w:szCs w:val="24"/>
              </w:rPr>
              <w:t>四川省乐山市峨边彝族自治县沙坪镇景阳路82号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rPr>
            </w:pPr>
            <w:r>
              <w:rPr>
                <w:rFonts w:cs="Times New Roman"/>
                <w:b/>
              </w:rPr>
              <w:t>联系电话</w:t>
            </w:r>
          </w:p>
        </w:tc>
        <w:tc>
          <w:tcPr>
            <w:tcW w:w="2753" w:type="dxa"/>
            <w:gridSpan w:val="2"/>
            <w:tcBorders>
              <w:top w:val="single" w:color="auto" w:sz="4" w:space="0"/>
              <w:left w:val="single" w:color="auto" w:sz="4" w:space="0"/>
              <w:bottom w:val="single" w:color="auto" w:sz="4" w:space="0"/>
              <w:right w:val="single" w:color="auto" w:sz="4" w:space="0"/>
            </w:tcBorders>
            <w:vAlign w:val="center"/>
          </w:tcPr>
          <w:p>
            <w:pPr>
              <w:pStyle w:val="130"/>
              <w:adjustRightInd/>
              <w:spacing w:before="0" w:line="240" w:lineRule="auto"/>
              <w:ind w:firstLineChars="0"/>
              <w:textAlignment w:val="auto"/>
              <w:rPr>
                <w:rFonts w:ascii="Times New Roman" w:cs="Times New Roman"/>
                <w:b/>
                <w:szCs w:val="24"/>
              </w:rPr>
            </w:pPr>
          </w:p>
        </w:tc>
        <w:tc>
          <w:tcPr>
            <w:tcW w:w="1031"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highlight w:val="yellow"/>
              </w:rPr>
            </w:pPr>
            <w:r>
              <w:rPr>
                <w:rFonts w:cs="Times New Roman"/>
                <w:b/>
              </w:rPr>
              <w:t>传真</w:t>
            </w:r>
          </w:p>
        </w:tc>
        <w:tc>
          <w:tcPr>
            <w:tcW w:w="1449" w:type="dxa"/>
            <w:gridSpan w:val="3"/>
            <w:tcBorders>
              <w:top w:val="single" w:color="auto" w:sz="4" w:space="0"/>
              <w:left w:val="single" w:color="auto" w:sz="4" w:space="0"/>
              <w:bottom w:val="single" w:color="auto" w:sz="4" w:space="0"/>
              <w:right w:val="single" w:color="auto" w:sz="4" w:space="0"/>
            </w:tcBorders>
            <w:vAlign w:val="center"/>
          </w:tcPr>
          <w:p>
            <w:pPr>
              <w:pStyle w:val="130"/>
              <w:adjustRightInd/>
              <w:spacing w:before="0" w:line="240" w:lineRule="auto"/>
              <w:ind w:firstLineChars="0"/>
              <w:textAlignment w:val="auto"/>
              <w:rPr>
                <w:rFonts w:ascii="Times New Roman" w:cs="Times New Roman"/>
                <w:kern w:val="2"/>
              </w:rPr>
            </w:pPr>
            <w:r>
              <w:rPr>
                <w:rFonts w:ascii="Times New Roman" w:cs="Times New Roman"/>
                <w:szCs w:val="24"/>
              </w:rPr>
              <w:t>/</w:t>
            </w:r>
          </w:p>
        </w:tc>
        <w:tc>
          <w:tcPr>
            <w:tcW w:w="1365"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rPr>
            </w:pPr>
            <w:r>
              <w:rPr>
                <w:rFonts w:cs="Times New Roman"/>
                <w:b/>
              </w:rPr>
              <w:t>邮政编码</w:t>
            </w:r>
          </w:p>
        </w:tc>
        <w:tc>
          <w:tcPr>
            <w:tcW w:w="1332" w:type="dxa"/>
            <w:gridSpan w:val="2"/>
            <w:tcBorders>
              <w:top w:val="single" w:color="auto" w:sz="4" w:space="0"/>
              <w:left w:val="single" w:color="auto" w:sz="4" w:space="0"/>
              <w:bottom w:val="single" w:color="auto" w:sz="4" w:space="0"/>
            </w:tcBorders>
            <w:vAlign w:val="center"/>
          </w:tcPr>
          <w:p>
            <w:pPr>
              <w:pStyle w:val="130"/>
              <w:adjustRightInd/>
              <w:spacing w:before="0" w:line="240" w:lineRule="auto"/>
              <w:ind w:firstLineChars="0"/>
              <w:textAlignment w:val="auto"/>
              <w:rPr>
                <w:rFonts w:ascii="Times New Roman" w:cs="Times New Roman"/>
                <w:kern w:val="2"/>
              </w:rPr>
            </w:pPr>
            <w:r>
              <w:rPr>
                <w:rFonts w:ascii="Times New Roman" w:cs="Times New Roman"/>
                <w:kern w:val="2"/>
              </w:rPr>
              <w:t>614300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rPr>
            </w:pPr>
            <w:r>
              <w:rPr>
                <w:rFonts w:cs="Times New Roman"/>
                <w:b/>
              </w:rPr>
              <w:t>建设地点</w:t>
            </w:r>
          </w:p>
        </w:tc>
        <w:tc>
          <w:tcPr>
            <w:tcW w:w="7930" w:type="dxa"/>
            <w:gridSpan w:val="9"/>
            <w:tcBorders>
              <w:top w:val="single" w:color="auto" w:sz="4" w:space="0"/>
              <w:left w:val="single" w:color="auto" w:sz="4" w:space="0"/>
              <w:bottom w:val="single" w:color="auto" w:sz="4" w:space="0"/>
            </w:tcBorders>
            <w:vAlign w:val="center"/>
          </w:tcPr>
          <w:p>
            <w:pPr>
              <w:pStyle w:val="130"/>
              <w:spacing w:before="0" w:line="240" w:lineRule="auto"/>
              <w:ind w:firstLineChars="0"/>
              <w:rPr>
                <w:rFonts w:ascii="Times New Roman" w:cs="Times New Roman"/>
                <w:bCs/>
                <w:highlight w:val="yellow"/>
              </w:rPr>
            </w:pPr>
            <w:r>
              <w:rPr>
                <w:rFonts w:hint="eastAsia" w:ascii="Times New Roman" w:cs="Times New Roman"/>
                <w:szCs w:val="24"/>
              </w:rPr>
              <w:t>峨边彝族自治县老人民医院片区、经营所片区、马嘶溪火车站片区（</w:t>
            </w:r>
            <w:r>
              <w:rPr>
                <w:rFonts w:ascii="Times New Roman" w:cs="Times New Roman"/>
                <w:szCs w:val="24"/>
              </w:rPr>
              <w:t>E</w:t>
            </w:r>
            <w:r>
              <w:rPr>
                <w:rFonts w:hint="eastAsia" w:ascii="Times New Roman" w:cs="Times New Roman"/>
                <w:szCs w:val="24"/>
              </w:rPr>
              <w:t>1</w:t>
            </w:r>
            <w:r>
              <w:rPr>
                <w:rFonts w:ascii="Times New Roman" w:cs="Times New Roman"/>
                <w:szCs w:val="24"/>
              </w:rPr>
              <w:t>03.2788°</w:t>
            </w:r>
            <w:r>
              <w:rPr>
                <w:rFonts w:hint="eastAsia" w:ascii="Times New Roman" w:cs="Times New Roman"/>
                <w:szCs w:val="24"/>
              </w:rPr>
              <w:t>；N2</w:t>
            </w:r>
            <w:r>
              <w:rPr>
                <w:rFonts w:ascii="Times New Roman" w:cs="Times New Roman"/>
                <w:szCs w:val="24"/>
              </w:rPr>
              <w:t>9.2591°</w:t>
            </w:r>
            <w:r>
              <w:rPr>
                <w:rFonts w:hint="eastAsia" w:ascii="Times New Roman" w:cs="Times New Roman"/>
                <w:szCs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spacing w:val="-4"/>
              </w:rPr>
            </w:pPr>
            <w:r>
              <w:rPr>
                <w:rFonts w:cs="Times New Roman"/>
                <w:b/>
                <w:spacing w:val="-4"/>
              </w:rPr>
              <w:t>立项审批</w:t>
            </w:r>
          </w:p>
          <w:p>
            <w:pPr>
              <w:jc w:val="center"/>
              <w:rPr>
                <w:rFonts w:cs="Times New Roman"/>
                <w:b/>
                <w:spacing w:val="-4"/>
              </w:rPr>
            </w:pPr>
            <w:r>
              <w:rPr>
                <w:rFonts w:cs="Times New Roman"/>
                <w:b/>
                <w:spacing w:val="-4"/>
              </w:rPr>
              <w:t>部门</w:t>
            </w:r>
          </w:p>
        </w:tc>
        <w:tc>
          <w:tcPr>
            <w:tcW w:w="3884" w:type="dxa"/>
            <w:gridSpan w:val="4"/>
            <w:tcBorders>
              <w:top w:val="single" w:color="auto" w:sz="4" w:space="0"/>
              <w:left w:val="single" w:color="auto" w:sz="4" w:space="0"/>
              <w:bottom w:val="single" w:color="auto" w:sz="4" w:space="0"/>
              <w:right w:val="single" w:color="auto" w:sz="4" w:space="0"/>
            </w:tcBorders>
            <w:vAlign w:val="center"/>
          </w:tcPr>
          <w:p>
            <w:pPr>
              <w:jc w:val="center"/>
              <w:rPr>
                <w:rFonts w:cs="Times New Roman"/>
              </w:rPr>
            </w:pPr>
            <w:r>
              <w:rPr>
                <w:rFonts w:hint="eastAsia" w:cs="Times New Roman"/>
              </w:rPr>
              <w:t>峨边彝族自治县发展和改革局</w:t>
            </w:r>
          </w:p>
        </w:tc>
        <w:tc>
          <w:tcPr>
            <w:tcW w:w="1243" w:type="dxa"/>
            <w:tcBorders>
              <w:top w:val="single" w:color="auto" w:sz="4" w:space="0"/>
              <w:left w:val="single" w:color="auto" w:sz="4" w:space="0"/>
              <w:bottom w:val="single" w:color="auto" w:sz="4" w:space="0"/>
              <w:right w:val="single" w:color="auto" w:sz="4" w:space="0"/>
            </w:tcBorders>
            <w:vAlign w:val="center"/>
          </w:tcPr>
          <w:p>
            <w:pPr>
              <w:pStyle w:val="170"/>
              <w:spacing w:line="240" w:lineRule="auto"/>
              <w:jc w:val="center"/>
              <w:rPr>
                <w:rFonts w:cs="Times New Roman"/>
                <w:b/>
              </w:rPr>
            </w:pPr>
            <w:r>
              <w:rPr>
                <w:rFonts w:cs="Times New Roman"/>
                <w:b/>
              </w:rPr>
              <w:t>批准文号</w:t>
            </w:r>
          </w:p>
        </w:tc>
        <w:tc>
          <w:tcPr>
            <w:tcW w:w="2803" w:type="dxa"/>
            <w:gridSpan w:val="4"/>
            <w:tcBorders>
              <w:top w:val="single" w:color="auto" w:sz="4" w:space="0"/>
              <w:left w:val="single" w:color="auto" w:sz="4" w:space="0"/>
              <w:bottom w:val="single" w:color="auto" w:sz="4" w:space="0"/>
            </w:tcBorders>
            <w:vAlign w:val="center"/>
          </w:tcPr>
          <w:p>
            <w:pPr>
              <w:jc w:val="center"/>
              <w:rPr>
                <w:rFonts w:cs="Times New Roman"/>
              </w:rPr>
            </w:pPr>
            <w:r>
              <w:rPr>
                <w:rFonts w:hint="eastAsia" w:cs="Times New Roman"/>
              </w:rPr>
              <w:t>峨边发改审〔2</w:t>
            </w:r>
            <w:r>
              <w:rPr>
                <w:rFonts w:cs="Times New Roman"/>
              </w:rPr>
              <w:t>020</w:t>
            </w:r>
            <w:r>
              <w:rPr>
                <w:rFonts w:hint="eastAsia" w:cs="Times New Roman"/>
              </w:rPr>
              <w:t>〕1</w:t>
            </w:r>
            <w:r>
              <w:rPr>
                <w:rFonts w:cs="Times New Roman"/>
              </w:rPr>
              <w:t>78</w:t>
            </w:r>
            <w:r>
              <w:rPr>
                <w:rFonts w:hint="eastAsia" w:cs="Times New Roman"/>
              </w:rPr>
              <w:t>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rPr>
            </w:pPr>
            <w:r>
              <w:rPr>
                <w:rFonts w:cs="Times New Roman"/>
                <w:b/>
              </w:rPr>
              <w:t>建设性质</w:t>
            </w:r>
          </w:p>
        </w:tc>
        <w:tc>
          <w:tcPr>
            <w:tcW w:w="3884" w:type="dxa"/>
            <w:gridSpan w:val="4"/>
            <w:tcBorders>
              <w:top w:val="single" w:color="auto" w:sz="4" w:space="0"/>
              <w:left w:val="single" w:color="auto" w:sz="4" w:space="0"/>
              <w:bottom w:val="single" w:color="auto" w:sz="4" w:space="0"/>
              <w:right w:val="single" w:color="auto" w:sz="4" w:space="0"/>
            </w:tcBorders>
            <w:vAlign w:val="center"/>
          </w:tcPr>
          <w:p>
            <w:pPr>
              <w:pStyle w:val="130"/>
              <w:adjustRightInd/>
              <w:spacing w:before="0" w:line="240" w:lineRule="auto"/>
              <w:ind w:firstLineChars="0"/>
              <w:textAlignment w:val="auto"/>
              <w:rPr>
                <w:rFonts w:ascii="Times New Roman" w:cs="Times New Roman"/>
                <w:kern w:val="2"/>
              </w:rPr>
            </w:pPr>
            <w:r>
              <w:rPr>
                <w:rFonts w:hint="eastAsia" w:ascii="MS Mincho" w:hAnsi="MS Mincho" w:eastAsia="MS Mincho" w:cs="MS Mincho"/>
                <w:sz w:val="28"/>
                <w:szCs w:val="21"/>
              </w:rPr>
              <w:t>☑</w:t>
            </w:r>
            <w:r>
              <w:rPr>
                <w:rFonts w:ascii="Times New Roman" w:cs="Times New Roman"/>
              </w:rPr>
              <w:t>新建  □改扩建  □技改</w:t>
            </w:r>
          </w:p>
        </w:tc>
        <w:tc>
          <w:tcPr>
            <w:tcW w:w="1243"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rPr>
            </w:pPr>
            <w:r>
              <w:rPr>
                <w:rFonts w:cs="Times New Roman"/>
                <w:b/>
              </w:rPr>
              <w:t>行业类别及代码</w:t>
            </w:r>
          </w:p>
        </w:tc>
        <w:tc>
          <w:tcPr>
            <w:tcW w:w="2803" w:type="dxa"/>
            <w:gridSpan w:val="4"/>
            <w:tcBorders>
              <w:top w:val="single" w:color="auto" w:sz="4" w:space="0"/>
              <w:left w:val="single" w:color="auto" w:sz="4" w:space="0"/>
              <w:bottom w:val="single" w:color="auto" w:sz="4" w:space="0"/>
            </w:tcBorders>
            <w:vAlign w:val="center"/>
          </w:tcPr>
          <w:p>
            <w:pPr>
              <w:widowControl/>
              <w:jc w:val="center"/>
              <w:rPr>
                <w:rFonts w:cs="Times New Roman"/>
                <w:szCs w:val="24"/>
              </w:rPr>
            </w:pPr>
            <w:r>
              <w:rPr>
                <w:rFonts w:cs="Times New Roman"/>
                <w:szCs w:val="24"/>
              </w:rPr>
              <w:t>D4620污水处理及其再生利用</w:t>
            </w:r>
            <w:r>
              <w:rPr>
                <w:rFonts w:hint="eastAsia" w:cs="Times New Roman"/>
                <w:szCs w:val="24"/>
              </w:rPr>
              <w:t>/E4852管道工程建筑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rPr>
            </w:pPr>
            <w:r>
              <w:rPr>
                <w:rFonts w:cs="Times New Roman"/>
                <w:b/>
              </w:rPr>
              <w:t>用地面积</w:t>
            </w:r>
          </w:p>
          <w:p>
            <w:pPr>
              <w:jc w:val="center"/>
              <w:rPr>
                <w:rFonts w:cs="Times New Roman"/>
                <w:b/>
              </w:rPr>
            </w:pPr>
            <w:r>
              <w:rPr>
                <w:rFonts w:cs="Times New Roman"/>
                <w:b/>
              </w:rPr>
              <w:t>(平方米)</w:t>
            </w:r>
          </w:p>
        </w:tc>
        <w:tc>
          <w:tcPr>
            <w:tcW w:w="3884" w:type="dxa"/>
            <w:gridSpan w:val="4"/>
            <w:tcBorders>
              <w:top w:val="single" w:color="auto" w:sz="4" w:space="0"/>
              <w:left w:val="single" w:color="auto" w:sz="4" w:space="0"/>
              <w:bottom w:val="single" w:color="auto" w:sz="4" w:space="0"/>
              <w:right w:val="single" w:color="auto" w:sz="4" w:space="0"/>
            </w:tcBorders>
            <w:vAlign w:val="center"/>
          </w:tcPr>
          <w:p>
            <w:pPr>
              <w:jc w:val="center"/>
              <w:rPr>
                <w:rFonts w:cs="Times New Roman"/>
              </w:rPr>
            </w:pPr>
            <w:r>
              <w:rPr>
                <w:rFonts w:hint="eastAsia" w:cs="Times New Roman"/>
              </w:rPr>
              <w:t>2</w:t>
            </w:r>
            <w:r>
              <w:rPr>
                <w:rFonts w:cs="Times New Roman"/>
              </w:rPr>
              <w:t>00</w:t>
            </w:r>
            <w:r>
              <w:rPr>
                <w:rFonts w:eastAsia="仿宋"/>
                <w:kern w:val="0"/>
              </w:rPr>
              <w:t>m</w:t>
            </w:r>
            <w:r>
              <w:rPr>
                <w:rFonts w:eastAsia="仿宋"/>
                <w:kern w:val="0"/>
                <w:vertAlign w:val="superscript"/>
              </w:rPr>
              <w:t>2</w:t>
            </w:r>
          </w:p>
        </w:tc>
        <w:tc>
          <w:tcPr>
            <w:tcW w:w="1243"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rPr>
            </w:pPr>
            <w:r>
              <w:rPr>
                <w:rFonts w:cs="Times New Roman"/>
                <w:b/>
              </w:rPr>
              <w:t>绿化面积</w:t>
            </w:r>
          </w:p>
          <w:p>
            <w:pPr>
              <w:jc w:val="center"/>
              <w:rPr>
                <w:rFonts w:cs="Times New Roman"/>
                <w:b/>
              </w:rPr>
            </w:pPr>
            <w:r>
              <w:rPr>
                <w:rFonts w:cs="Times New Roman"/>
                <w:b/>
              </w:rPr>
              <w:t>(平方米)</w:t>
            </w:r>
          </w:p>
        </w:tc>
        <w:tc>
          <w:tcPr>
            <w:tcW w:w="2803" w:type="dxa"/>
            <w:gridSpan w:val="4"/>
            <w:tcBorders>
              <w:top w:val="single" w:color="auto" w:sz="4" w:space="0"/>
              <w:left w:val="single" w:color="auto" w:sz="4" w:space="0"/>
              <w:bottom w:val="single" w:color="auto" w:sz="4" w:space="0"/>
            </w:tcBorders>
            <w:vAlign w:val="center"/>
          </w:tcPr>
          <w:p>
            <w:pPr>
              <w:pStyle w:val="130"/>
              <w:adjustRightInd/>
              <w:spacing w:before="0" w:line="240" w:lineRule="auto"/>
              <w:ind w:firstLineChars="0"/>
              <w:textAlignment w:val="auto"/>
              <w:rPr>
                <w:rFonts w:ascii="Times New Roman" w:cs="Times New Roman"/>
                <w:kern w:val="2"/>
              </w:rPr>
            </w:pPr>
            <w:r>
              <w:rPr>
                <w:rFonts w:ascii="Times New Roman" w:cs="Times New Roman"/>
                <w:kern w:val="2"/>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rPr>
            </w:pPr>
            <w:r>
              <w:rPr>
                <w:rFonts w:cs="Times New Roman"/>
                <w:b/>
              </w:rPr>
              <w:t>总投资</w:t>
            </w:r>
          </w:p>
          <w:p>
            <w:pPr>
              <w:jc w:val="center"/>
              <w:rPr>
                <w:rFonts w:cs="Times New Roman"/>
                <w:b/>
              </w:rPr>
            </w:pPr>
            <w:r>
              <w:rPr>
                <w:rFonts w:cs="Times New Roman"/>
                <w:b/>
              </w:rPr>
              <w:t>(万元)</w:t>
            </w:r>
          </w:p>
        </w:tc>
        <w:tc>
          <w:tcPr>
            <w:tcW w:w="2513" w:type="dxa"/>
            <w:tcBorders>
              <w:top w:val="single" w:color="auto" w:sz="4" w:space="0"/>
              <w:left w:val="single" w:color="auto" w:sz="4" w:space="0"/>
              <w:bottom w:val="single" w:color="auto" w:sz="4" w:space="0"/>
              <w:right w:val="single" w:color="auto" w:sz="4" w:space="0"/>
            </w:tcBorders>
            <w:vAlign w:val="center"/>
          </w:tcPr>
          <w:p>
            <w:pPr>
              <w:pStyle w:val="130"/>
              <w:adjustRightInd/>
              <w:spacing w:before="0" w:line="240" w:lineRule="auto"/>
              <w:ind w:firstLineChars="0"/>
              <w:textAlignment w:val="auto"/>
              <w:rPr>
                <w:rFonts w:ascii="Times New Roman" w:cs="Times New Roman"/>
                <w:kern w:val="2"/>
              </w:rPr>
            </w:pPr>
            <w:r>
              <w:rPr>
                <w:rFonts w:ascii="Times New Roman" w:eastAsia="仿宋"/>
              </w:rPr>
              <w:t>337</w:t>
            </w:r>
          </w:p>
        </w:tc>
        <w:tc>
          <w:tcPr>
            <w:tcW w:w="1371" w:type="dxa"/>
            <w:gridSpan w:val="3"/>
            <w:tcBorders>
              <w:top w:val="single" w:color="auto" w:sz="4" w:space="0"/>
              <w:left w:val="single" w:color="auto" w:sz="4" w:space="0"/>
              <w:bottom w:val="single" w:color="auto" w:sz="4" w:space="0"/>
              <w:right w:val="single" w:color="auto" w:sz="4" w:space="0"/>
            </w:tcBorders>
            <w:vAlign w:val="center"/>
          </w:tcPr>
          <w:p>
            <w:pPr>
              <w:jc w:val="center"/>
              <w:rPr>
                <w:rFonts w:cs="Times New Roman"/>
                <w:b/>
              </w:rPr>
            </w:pPr>
            <w:r>
              <w:rPr>
                <w:rFonts w:cs="Times New Roman"/>
                <w:b/>
              </w:rPr>
              <w:t>其中：环保投资(万元)</w:t>
            </w:r>
          </w:p>
        </w:tc>
        <w:tc>
          <w:tcPr>
            <w:tcW w:w="1243" w:type="dxa"/>
            <w:tcBorders>
              <w:top w:val="single" w:color="auto" w:sz="4" w:space="0"/>
              <w:left w:val="single" w:color="auto" w:sz="4" w:space="0"/>
              <w:bottom w:val="single" w:color="auto" w:sz="4" w:space="0"/>
              <w:right w:val="single" w:color="auto" w:sz="4" w:space="0"/>
            </w:tcBorders>
            <w:vAlign w:val="center"/>
          </w:tcPr>
          <w:p>
            <w:pPr>
              <w:jc w:val="center"/>
              <w:rPr>
                <w:rFonts w:cs="Times New Roman"/>
              </w:rPr>
            </w:pPr>
            <w:r>
              <w:rPr>
                <w:rFonts w:hint="eastAsia" w:cs="Times New Roman"/>
              </w:rPr>
              <w:t>1</w:t>
            </w:r>
            <w:r>
              <w:rPr>
                <w:rFonts w:cs="Times New Roman"/>
              </w:rPr>
              <w:t>0.5</w:t>
            </w:r>
          </w:p>
        </w:tc>
        <w:tc>
          <w:tcPr>
            <w:tcW w:w="1620" w:type="dxa"/>
            <w:gridSpan w:val="3"/>
            <w:tcBorders>
              <w:top w:val="single" w:color="auto" w:sz="4" w:space="0"/>
              <w:left w:val="single" w:color="auto" w:sz="4" w:space="0"/>
              <w:bottom w:val="single" w:color="auto" w:sz="4" w:space="0"/>
              <w:right w:val="single" w:color="auto" w:sz="4" w:space="0"/>
            </w:tcBorders>
            <w:vAlign w:val="center"/>
          </w:tcPr>
          <w:p>
            <w:pPr>
              <w:jc w:val="center"/>
              <w:rPr>
                <w:rFonts w:cs="Times New Roman"/>
                <w:b/>
              </w:rPr>
            </w:pPr>
            <w:r>
              <w:rPr>
                <w:rFonts w:cs="Times New Roman"/>
                <w:b/>
              </w:rPr>
              <w:t>环保投资占总投资比例</w:t>
            </w:r>
          </w:p>
        </w:tc>
        <w:tc>
          <w:tcPr>
            <w:tcW w:w="1183" w:type="dxa"/>
            <w:tcBorders>
              <w:top w:val="single" w:color="auto" w:sz="4" w:space="0"/>
              <w:left w:val="single" w:color="auto" w:sz="4" w:space="0"/>
              <w:bottom w:val="single" w:color="auto" w:sz="4" w:space="0"/>
            </w:tcBorders>
            <w:vAlign w:val="center"/>
          </w:tcPr>
          <w:p>
            <w:pPr>
              <w:pStyle w:val="130"/>
              <w:adjustRightInd/>
              <w:spacing w:before="0" w:line="240" w:lineRule="auto"/>
              <w:ind w:firstLineChars="0"/>
              <w:textAlignment w:val="auto"/>
              <w:rPr>
                <w:rFonts w:ascii="Times New Roman" w:cs="Times New Roman"/>
                <w:kern w:val="2"/>
              </w:rPr>
            </w:pPr>
            <w:r>
              <w:rPr>
                <w:rFonts w:hint="eastAsia" w:ascii="Times New Roman" w:cs="Times New Roman"/>
                <w:kern w:val="2"/>
              </w:rPr>
              <w:t>3</w:t>
            </w:r>
            <w:r>
              <w:rPr>
                <w:rFonts w:ascii="Times New Roman" w:cs="Times New Roman"/>
                <w:kern w:val="2"/>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4" w:type="dxa"/>
            <w:tcBorders>
              <w:top w:val="single" w:color="auto" w:sz="4" w:space="0"/>
              <w:bottom w:val="single" w:color="auto" w:sz="4" w:space="0"/>
              <w:right w:val="single" w:color="auto" w:sz="4" w:space="0"/>
            </w:tcBorders>
            <w:vAlign w:val="center"/>
          </w:tcPr>
          <w:p>
            <w:pPr>
              <w:jc w:val="center"/>
              <w:rPr>
                <w:rFonts w:cs="Times New Roman"/>
                <w:b/>
              </w:rPr>
            </w:pPr>
            <w:r>
              <w:rPr>
                <w:rFonts w:cs="Times New Roman"/>
                <w:b/>
              </w:rPr>
              <w:t>评价经费</w:t>
            </w:r>
          </w:p>
          <w:p>
            <w:pPr>
              <w:jc w:val="center"/>
              <w:rPr>
                <w:rFonts w:cs="Times New Roman"/>
                <w:b/>
              </w:rPr>
            </w:pPr>
            <w:r>
              <w:rPr>
                <w:rFonts w:cs="Times New Roman"/>
                <w:b/>
              </w:rPr>
              <w:t>(万元)</w:t>
            </w:r>
          </w:p>
        </w:tc>
        <w:tc>
          <w:tcPr>
            <w:tcW w:w="2513"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rPr>
            </w:pPr>
            <w:r>
              <w:rPr>
                <w:rFonts w:cs="Times New Roman"/>
                <w:b/>
              </w:rPr>
              <w:t>/</w:t>
            </w:r>
          </w:p>
        </w:tc>
        <w:tc>
          <w:tcPr>
            <w:tcW w:w="1371" w:type="dxa"/>
            <w:gridSpan w:val="3"/>
            <w:tcBorders>
              <w:top w:val="single" w:color="auto" w:sz="4" w:space="0"/>
              <w:left w:val="single" w:color="auto" w:sz="4" w:space="0"/>
              <w:bottom w:val="single" w:color="auto" w:sz="4" w:space="0"/>
              <w:right w:val="single" w:color="auto" w:sz="4" w:space="0"/>
            </w:tcBorders>
            <w:vAlign w:val="center"/>
          </w:tcPr>
          <w:p>
            <w:pPr>
              <w:jc w:val="center"/>
              <w:rPr>
                <w:rFonts w:cs="Times New Roman"/>
                <w:b/>
              </w:rPr>
            </w:pPr>
            <w:r>
              <w:rPr>
                <w:rFonts w:cs="Times New Roman"/>
                <w:b/>
              </w:rPr>
              <w:t>投产日期</w:t>
            </w:r>
          </w:p>
        </w:tc>
        <w:tc>
          <w:tcPr>
            <w:tcW w:w="4046" w:type="dxa"/>
            <w:gridSpan w:val="5"/>
            <w:tcBorders>
              <w:top w:val="single" w:color="auto" w:sz="4" w:space="0"/>
              <w:left w:val="single" w:color="auto" w:sz="4" w:space="0"/>
              <w:bottom w:val="single" w:color="auto" w:sz="4" w:space="0"/>
            </w:tcBorders>
            <w:vAlign w:val="center"/>
          </w:tcPr>
          <w:p>
            <w:pPr>
              <w:pStyle w:val="130"/>
              <w:adjustRightInd/>
              <w:spacing w:before="0" w:line="240" w:lineRule="auto"/>
              <w:ind w:firstLineChars="0"/>
              <w:textAlignment w:val="auto"/>
              <w:rPr>
                <w:rFonts w:ascii="Times New Roman" w:cs="Times New Roman"/>
                <w:kern w:val="2"/>
              </w:rPr>
            </w:pPr>
            <w:r>
              <w:rPr>
                <w:rFonts w:hint="eastAsia" w:ascii="Times New Roman" w:cs="Times New Roman"/>
                <w:kern w:val="2"/>
              </w:rPr>
              <w:t>2</w:t>
            </w:r>
            <w:r>
              <w:rPr>
                <w:rFonts w:ascii="Times New Roman" w:cs="Times New Roman"/>
                <w:kern w:val="2"/>
              </w:rPr>
              <w:t>021</w:t>
            </w:r>
            <w:r>
              <w:rPr>
                <w:rFonts w:hint="eastAsia" w:ascii="Times New Roman" w:cs="Times New Roman"/>
                <w:kern w:val="2"/>
              </w:rPr>
              <w:t>年7月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9124" w:type="dxa"/>
            <w:gridSpan w:val="10"/>
            <w:tcBorders>
              <w:top w:val="single" w:color="auto" w:sz="4" w:space="0"/>
              <w:bottom w:val="single" w:color="auto" w:sz="4" w:space="0"/>
            </w:tcBorders>
            <w:vAlign w:val="center"/>
          </w:tcPr>
          <w:p>
            <w:pPr>
              <w:spacing w:line="480" w:lineRule="exact"/>
              <w:rPr>
                <w:rFonts w:cs="Times New Roman"/>
                <w:b/>
                <w:sz w:val="30"/>
                <w:szCs w:val="30"/>
              </w:rPr>
            </w:pPr>
            <w:r>
              <w:rPr>
                <w:rFonts w:cs="Times New Roman"/>
                <w:b/>
                <w:sz w:val="30"/>
                <w:szCs w:val="30"/>
              </w:rPr>
              <w:t>项目内容及规模：</w:t>
            </w:r>
          </w:p>
          <w:p>
            <w:pPr>
              <w:spacing w:line="480" w:lineRule="exact"/>
              <w:rPr>
                <w:rFonts w:cs="Times New Roman"/>
                <w:b/>
                <w:szCs w:val="24"/>
              </w:rPr>
            </w:pPr>
            <w:r>
              <w:rPr>
                <w:rFonts w:cs="Times New Roman"/>
                <w:b/>
                <w:szCs w:val="24"/>
              </w:rPr>
              <w:t>一、建设项目的由来</w:t>
            </w:r>
          </w:p>
          <w:p>
            <w:pPr>
              <w:spacing w:line="360" w:lineRule="auto"/>
              <w:ind w:firstLine="480" w:firstLineChars="200"/>
            </w:pPr>
            <w:r>
              <w:rPr>
                <w:rFonts w:ascii="宋体" w:hAnsi="宋体"/>
              </w:rPr>
              <w:t>习近平总书记在十九大报告中提出</w:t>
            </w:r>
            <w:r>
              <w:t>“</w:t>
            </w:r>
            <w:r>
              <w:rPr>
                <w:rFonts w:ascii="宋体" w:hAnsi="宋体"/>
              </w:rPr>
              <w:t>当前是决胜全面建成小康社会的时期，开启全面建成社会主义现代化国家新征程</w:t>
            </w:r>
            <w:r>
              <w:t>”</w:t>
            </w:r>
            <w:r>
              <w:rPr>
                <w:rFonts w:ascii="宋体" w:hAnsi="宋体"/>
              </w:rPr>
              <w:t>的时期，要坚决打好精准脱贫、污染防治的攻坚战，实施精准脱贫战略与乡村振兴战略相结合。</w:t>
            </w:r>
          </w:p>
          <w:p>
            <w:pPr>
              <w:spacing w:line="360" w:lineRule="auto"/>
              <w:ind w:firstLine="480" w:firstLineChars="200"/>
            </w:pPr>
            <w:r>
              <w:t>2018</w:t>
            </w:r>
            <w:r>
              <w:rPr>
                <w:rFonts w:ascii="宋体" w:hAnsi="宋体"/>
              </w:rPr>
              <w:t>年</w:t>
            </w:r>
            <w:r>
              <w:t>2</w:t>
            </w:r>
            <w:r>
              <w:rPr>
                <w:rFonts w:ascii="宋体" w:hAnsi="宋体"/>
              </w:rPr>
              <w:t>月，中共中央办公厅、国务院办公厅印发了《农村人居环境整治三年行动方案》。方案提出：改善农村人居环境，建设美丽宜居乡村，是实施乡村振兴战略的一项重要任务，事关全面建成小康社会，事关广大农民根本福祉，事关农村社会文明和谐。</w:t>
            </w:r>
          </w:p>
          <w:p>
            <w:pPr>
              <w:spacing w:line="360" w:lineRule="auto"/>
              <w:ind w:firstLine="480" w:firstLineChars="200"/>
            </w:pPr>
            <w:r>
              <w:t>2018</w:t>
            </w:r>
            <w:r>
              <w:rPr>
                <w:rFonts w:ascii="宋体" w:hAnsi="宋体"/>
              </w:rPr>
              <w:t>年</w:t>
            </w:r>
            <w:r>
              <w:t>8</w:t>
            </w:r>
            <w:r>
              <w:rPr>
                <w:rFonts w:ascii="宋体" w:hAnsi="宋体"/>
              </w:rPr>
              <w:t>月，四川省出台了《四川省农村人居环境整治三年行动实施方案》，提出到</w:t>
            </w:r>
            <w:r>
              <w:t>2020</w:t>
            </w:r>
            <w:r>
              <w:rPr>
                <w:rFonts w:ascii="宋体" w:hAnsi="宋体"/>
              </w:rPr>
              <w:t>年，力争实现</w:t>
            </w:r>
            <w:r>
              <w:t>90%</w:t>
            </w:r>
            <w:r>
              <w:rPr>
                <w:rFonts w:ascii="宋体" w:hAnsi="宋体"/>
              </w:rPr>
              <w:t>以上的行政村生活垃圾得到治理，卫生厕所普及率达到</w:t>
            </w:r>
            <w:r>
              <w:t>85%</w:t>
            </w:r>
            <w:r>
              <w:rPr>
                <w:rFonts w:ascii="宋体" w:hAnsi="宋体"/>
              </w:rPr>
              <w:t>左右，</w:t>
            </w:r>
            <w:r>
              <w:t>50%</w:t>
            </w:r>
            <w:r>
              <w:rPr>
                <w:rFonts w:ascii="宋体" w:hAnsi="宋体"/>
              </w:rPr>
              <w:t>左右的行政村农村生活污水得到有效处理，村内道路通行条件明显改善，村容村貌显著提升，管护长效机制初步建立。</w:t>
            </w:r>
          </w:p>
          <w:p>
            <w:pPr>
              <w:spacing w:line="360" w:lineRule="auto"/>
              <w:ind w:firstLine="480" w:firstLineChars="200"/>
            </w:pPr>
            <w:r>
              <w:t>2019</w:t>
            </w:r>
            <w:r>
              <w:rPr>
                <w:rFonts w:ascii="宋体" w:hAnsi="宋体"/>
              </w:rPr>
              <w:t>年</w:t>
            </w:r>
            <w:r>
              <w:t>2</w:t>
            </w:r>
            <w:r>
              <w:rPr>
                <w:rFonts w:ascii="宋体" w:hAnsi="宋体"/>
              </w:rPr>
              <w:t>月，中共乐山市委农村工作领导小组印发了《乐山市农村人居环境整治村庄清洁行动实施方案》，方案要求扎实推进农村人居环境整治工作，根据《四川省农村人居环境整</w:t>
            </w:r>
            <w:r>
              <w:rPr>
                <w:rFonts w:hint="eastAsia" w:ascii="宋体" w:hAnsi="宋体"/>
              </w:rPr>
              <w:t>治村庄清洁行动方案》要求，结合乐山市实际情况推进全市农村人居环境整治，切实解决村庄环境“脏乱差”问题。</w:t>
            </w:r>
          </w:p>
          <w:p>
            <w:pPr>
              <w:spacing w:line="360" w:lineRule="auto"/>
              <w:ind w:firstLine="480" w:firstLineChars="200"/>
              <w:rPr>
                <w:kern w:val="0"/>
              </w:rPr>
            </w:pPr>
            <w:r>
              <w:rPr>
                <w:kern w:val="0"/>
              </w:rPr>
              <w:t>2019</w:t>
            </w:r>
            <w:r>
              <w:rPr>
                <w:rFonts w:ascii="宋体" w:hAnsi="宋体"/>
                <w:kern w:val="0"/>
              </w:rPr>
              <w:t>年</w:t>
            </w:r>
            <w:r>
              <w:rPr>
                <w:kern w:val="0"/>
              </w:rPr>
              <w:t>8</w:t>
            </w:r>
            <w:r>
              <w:rPr>
                <w:rFonts w:ascii="宋体" w:hAnsi="宋体"/>
                <w:kern w:val="0"/>
              </w:rPr>
              <w:t>月，峨边彝族自治县人居环境整治暨移风易俗指挥部出台《峨边彝族自治县人居环境整治三年行动实施方案》，明确提出要全力推进人居环境整治工作</w:t>
            </w:r>
            <w:r>
              <w:rPr>
                <w:rFonts w:hint="eastAsia" w:ascii="宋体" w:hAnsi="宋体"/>
                <w:kern w:val="0"/>
              </w:rPr>
              <w:t>，</w:t>
            </w:r>
            <w:r>
              <w:rPr>
                <w:rFonts w:ascii="宋体" w:hAnsi="宋体"/>
                <w:kern w:val="0"/>
              </w:rPr>
              <w:t>确保到</w:t>
            </w:r>
            <w:r>
              <w:rPr>
                <w:kern w:val="0"/>
              </w:rPr>
              <w:t>2020</w:t>
            </w:r>
            <w:r>
              <w:rPr>
                <w:rFonts w:ascii="宋体" w:hAnsi="宋体"/>
                <w:kern w:val="0"/>
              </w:rPr>
              <w:t>年实现全县人居环境明显改善，村容村貌有效提升，群众的环保意识普遍增强，</w:t>
            </w:r>
            <w:r>
              <w:rPr>
                <w:kern w:val="0"/>
              </w:rPr>
              <w:t>90%</w:t>
            </w:r>
            <w:r>
              <w:rPr>
                <w:rFonts w:ascii="宋体" w:hAnsi="宋体"/>
                <w:kern w:val="0"/>
              </w:rPr>
              <w:t>以上行政村垃圾得到有效治理，户用卫生厕所普及率</w:t>
            </w:r>
            <w:r>
              <w:rPr>
                <w:kern w:val="0"/>
              </w:rPr>
              <w:t>85%</w:t>
            </w:r>
            <w:r>
              <w:rPr>
                <w:rFonts w:ascii="宋体" w:hAnsi="宋体"/>
                <w:kern w:val="0"/>
              </w:rPr>
              <w:t>以上，</w:t>
            </w:r>
            <w:r>
              <w:rPr>
                <w:kern w:val="0"/>
              </w:rPr>
              <w:t>50%</w:t>
            </w:r>
            <w:r>
              <w:rPr>
                <w:rFonts w:ascii="宋体" w:hAnsi="宋体"/>
                <w:kern w:val="0"/>
              </w:rPr>
              <w:t>以上行政村农村生活污水得到有效处理，农村自来水普及率达到</w:t>
            </w:r>
            <w:r>
              <w:rPr>
                <w:kern w:val="0"/>
              </w:rPr>
              <w:t>100%</w:t>
            </w:r>
            <w:r>
              <w:rPr>
                <w:rFonts w:ascii="宋体" w:hAnsi="宋体"/>
                <w:kern w:val="0"/>
              </w:rPr>
              <w:t>，建成</w:t>
            </w:r>
            <w:r>
              <w:rPr>
                <w:rFonts w:hint="eastAsia" w:ascii="宋体" w:hAnsi="宋体"/>
                <w:kern w:val="0"/>
              </w:rPr>
              <w:t>“</w:t>
            </w:r>
            <w:r>
              <w:rPr>
                <w:rFonts w:ascii="宋体" w:hAnsi="宋体"/>
                <w:kern w:val="0"/>
              </w:rPr>
              <w:t>美丽四川</w:t>
            </w:r>
            <w:r>
              <w:rPr>
                <w:kern w:val="0"/>
              </w:rPr>
              <w:t>·</w:t>
            </w:r>
            <w:r>
              <w:rPr>
                <w:rFonts w:ascii="宋体" w:hAnsi="宋体"/>
                <w:kern w:val="0"/>
              </w:rPr>
              <w:t>宜居乡村</w:t>
            </w:r>
            <w:r>
              <w:rPr>
                <w:rFonts w:hint="eastAsia" w:ascii="宋体" w:hAnsi="宋体"/>
                <w:kern w:val="0"/>
              </w:rPr>
              <w:t>”</w:t>
            </w:r>
            <w:r>
              <w:rPr>
                <w:rFonts w:ascii="宋体" w:hAnsi="宋体"/>
                <w:kern w:val="0"/>
              </w:rPr>
              <w:t>达标村不少于</w:t>
            </w:r>
            <w:r>
              <w:rPr>
                <w:kern w:val="0"/>
              </w:rPr>
              <w:t>70</w:t>
            </w:r>
            <w:r>
              <w:rPr>
                <w:rFonts w:ascii="宋体" w:hAnsi="宋体"/>
                <w:kern w:val="0"/>
              </w:rPr>
              <w:t>个，</w:t>
            </w:r>
            <w:r>
              <w:rPr>
                <w:rFonts w:hint="eastAsia" w:ascii="宋体" w:hAnsi="宋体"/>
                <w:kern w:val="0"/>
              </w:rPr>
              <w:t>“</w:t>
            </w:r>
            <w:r>
              <w:rPr>
                <w:rFonts w:ascii="宋体" w:hAnsi="宋体"/>
                <w:kern w:val="0"/>
              </w:rPr>
              <w:t>水美乡村</w:t>
            </w:r>
            <w:r>
              <w:rPr>
                <w:rFonts w:hint="eastAsia" w:ascii="宋体" w:hAnsi="宋体"/>
                <w:kern w:val="0"/>
              </w:rPr>
              <w:t>”</w:t>
            </w:r>
            <w:r>
              <w:rPr>
                <w:rFonts w:ascii="宋体" w:hAnsi="宋体"/>
                <w:kern w:val="0"/>
              </w:rPr>
              <w:t>不少于</w:t>
            </w:r>
            <w:r>
              <w:rPr>
                <w:kern w:val="0"/>
              </w:rPr>
              <w:t>10</w:t>
            </w:r>
            <w:r>
              <w:rPr>
                <w:rFonts w:ascii="宋体" w:hAnsi="宋体"/>
                <w:kern w:val="0"/>
              </w:rPr>
              <w:t>个。</w:t>
            </w:r>
          </w:p>
          <w:p>
            <w:pPr>
              <w:spacing w:line="360" w:lineRule="auto"/>
              <w:ind w:firstLine="480" w:firstLineChars="200"/>
            </w:pPr>
            <w:r>
              <w:t>2020</w:t>
            </w:r>
            <w:r>
              <w:rPr>
                <w:rFonts w:ascii="宋体" w:hAnsi="宋体"/>
              </w:rPr>
              <w:t>年</w:t>
            </w:r>
            <w:r>
              <w:t>5</w:t>
            </w:r>
            <w:r>
              <w:rPr>
                <w:rFonts w:ascii="宋体" w:hAnsi="宋体"/>
              </w:rPr>
              <w:t>月，中共乐山市委农村工作领导小组印发《乐山市</w:t>
            </w:r>
            <w:r>
              <w:t>2020</w:t>
            </w:r>
            <w:r>
              <w:rPr>
                <w:rFonts w:ascii="宋体" w:hAnsi="宋体"/>
              </w:rPr>
              <w:t>年度农村人居环境整治实施方案》，制定《乐山市</w:t>
            </w:r>
            <w:r>
              <w:t>2020</w:t>
            </w:r>
            <w:r>
              <w:rPr>
                <w:rFonts w:ascii="宋体" w:hAnsi="宋体"/>
              </w:rPr>
              <w:t>年度农村生活污水治理专项工作实施方案》，提出峨边县</w:t>
            </w:r>
            <w:r>
              <w:t>2020</w:t>
            </w:r>
            <w:r>
              <w:rPr>
                <w:rFonts w:ascii="宋体" w:hAnsi="宋体"/>
              </w:rPr>
              <w:t>年要完成：生活污水得到有效处理的村占比</w:t>
            </w:r>
            <w:r>
              <w:t>≥50%</w:t>
            </w:r>
            <w:r>
              <w:rPr>
                <w:rFonts w:ascii="宋体" w:hAnsi="宋体"/>
              </w:rPr>
              <w:t>，生活污水得到有效处理的农户占比</w:t>
            </w:r>
            <w:r>
              <w:t>≥40%</w:t>
            </w:r>
            <w:r>
              <w:rPr>
                <w:rFonts w:ascii="宋体" w:hAnsi="宋体"/>
              </w:rPr>
              <w:t>。</w:t>
            </w:r>
          </w:p>
          <w:p>
            <w:pPr>
              <w:spacing w:line="360" w:lineRule="auto"/>
              <w:ind w:firstLine="480" w:firstLineChars="200"/>
              <w:rPr>
                <w:rFonts w:cs="Times New Roman"/>
                <w:bCs/>
                <w:szCs w:val="24"/>
              </w:rPr>
            </w:pPr>
            <w:r>
              <w:rPr>
                <w:rFonts w:hint="eastAsia" w:cs="Times New Roman"/>
                <w:bCs/>
                <w:szCs w:val="24"/>
              </w:rPr>
              <w:t>峨边彝族自治县经济飞速发展的同时，生活污水量亦急剧上升。污水收集落后于经济发展，已经成为威胁水环境的主要来源，严重影响了峨边彝族自治县对外形象，制约其经济发展。</w:t>
            </w:r>
          </w:p>
          <w:p>
            <w:pPr>
              <w:spacing w:line="360" w:lineRule="auto"/>
              <w:ind w:firstLine="480" w:firstLineChars="200"/>
              <w:rPr>
                <w:rFonts w:cs="Times New Roman"/>
                <w:bCs/>
                <w:szCs w:val="24"/>
              </w:rPr>
            </w:pPr>
            <w:r>
              <w:rPr>
                <w:rFonts w:hint="eastAsia" w:cs="Times New Roman"/>
                <w:bCs/>
                <w:szCs w:val="24"/>
              </w:rPr>
              <w:t>目前峨边彝族自治县城区老人民医院片区有未纳入原有污水管网的居民的生活污水直接排入小溪沟；经营所片区未进行雨污分流，大量雨水进入污水管网，造成污水厂进水水质不能满足要求。峨边彝族自治县马嘶溪火车站片区（位于马嘶溪村）无污水处理设施，也没有完整的污水收集系统，居民生活污水未经处理直接排入周边地表水，对水体污染严重。随着峨边彝族自治县城镇化水平、居民生活标准提高，生活用水量及污水的排放量将不断攀升，会进一步加大对地表水及地下水的污染</w:t>
            </w:r>
            <w:r>
              <w:rPr>
                <w:rFonts w:cs="Times New Roman"/>
                <w:bCs/>
                <w:szCs w:val="24"/>
              </w:rPr>
              <w:t>。</w:t>
            </w:r>
          </w:p>
          <w:p>
            <w:pPr>
              <w:spacing w:line="360" w:lineRule="auto"/>
              <w:ind w:firstLine="480" w:firstLineChars="200"/>
              <w:rPr>
                <w:rFonts w:cs="Times New Roman"/>
                <w:bCs/>
                <w:szCs w:val="24"/>
              </w:rPr>
            </w:pPr>
            <w:r>
              <w:rPr>
                <w:rFonts w:hint="eastAsia" w:cs="Times New Roman"/>
                <w:bCs/>
                <w:szCs w:val="24"/>
              </w:rPr>
              <w:t>因此，为改善当地生态环境和水域环境，治理污染，保护水资源，实现可持续发展目标，峨边彝族自治县城市建设投资有限公司拟在三个片区开展建设“四川省乐山市峨边彝族自治县城郊污水处理及管网建设项目”。为了完善峨边彝族自治县城区基础设施，项目拟在</w:t>
            </w:r>
            <w:r>
              <w:rPr>
                <w:rFonts w:cs="Times New Roman"/>
                <w:bCs/>
                <w:szCs w:val="24"/>
              </w:rPr>
              <w:t>老人民医院片区建设污水管网长度约639m，经营所片区建设雨水管网长度约126m</w:t>
            </w:r>
            <w:r>
              <w:rPr>
                <w:rFonts w:hint="eastAsia" w:cs="Times New Roman"/>
                <w:bCs/>
                <w:szCs w:val="24"/>
              </w:rPr>
              <w:t>。为了改善峨边彝族自治县马嘶溪村农村生活污水未经处理直接排放的现状，拟在</w:t>
            </w:r>
            <w:r>
              <w:rPr>
                <w:rFonts w:cs="Times New Roman"/>
                <w:bCs/>
                <w:szCs w:val="24"/>
              </w:rPr>
              <w:t>马嘶溪火车站片区建设污水</w:t>
            </w:r>
            <w:r>
              <w:rPr>
                <w:rFonts w:hint="eastAsia" w:cs="Times New Roman"/>
                <w:bCs/>
                <w:szCs w:val="24"/>
              </w:rPr>
              <w:t>收集</w:t>
            </w:r>
            <w:r>
              <w:rPr>
                <w:rFonts w:cs="Times New Roman"/>
                <w:bCs/>
                <w:szCs w:val="24"/>
              </w:rPr>
              <w:t>管网长度约2395m，</w:t>
            </w:r>
            <w:r>
              <w:rPr>
                <w:rFonts w:hint="eastAsia" w:cs="Times New Roman"/>
                <w:bCs/>
                <w:szCs w:val="24"/>
              </w:rPr>
              <w:t>尾水排放</w:t>
            </w:r>
            <w:r>
              <w:rPr>
                <w:rFonts w:cs="Times New Roman"/>
                <w:bCs/>
                <w:szCs w:val="24"/>
              </w:rPr>
              <w:t>管长度约700m</w:t>
            </w:r>
            <w:r>
              <w:rPr>
                <w:rFonts w:hint="eastAsia" w:cs="Times New Roman"/>
                <w:bCs/>
                <w:szCs w:val="24"/>
              </w:rPr>
              <w:t>，配套</w:t>
            </w:r>
            <w:r>
              <w:rPr>
                <w:rFonts w:cs="Times New Roman"/>
                <w:bCs/>
                <w:szCs w:val="24"/>
              </w:rPr>
              <w:t>100m</w:t>
            </w:r>
            <w:r>
              <w:rPr>
                <w:rFonts w:cs="Times New Roman"/>
                <w:bCs/>
                <w:szCs w:val="24"/>
                <w:vertAlign w:val="superscript"/>
              </w:rPr>
              <w:t>3</w:t>
            </w:r>
            <w:r>
              <w:rPr>
                <w:rFonts w:cs="Times New Roman"/>
                <w:bCs/>
                <w:szCs w:val="24"/>
              </w:rPr>
              <w:t>一体化污水处理设备一台</w:t>
            </w:r>
            <w:r>
              <w:rPr>
                <w:rFonts w:hint="eastAsia" w:cs="Times New Roman"/>
                <w:bCs/>
                <w:szCs w:val="24"/>
              </w:rPr>
              <w:t>。</w:t>
            </w:r>
          </w:p>
          <w:p>
            <w:pPr>
              <w:spacing w:line="360" w:lineRule="auto"/>
              <w:ind w:firstLine="480" w:firstLineChars="200"/>
              <w:rPr>
                <w:rFonts w:cs="Times New Roman"/>
                <w:bCs/>
                <w:szCs w:val="24"/>
              </w:rPr>
            </w:pPr>
            <w:r>
              <w:rPr>
                <w:rFonts w:cs="Times New Roman"/>
                <w:bCs/>
                <w:szCs w:val="24"/>
              </w:rPr>
              <w:t>2020年10月13日，峨边彝族自治县发展和改革局对本项目</w:t>
            </w:r>
            <w:r>
              <w:rPr>
                <w:rFonts w:hint="eastAsia" w:cs="Times New Roman"/>
                <w:bCs/>
                <w:szCs w:val="24"/>
              </w:rPr>
              <w:t>下发了《关于重新审查四川省乐山市峨边彝族自治县城郊污水处理及管网建设项目可行性研究报告批复》，</w:t>
            </w:r>
            <w:r>
              <w:rPr>
                <w:rFonts w:hint="eastAsia" w:cs="Times New Roman"/>
              </w:rPr>
              <w:t>峨边发改审〔2</w:t>
            </w:r>
            <w:r>
              <w:rPr>
                <w:rFonts w:cs="Times New Roman"/>
              </w:rPr>
              <w:t>020</w:t>
            </w:r>
            <w:r>
              <w:rPr>
                <w:rFonts w:hint="eastAsia" w:cs="Times New Roman"/>
              </w:rPr>
              <w:t>〕1</w:t>
            </w:r>
            <w:r>
              <w:rPr>
                <w:rFonts w:cs="Times New Roman"/>
              </w:rPr>
              <w:t>78</w:t>
            </w:r>
            <w:r>
              <w:rPr>
                <w:rFonts w:hint="eastAsia" w:cs="Times New Roman"/>
              </w:rPr>
              <w:t>号</w:t>
            </w:r>
            <w:r>
              <w:rPr>
                <w:rFonts w:cs="Times New Roman"/>
                <w:szCs w:val="24"/>
              </w:rPr>
              <w:t>，</w:t>
            </w:r>
            <w:r>
              <w:rPr>
                <w:rFonts w:hint="eastAsia" w:cs="Times New Roman"/>
                <w:szCs w:val="24"/>
              </w:rPr>
              <w:t>项目代码</w:t>
            </w:r>
            <w:r>
              <w:rPr>
                <w:rFonts w:cs="Times New Roman"/>
                <w:szCs w:val="24"/>
              </w:rPr>
              <w:t>：2020-511132-78-01-477766，同意本项目建设。</w:t>
            </w:r>
          </w:p>
          <w:p>
            <w:pPr>
              <w:spacing w:line="360" w:lineRule="auto"/>
              <w:ind w:firstLine="480" w:firstLineChars="200"/>
              <w:rPr>
                <w:rFonts w:cs="Times New Roman"/>
                <w:bCs/>
                <w:szCs w:val="24"/>
              </w:rPr>
            </w:pPr>
            <w:r>
              <w:rPr>
                <w:rFonts w:cs="Times New Roman"/>
                <w:bCs/>
                <w:szCs w:val="24"/>
              </w:rPr>
              <w:t>根据《中华人民共和国环境保护法》、《关于修改&lt;建设项目环境保护管理条例&gt;的决定》（中华人民共和国国务院令 第682号）、《中华人民共和国环境影响评价法》，本项目应进行环境影响评价工作，故于2020年11月，建设单位委托我单位承担“</w:t>
            </w:r>
            <w:r>
              <w:rPr>
                <w:rFonts w:hint="eastAsia" w:cs="Times New Roman"/>
                <w:bCs/>
                <w:szCs w:val="24"/>
              </w:rPr>
              <w:t>四川省乐山市峨边彝族自治县城郊污水处理及管网建设项目</w:t>
            </w:r>
            <w:r>
              <w:rPr>
                <w:rFonts w:cs="Times New Roman"/>
                <w:bCs/>
                <w:szCs w:val="24"/>
              </w:rPr>
              <w:t>”</w:t>
            </w:r>
            <w:r>
              <w:rPr>
                <w:rFonts w:hint="eastAsia" w:cs="Times New Roman"/>
                <w:bCs/>
                <w:szCs w:val="24"/>
              </w:rPr>
              <w:t>环境影响评价工作</w:t>
            </w:r>
            <w:r>
              <w:rPr>
                <w:rFonts w:cs="Times New Roman"/>
                <w:bCs/>
                <w:szCs w:val="24"/>
              </w:rPr>
              <w:t>。</w:t>
            </w:r>
          </w:p>
          <w:p>
            <w:pPr>
              <w:spacing w:line="360" w:lineRule="auto"/>
              <w:ind w:firstLine="504" w:firstLineChars="210"/>
              <w:rPr>
                <w:rFonts w:cs="Times New Roman"/>
                <w:bCs/>
                <w:szCs w:val="24"/>
              </w:rPr>
            </w:pPr>
            <w:r>
              <w:rPr>
                <w:rFonts w:cs="Times New Roman"/>
                <w:bCs/>
                <w:szCs w:val="24"/>
              </w:rPr>
              <w:t>接受委托后，我单位根据相关法律法规并查阅《建设项目环境影响评价分类管理名录》（部令第44号及部令第1号），本项目属于</w:t>
            </w:r>
            <w:r>
              <w:rPr>
                <w:rFonts w:hint="eastAsia" w:cs="Times New Roman"/>
                <w:b/>
                <w:szCs w:val="24"/>
              </w:rPr>
              <w:t>“三十三、水的生产和供应业</w:t>
            </w:r>
            <w:r>
              <w:rPr>
                <w:rFonts w:cs="Times New Roman"/>
                <w:b/>
                <w:szCs w:val="24"/>
              </w:rPr>
              <w:t xml:space="preserve"> 96 生活污水集中处理 其他”</w:t>
            </w:r>
            <w:r>
              <w:rPr>
                <w:rFonts w:cs="Times New Roman"/>
                <w:bCs/>
                <w:szCs w:val="24"/>
              </w:rPr>
              <w:t>，</w:t>
            </w:r>
            <w:r>
              <w:rPr>
                <w:rFonts w:cs="Times New Roman"/>
                <w:bCs/>
              </w:rPr>
              <w:t>应编制环境影响报告表。</w:t>
            </w:r>
            <w:r>
              <w:rPr>
                <w:rFonts w:cs="Times New Roman"/>
                <w:bCs/>
                <w:szCs w:val="24"/>
              </w:rPr>
              <w:t>通过现场勘察、收集资料等工作，结合本项目的特点，按照国家有关技术规范要求，编制完成了《</w:t>
            </w:r>
            <w:r>
              <w:rPr>
                <w:rFonts w:hint="eastAsia" w:cs="Times New Roman"/>
                <w:bCs/>
                <w:szCs w:val="24"/>
              </w:rPr>
              <w:t>四川省乐山市峨边彝族自治县城郊污水处理及管网建设项目环境影响报告表</w:t>
            </w:r>
            <w:r>
              <w:rPr>
                <w:rFonts w:cs="Times New Roman"/>
                <w:bCs/>
                <w:szCs w:val="24"/>
              </w:rPr>
              <w:t>》，现呈报审查，待审批后作为开展项目建设环保设计及主管部门环境管理工作的依据。</w:t>
            </w:r>
          </w:p>
          <w:p>
            <w:pPr>
              <w:spacing w:line="360" w:lineRule="auto"/>
              <w:rPr>
                <w:rFonts w:cs="Times New Roman"/>
                <w:b/>
                <w:szCs w:val="24"/>
              </w:rPr>
            </w:pPr>
            <w:r>
              <w:rPr>
                <w:rFonts w:hint="eastAsia" w:cs="Times New Roman"/>
                <w:b/>
                <w:szCs w:val="24"/>
              </w:rPr>
              <w:t>二、编制依据</w:t>
            </w:r>
          </w:p>
          <w:p>
            <w:pPr>
              <w:spacing w:line="360" w:lineRule="auto"/>
              <w:ind w:firstLine="504" w:firstLineChars="210"/>
              <w:rPr>
                <w:rFonts w:cs="Times New Roman"/>
                <w:bCs/>
              </w:rPr>
            </w:pPr>
            <w:r>
              <w:rPr>
                <w:rFonts w:cs="Times New Roman"/>
                <w:bCs/>
              </w:rPr>
              <w:t>1.法律、法规</w:t>
            </w:r>
          </w:p>
          <w:p>
            <w:pPr>
              <w:spacing w:line="360" w:lineRule="auto"/>
              <w:ind w:firstLine="504" w:firstLineChars="210"/>
              <w:rPr>
                <w:rFonts w:cs="Times New Roman"/>
                <w:bCs/>
              </w:rPr>
            </w:pPr>
            <w:r>
              <w:rPr>
                <w:rFonts w:hint="eastAsia" w:cs="Times New Roman"/>
                <w:bCs/>
              </w:rPr>
              <w:t>（</w:t>
            </w:r>
            <w:r>
              <w:rPr>
                <w:rFonts w:cs="Times New Roman"/>
                <w:bCs/>
              </w:rPr>
              <w:t>1）《中华人民共和国环境保护法》，2015年1月1日施行；</w:t>
            </w:r>
          </w:p>
          <w:p>
            <w:pPr>
              <w:spacing w:line="360" w:lineRule="auto"/>
              <w:ind w:firstLine="504" w:firstLineChars="210"/>
              <w:rPr>
                <w:rFonts w:cs="Times New Roman"/>
                <w:bCs/>
              </w:rPr>
            </w:pPr>
            <w:r>
              <w:rPr>
                <w:rFonts w:hint="eastAsia" w:cs="Times New Roman"/>
                <w:bCs/>
              </w:rPr>
              <w:t>（</w:t>
            </w:r>
            <w:r>
              <w:rPr>
                <w:rFonts w:cs="Times New Roman"/>
                <w:bCs/>
              </w:rPr>
              <w:t>2）《中华人民共和国水土保持法》，2011年3月1日施行；</w:t>
            </w:r>
          </w:p>
          <w:p>
            <w:pPr>
              <w:spacing w:line="360" w:lineRule="auto"/>
              <w:ind w:firstLine="504" w:firstLineChars="210"/>
              <w:rPr>
                <w:rFonts w:cs="Times New Roman"/>
                <w:bCs/>
              </w:rPr>
            </w:pPr>
            <w:r>
              <w:rPr>
                <w:rFonts w:hint="eastAsia" w:cs="Times New Roman"/>
                <w:bCs/>
              </w:rPr>
              <w:t>（</w:t>
            </w:r>
            <w:r>
              <w:rPr>
                <w:rFonts w:cs="Times New Roman"/>
                <w:bCs/>
              </w:rPr>
              <w:t>3）《中华人民共和国水污染防治法》，2018年1月1日修订；</w:t>
            </w:r>
          </w:p>
          <w:p>
            <w:pPr>
              <w:spacing w:line="360" w:lineRule="auto"/>
              <w:ind w:firstLine="504" w:firstLineChars="210"/>
              <w:rPr>
                <w:rFonts w:cs="Times New Roman"/>
                <w:bCs/>
              </w:rPr>
            </w:pPr>
            <w:r>
              <w:rPr>
                <w:rFonts w:hint="eastAsia" w:cs="Times New Roman"/>
                <w:bCs/>
              </w:rPr>
              <w:t>（</w:t>
            </w:r>
            <w:r>
              <w:rPr>
                <w:rFonts w:cs="Times New Roman"/>
                <w:bCs/>
              </w:rPr>
              <w:t>4）《中华人民共和国环境噪声污染防治法》，2018年12月29日修订版；</w:t>
            </w:r>
          </w:p>
          <w:p>
            <w:pPr>
              <w:spacing w:line="360" w:lineRule="auto"/>
              <w:ind w:firstLine="504" w:firstLineChars="210"/>
              <w:rPr>
                <w:rFonts w:cs="Times New Roman"/>
                <w:bCs/>
              </w:rPr>
            </w:pPr>
            <w:r>
              <w:rPr>
                <w:rFonts w:hint="eastAsia" w:cs="Times New Roman"/>
                <w:bCs/>
              </w:rPr>
              <w:t>（</w:t>
            </w:r>
            <w:r>
              <w:rPr>
                <w:rFonts w:cs="Times New Roman"/>
                <w:bCs/>
              </w:rPr>
              <w:t>5）《中华人民共和国大气污染防治法》，2018年10月26日施行；</w:t>
            </w:r>
          </w:p>
          <w:p>
            <w:pPr>
              <w:spacing w:line="360" w:lineRule="auto"/>
              <w:ind w:firstLine="504" w:firstLineChars="210"/>
              <w:rPr>
                <w:rFonts w:cs="Times New Roman"/>
                <w:bCs/>
              </w:rPr>
            </w:pPr>
            <w:r>
              <w:rPr>
                <w:rFonts w:hint="eastAsia" w:cs="Times New Roman"/>
                <w:bCs/>
              </w:rPr>
              <w:t>（</w:t>
            </w:r>
            <w:r>
              <w:rPr>
                <w:rFonts w:cs="Times New Roman"/>
                <w:bCs/>
              </w:rPr>
              <w:t>6）《中华人民共和国环境影响评价法》，2018年12月29日修订版；</w:t>
            </w:r>
          </w:p>
          <w:p>
            <w:pPr>
              <w:spacing w:line="360" w:lineRule="auto"/>
              <w:ind w:firstLine="504" w:firstLineChars="210"/>
              <w:rPr>
                <w:rFonts w:cs="Times New Roman"/>
                <w:bCs/>
              </w:rPr>
            </w:pPr>
            <w:r>
              <w:rPr>
                <w:rFonts w:hint="eastAsia" w:cs="Times New Roman"/>
                <w:bCs/>
              </w:rPr>
              <w:t>（</w:t>
            </w:r>
            <w:r>
              <w:rPr>
                <w:rFonts w:cs="Times New Roman"/>
                <w:bCs/>
              </w:rPr>
              <w:t>7）《中华人民共和国土地管理法》，2019年8月26日修订版；</w:t>
            </w:r>
          </w:p>
          <w:p>
            <w:pPr>
              <w:spacing w:line="360" w:lineRule="auto"/>
              <w:ind w:firstLine="504" w:firstLineChars="210"/>
              <w:rPr>
                <w:rFonts w:cs="Times New Roman"/>
                <w:bCs/>
              </w:rPr>
            </w:pPr>
            <w:r>
              <w:rPr>
                <w:rFonts w:hint="eastAsia" w:cs="Times New Roman"/>
                <w:bCs/>
              </w:rPr>
              <w:t>（</w:t>
            </w:r>
            <w:r>
              <w:rPr>
                <w:rFonts w:cs="Times New Roman"/>
                <w:bCs/>
              </w:rPr>
              <w:t>8）《中华人民共和国固体废物污染环境防治法》，2020年9月1日施行；</w:t>
            </w:r>
          </w:p>
          <w:p>
            <w:pPr>
              <w:spacing w:line="360" w:lineRule="auto"/>
              <w:ind w:firstLine="504" w:firstLineChars="210"/>
              <w:rPr>
                <w:rFonts w:cs="Times New Roman"/>
                <w:bCs/>
              </w:rPr>
            </w:pPr>
            <w:r>
              <w:rPr>
                <w:rFonts w:hint="eastAsia" w:cs="Times New Roman"/>
                <w:bCs/>
              </w:rPr>
              <w:t>（</w:t>
            </w:r>
            <w:r>
              <w:rPr>
                <w:rFonts w:cs="Times New Roman"/>
                <w:bCs/>
              </w:rPr>
              <w:t>9）《建设项目环境保护管理条例》，国务院令第682号，2017年10月1日施行；</w:t>
            </w:r>
          </w:p>
          <w:p>
            <w:pPr>
              <w:spacing w:line="360" w:lineRule="auto"/>
              <w:ind w:firstLine="504" w:firstLineChars="210"/>
              <w:rPr>
                <w:rFonts w:cs="Times New Roman"/>
                <w:bCs/>
              </w:rPr>
            </w:pPr>
            <w:r>
              <w:rPr>
                <w:rFonts w:hint="eastAsia" w:cs="Times New Roman"/>
                <w:bCs/>
              </w:rPr>
              <w:t>（</w:t>
            </w:r>
            <w:r>
              <w:rPr>
                <w:rFonts w:cs="Times New Roman"/>
                <w:bCs/>
              </w:rPr>
              <w:t>10）《国务院关于落实科学发展观加强环境保护的决定》（国发[2005]39号）；</w:t>
            </w:r>
          </w:p>
          <w:p>
            <w:pPr>
              <w:spacing w:line="360" w:lineRule="auto"/>
              <w:ind w:firstLine="504" w:firstLineChars="210"/>
              <w:rPr>
                <w:rFonts w:cs="Times New Roman"/>
                <w:bCs/>
              </w:rPr>
            </w:pPr>
            <w:r>
              <w:rPr>
                <w:rFonts w:hint="eastAsia" w:cs="Times New Roman"/>
                <w:bCs/>
              </w:rPr>
              <w:t>（</w:t>
            </w:r>
            <w:r>
              <w:rPr>
                <w:rFonts w:cs="Times New Roman"/>
                <w:bCs/>
              </w:rPr>
              <w:t>11）《国务院关于环境保护若干问题的决定》（[1996]31号，1996年8月3日颁布）；</w:t>
            </w:r>
          </w:p>
          <w:p>
            <w:pPr>
              <w:spacing w:line="360" w:lineRule="auto"/>
              <w:ind w:firstLine="504" w:firstLineChars="210"/>
              <w:rPr>
                <w:rFonts w:cs="Times New Roman"/>
                <w:bCs/>
              </w:rPr>
            </w:pPr>
            <w:r>
              <w:rPr>
                <w:rFonts w:hint="eastAsia" w:cs="Times New Roman"/>
                <w:bCs/>
              </w:rPr>
              <w:t>（</w:t>
            </w:r>
            <w:r>
              <w:rPr>
                <w:rFonts w:cs="Times New Roman"/>
                <w:bCs/>
              </w:rPr>
              <w:t>12）《建设项目环境影响评价分类管理名录》（生态环境部令第1号）；</w:t>
            </w:r>
          </w:p>
          <w:p>
            <w:pPr>
              <w:spacing w:line="360" w:lineRule="auto"/>
              <w:ind w:firstLine="504" w:firstLineChars="210"/>
              <w:rPr>
                <w:rFonts w:cs="Times New Roman"/>
                <w:bCs/>
              </w:rPr>
            </w:pPr>
            <w:r>
              <w:rPr>
                <w:rFonts w:hint="eastAsia" w:cs="Times New Roman"/>
                <w:bCs/>
              </w:rPr>
              <w:t>（</w:t>
            </w:r>
            <w:r>
              <w:rPr>
                <w:rFonts w:cs="Times New Roman"/>
                <w:bCs/>
              </w:rPr>
              <w:t>13）《产业结构调整指导目录》（2019年本）；</w:t>
            </w:r>
          </w:p>
          <w:p>
            <w:pPr>
              <w:spacing w:line="360" w:lineRule="auto"/>
              <w:ind w:firstLine="504" w:firstLineChars="210"/>
              <w:rPr>
                <w:rFonts w:cs="Times New Roman"/>
                <w:bCs/>
              </w:rPr>
            </w:pPr>
            <w:r>
              <w:rPr>
                <w:rFonts w:cs="Times New Roman"/>
                <w:bCs/>
              </w:rPr>
              <w:t>2.技术规范</w:t>
            </w:r>
          </w:p>
          <w:p>
            <w:pPr>
              <w:spacing w:line="360" w:lineRule="auto"/>
              <w:ind w:firstLine="504" w:firstLineChars="210"/>
              <w:rPr>
                <w:rFonts w:cs="Times New Roman"/>
                <w:bCs/>
              </w:rPr>
            </w:pPr>
            <w:r>
              <w:rPr>
                <w:rFonts w:hint="eastAsia" w:cs="Times New Roman"/>
                <w:bCs/>
              </w:rPr>
              <w:t>（</w:t>
            </w:r>
            <w:r>
              <w:rPr>
                <w:rFonts w:cs="Times New Roman"/>
                <w:bCs/>
              </w:rPr>
              <w:t>1）《建设项目环境影响评价技术导则 总纲》（HJ2.1-2016）；</w:t>
            </w:r>
          </w:p>
          <w:p>
            <w:pPr>
              <w:spacing w:line="360" w:lineRule="auto"/>
              <w:ind w:firstLine="504" w:firstLineChars="210"/>
              <w:rPr>
                <w:rFonts w:cs="Times New Roman"/>
                <w:bCs/>
              </w:rPr>
            </w:pPr>
            <w:r>
              <w:rPr>
                <w:rFonts w:hint="eastAsia" w:cs="Times New Roman"/>
                <w:bCs/>
              </w:rPr>
              <w:t>（</w:t>
            </w:r>
            <w:r>
              <w:rPr>
                <w:rFonts w:cs="Times New Roman"/>
                <w:bCs/>
              </w:rPr>
              <w:t>2）《环境影响评价技术导则 大气环境》（HJ2.2-2018）；</w:t>
            </w:r>
          </w:p>
          <w:p>
            <w:pPr>
              <w:spacing w:line="360" w:lineRule="auto"/>
              <w:ind w:firstLine="504" w:firstLineChars="210"/>
              <w:rPr>
                <w:rFonts w:cs="Times New Roman"/>
                <w:bCs/>
              </w:rPr>
            </w:pPr>
            <w:r>
              <w:rPr>
                <w:rFonts w:hint="eastAsia" w:cs="Times New Roman"/>
                <w:bCs/>
              </w:rPr>
              <w:t>（</w:t>
            </w:r>
            <w:r>
              <w:rPr>
                <w:rFonts w:cs="Times New Roman"/>
                <w:bCs/>
              </w:rPr>
              <w:t>3）《环境影响评价技术导则 地表水环境》（HJ2.3-2018）；</w:t>
            </w:r>
          </w:p>
          <w:p>
            <w:pPr>
              <w:spacing w:line="360" w:lineRule="auto"/>
              <w:ind w:firstLine="504" w:firstLineChars="210"/>
              <w:rPr>
                <w:rFonts w:cs="Times New Roman"/>
                <w:bCs/>
              </w:rPr>
            </w:pPr>
            <w:r>
              <w:rPr>
                <w:rFonts w:hint="eastAsia" w:cs="Times New Roman"/>
                <w:bCs/>
              </w:rPr>
              <w:t>（</w:t>
            </w:r>
            <w:r>
              <w:rPr>
                <w:rFonts w:cs="Times New Roman"/>
                <w:bCs/>
              </w:rPr>
              <w:t>4）《环境影响评价技术导则</w:t>
            </w:r>
            <w:r>
              <w:rPr>
                <w:rFonts w:hint="eastAsia" w:cs="Times New Roman"/>
                <w:bCs/>
              </w:rPr>
              <w:t xml:space="preserve"> </w:t>
            </w:r>
            <w:r>
              <w:rPr>
                <w:rFonts w:cs="Times New Roman"/>
                <w:bCs/>
              </w:rPr>
              <w:t>地下水环境》（HJ610-2016）；</w:t>
            </w:r>
          </w:p>
          <w:p>
            <w:pPr>
              <w:spacing w:line="360" w:lineRule="auto"/>
              <w:ind w:firstLine="504" w:firstLineChars="210"/>
              <w:rPr>
                <w:rFonts w:cs="Times New Roman"/>
                <w:bCs/>
              </w:rPr>
            </w:pPr>
            <w:r>
              <w:rPr>
                <w:rFonts w:hint="eastAsia" w:cs="Times New Roman"/>
                <w:bCs/>
              </w:rPr>
              <w:t>（</w:t>
            </w:r>
            <w:r>
              <w:rPr>
                <w:rFonts w:cs="Times New Roman"/>
                <w:bCs/>
              </w:rPr>
              <w:t>5）《环境影响评价技术导则 声环境》（HJ2.4-2009）；</w:t>
            </w:r>
          </w:p>
          <w:p>
            <w:pPr>
              <w:spacing w:line="360" w:lineRule="auto"/>
              <w:ind w:firstLine="504" w:firstLineChars="210"/>
              <w:rPr>
                <w:rFonts w:cs="Times New Roman"/>
                <w:bCs/>
              </w:rPr>
            </w:pPr>
            <w:r>
              <w:rPr>
                <w:rFonts w:hint="eastAsia" w:cs="Times New Roman"/>
                <w:bCs/>
              </w:rPr>
              <w:t>（</w:t>
            </w:r>
            <w:r>
              <w:rPr>
                <w:rFonts w:cs="Times New Roman"/>
                <w:bCs/>
              </w:rPr>
              <w:t>6）《环境影响评价技术导则 生态影响》（HJ19-2011）</w:t>
            </w:r>
            <w:r>
              <w:rPr>
                <w:rFonts w:hint="eastAsia" w:cs="Times New Roman"/>
                <w:bCs/>
              </w:rPr>
              <w:t>；</w:t>
            </w:r>
          </w:p>
          <w:p>
            <w:pPr>
              <w:spacing w:line="360" w:lineRule="auto"/>
              <w:ind w:firstLine="504" w:firstLineChars="210"/>
              <w:rPr>
                <w:rFonts w:cs="Times New Roman"/>
                <w:bCs/>
              </w:rPr>
            </w:pPr>
            <w:r>
              <w:rPr>
                <w:rFonts w:hint="eastAsia" w:cs="Times New Roman"/>
                <w:bCs/>
              </w:rPr>
              <w:t>（</w:t>
            </w:r>
            <w:r>
              <w:rPr>
                <w:rFonts w:cs="Times New Roman"/>
                <w:bCs/>
              </w:rPr>
              <w:t>7）《坏境影响评价技术导则 土壤环境（试行）》（HJ964-2018）</w:t>
            </w:r>
            <w:r>
              <w:rPr>
                <w:rFonts w:hint="eastAsia" w:cs="Times New Roman"/>
                <w:bCs/>
              </w:rPr>
              <w:t>；</w:t>
            </w:r>
          </w:p>
          <w:p>
            <w:pPr>
              <w:spacing w:line="360" w:lineRule="auto"/>
              <w:ind w:firstLine="504" w:firstLineChars="210"/>
              <w:rPr>
                <w:rFonts w:cs="Times New Roman"/>
                <w:bCs/>
              </w:rPr>
            </w:pPr>
            <w:r>
              <w:t>（8）《建设项目环境风险评价技术导则》（</w:t>
            </w:r>
            <w:r>
              <w:rPr>
                <w:iCs/>
              </w:rPr>
              <w:t>HJ169-2018</w:t>
            </w:r>
            <w:r>
              <w:t>）；</w:t>
            </w:r>
          </w:p>
          <w:p>
            <w:pPr>
              <w:pStyle w:val="29"/>
              <w:ind w:left="0" w:leftChars="0" w:firstLine="480"/>
              <w:rPr>
                <w:sz w:val="24"/>
                <w:szCs w:val="24"/>
              </w:rPr>
            </w:pPr>
            <w:r>
              <w:rPr>
                <w:rFonts w:hint="eastAsia"/>
                <w:sz w:val="24"/>
                <w:szCs w:val="24"/>
              </w:rPr>
              <w:t>（</w:t>
            </w:r>
            <w:r>
              <w:rPr>
                <w:sz w:val="24"/>
                <w:szCs w:val="24"/>
              </w:rPr>
              <w:t>9</w:t>
            </w:r>
            <w:r>
              <w:rPr>
                <w:rFonts w:hint="eastAsia"/>
                <w:sz w:val="24"/>
                <w:szCs w:val="24"/>
              </w:rPr>
              <w:t>）《乐山市农村生活污水污染防治技术指南》。</w:t>
            </w:r>
          </w:p>
          <w:p>
            <w:pPr>
              <w:spacing w:line="360" w:lineRule="auto"/>
              <w:ind w:firstLine="504" w:firstLineChars="210"/>
              <w:rPr>
                <w:rFonts w:cs="Times New Roman"/>
                <w:bCs/>
              </w:rPr>
            </w:pPr>
            <w:r>
              <w:rPr>
                <w:rFonts w:cs="Times New Roman"/>
                <w:bCs/>
              </w:rPr>
              <w:t>3.建设项目有关资料</w:t>
            </w:r>
          </w:p>
          <w:p>
            <w:pPr>
              <w:spacing w:line="360" w:lineRule="auto"/>
              <w:ind w:firstLine="504" w:firstLineChars="210"/>
              <w:rPr>
                <w:rFonts w:cs="Times New Roman"/>
                <w:bCs/>
              </w:rPr>
            </w:pPr>
            <w:r>
              <w:rPr>
                <w:rFonts w:hint="eastAsia" w:cs="Times New Roman"/>
                <w:bCs/>
              </w:rPr>
              <w:t>（</w:t>
            </w:r>
            <w:r>
              <w:rPr>
                <w:rFonts w:cs="Times New Roman"/>
                <w:bCs/>
              </w:rPr>
              <w:t>1）环境影响评价委托书；</w:t>
            </w:r>
          </w:p>
          <w:p>
            <w:pPr>
              <w:spacing w:line="360" w:lineRule="auto"/>
              <w:ind w:firstLine="504" w:firstLineChars="210"/>
              <w:rPr>
                <w:rFonts w:cs="Times New Roman"/>
                <w:bCs/>
                <w:highlight w:val="yellow"/>
              </w:rPr>
            </w:pPr>
            <w:r>
              <w:rPr>
                <w:rFonts w:hint="eastAsia" w:cs="Times New Roman"/>
                <w:bCs/>
              </w:rPr>
              <w:t>（</w:t>
            </w:r>
            <w:r>
              <w:rPr>
                <w:rFonts w:cs="Times New Roman"/>
                <w:bCs/>
              </w:rPr>
              <w:t>2）《</w:t>
            </w:r>
            <w:r>
              <w:rPr>
                <w:rFonts w:hint="eastAsia" w:cs="Times New Roman"/>
                <w:bCs/>
              </w:rPr>
              <w:t>四川省乐山市峨边彝族自治县城郊污水处理及管网建设项目</w:t>
            </w:r>
            <w:r>
              <w:rPr>
                <w:rFonts w:cs="Times New Roman"/>
                <w:bCs/>
              </w:rPr>
              <w:t>可行性研究报告》批复；</w:t>
            </w:r>
          </w:p>
          <w:p>
            <w:pPr>
              <w:spacing w:line="360" w:lineRule="auto"/>
              <w:ind w:firstLine="504" w:firstLineChars="210"/>
              <w:rPr>
                <w:rFonts w:cs="Times New Roman"/>
                <w:bCs/>
              </w:rPr>
            </w:pPr>
            <w:r>
              <w:rPr>
                <w:rFonts w:cs="Times New Roman"/>
                <w:bCs/>
              </w:rPr>
              <w:t>（3）建设单位提供的其他资料</w:t>
            </w:r>
            <w:r>
              <w:rPr>
                <w:rFonts w:hint="eastAsia" w:cs="Times New Roman"/>
                <w:bCs/>
              </w:rPr>
              <w:t>。</w:t>
            </w:r>
          </w:p>
          <w:p>
            <w:pPr>
              <w:spacing w:before="120" w:after="120" w:line="360" w:lineRule="auto"/>
              <w:rPr>
                <w:rFonts w:cs="Times New Roman"/>
                <w:b/>
                <w:szCs w:val="24"/>
              </w:rPr>
            </w:pPr>
            <w:r>
              <w:rPr>
                <w:rFonts w:hint="eastAsia" w:cs="Times New Roman"/>
                <w:b/>
                <w:szCs w:val="24"/>
              </w:rPr>
              <w:t>三</w:t>
            </w:r>
            <w:r>
              <w:rPr>
                <w:rFonts w:cs="Times New Roman"/>
                <w:b/>
                <w:szCs w:val="24"/>
              </w:rPr>
              <w:t>、</w:t>
            </w:r>
            <w:r>
              <w:rPr>
                <w:rFonts w:hint="eastAsia" w:cs="Times New Roman"/>
                <w:b/>
                <w:szCs w:val="24"/>
              </w:rPr>
              <w:t>项目建设的可行性和必要性</w:t>
            </w:r>
          </w:p>
          <w:p>
            <w:pPr>
              <w:spacing w:before="120" w:after="120" w:line="360" w:lineRule="auto"/>
              <w:ind w:firstLine="482" w:firstLineChars="200"/>
              <w:rPr>
                <w:rFonts w:cs="Times New Roman"/>
                <w:b/>
                <w:szCs w:val="24"/>
              </w:rPr>
            </w:pPr>
            <w:r>
              <w:rPr>
                <w:rFonts w:cs="Times New Roman"/>
                <w:b/>
                <w:szCs w:val="24"/>
              </w:rPr>
              <w:t>（1）产业政策符合性分析</w:t>
            </w:r>
          </w:p>
          <w:p>
            <w:pPr>
              <w:widowControl/>
              <w:spacing w:line="360" w:lineRule="auto"/>
              <w:ind w:firstLine="480" w:firstLineChars="200"/>
              <w:rPr>
                <w:rFonts w:cs="Times New Roman"/>
                <w:szCs w:val="24"/>
              </w:rPr>
            </w:pPr>
            <w:r>
              <w:rPr>
                <w:rFonts w:hint="eastAsia" w:cs="Times New Roman"/>
                <w:szCs w:val="24"/>
              </w:rPr>
              <w:t>本项目为污水处理设施建设项目，根据《产业结构调整指导目录（</w:t>
            </w:r>
            <w:r>
              <w:rPr>
                <w:rFonts w:cs="Times New Roman"/>
                <w:szCs w:val="24"/>
              </w:rPr>
              <w:t>2019年本）》中相关规定，本项目属于鼓励类中第四十三款“环境保护与资源节约综合利用”中的第20条“城镇垃圾、农村生活垃圾、农村生活污水、污泥及其他固体废弃物减量化、资源化、无害化处理和综合利用工程”，属于鼓励类，因此本项目的建设符合国家的产业政策。</w:t>
            </w:r>
          </w:p>
          <w:p>
            <w:pPr>
              <w:widowControl/>
              <w:spacing w:line="360" w:lineRule="auto"/>
              <w:ind w:firstLine="480" w:firstLineChars="200"/>
              <w:jc w:val="left"/>
              <w:rPr>
                <w:rFonts w:cs="Times New Roman"/>
              </w:rPr>
            </w:pPr>
            <w:r>
              <w:rPr>
                <w:rFonts w:hint="eastAsia" w:cs="Times New Roman"/>
                <w:szCs w:val="24"/>
              </w:rPr>
              <w:t>并且，本项目已取得峨边彝族自治县发展和改革局出具的《</w:t>
            </w:r>
            <w:r>
              <w:rPr>
                <w:rFonts w:hint="eastAsia" w:cs="Times New Roman"/>
                <w:bCs/>
                <w:szCs w:val="24"/>
              </w:rPr>
              <w:t>关于重新审查四川省乐山市峨边彝族自治县城郊污水处理及管网建设项目可行性研究报告批复》，</w:t>
            </w:r>
            <w:r>
              <w:rPr>
                <w:rFonts w:hint="eastAsia" w:cs="Times New Roman"/>
                <w:szCs w:val="24"/>
              </w:rPr>
              <w:t>批复文号：</w:t>
            </w:r>
            <w:r>
              <w:rPr>
                <w:rFonts w:hint="eastAsia" w:cs="Times New Roman"/>
              </w:rPr>
              <w:t>峨边发改审〔2</w:t>
            </w:r>
            <w:r>
              <w:rPr>
                <w:rFonts w:cs="Times New Roman"/>
              </w:rPr>
              <w:t>020</w:t>
            </w:r>
            <w:r>
              <w:rPr>
                <w:rFonts w:hint="eastAsia" w:cs="Times New Roman"/>
              </w:rPr>
              <w:t>〕1</w:t>
            </w:r>
            <w:r>
              <w:rPr>
                <w:rFonts w:cs="Times New Roman"/>
              </w:rPr>
              <w:t>78</w:t>
            </w:r>
            <w:r>
              <w:rPr>
                <w:rFonts w:hint="eastAsia" w:cs="Times New Roman"/>
              </w:rPr>
              <w:t>号</w:t>
            </w:r>
            <w:r>
              <w:rPr>
                <w:rFonts w:cs="Times New Roman"/>
              </w:rPr>
              <w:t>。</w:t>
            </w:r>
          </w:p>
          <w:p>
            <w:pPr>
              <w:widowControl/>
              <w:spacing w:line="360" w:lineRule="auto"/>
              <w:ind w:firstLine="482" w:firstLineChars="200"/>
              <w:rPr>
                <w:rFonts w:cs="Times New Roman"/>
                <w:b/>
                <w:szCs w:val="24"/>
              </w:rPr>
            </w:pPr>
            <w:r>
              <w:rPr>
                <w:rFonts w:cs="Times New Roman"/>
                <w:b/>
                <w:szCs w:val="24"/>
              </w:rPr>
              <w:t>综上所述，本项目的建设符合国家现行的产业政策。</w:t>
            </w:r>
          </w:p>
          <w:p>
            <w:pPr>
              <w:spacing w:before="120" w:after="120" w:line="360" w:lineRule="auto"/>
              <w:ind w:firstLine="482" w:firstLineChars="200"/>
              <w:rPr>
                <w:rFonts w:cs="Times New Roman"/>
                <w:b/>
                <w:szCs w:val="24"/>
              </w:rPr>
            </w:pPr>
            <w:r>
              <w:rPr>
                <w:rFonts w:cs="Times New Roman"/>
                <w:b/>
                <w:szCs w:val="24"/>
              </w:rPr>
              <w:t>（2</w:t>
            </w:r>
            <w:r>
              <w:rPr>
                <w:rFonts w:hint="eastAsia" w:cs="Times New Roman"/>
                <w:b/>
                <w:szCs w:val="24"/>
              </w:rPr>
              <w:t>）建设项目规划相符性</w:t>
            </w:r>
          </w:p>
          <w:p>
            <w:pPr>
              <w:spacing w:line="360" w:lineRule="auto"/>
              <w:ind w:firstLine="480" w:firstLineChars="200"/>
              <w:rPr>
                <w:rFonts w:cs="Times New Roman"/>
                <w:szCs w:val="24"/>
                <w:highlight w:val="yellow"/>
              </w:rPr>
            </w:pPr>
            <w:r>
              <w:rPr>
                <w:rFonts w:hint="eastAsia" w:cs="Times New Roman"/>
                <w:szCs w:val="24"/>
              </w:rPr>
              <w:t>①</w:t>
            </w:r>
            <w:r>
              <w:rPr>
                <w:rFonts w:cs="Times New Roman"/>
                <w:szCs w:val="24"/>
              </w:rPr>
              <w:t>与峨边彝族自治县总体规划和土地利用规划的符合性分析</w:t>
            </w:r>
          </w:p>
          <w:p>
            <w:pPr>
              <w:spacing w:line="360" w:lineRule="auto"/>
              <w:ind w:firstLine="480" w:firstLineChars="200"/>
              <w:rPr>
                <w:rFonts w:cs="Times New Roman"/>
                <w:szCs w:val="24"/>
              </w:rPr>
            </w:pPr>
            <w:r>
              <w:rPr>
                <w:rFonts w:hint="eastAsia" w:cs="Times New Roman"/>
                <w:szCs w:val="24"/>
              </w:rPr>
              <w:t>根据峨边彝族自治县自然资源局出具的《关于无需办理建设项目选址意见书和用地预审的说明》，本项目位于老人民医院片区、马嘶溪火车站片区，属于地下管网的升级改造，不属于以划拨方式提供国有建设用地使用权的建设项目，该项目不涉及新增建设用地，因此该工程项目不需办理建设项目选址意见和建设项目用地预审。</w:t>
            </w:r>
          </w:p>
          <w:p>
            <w:pPr>
              <w:spacing w:line="360" w:lineRule="auto"/>
              <w:ind w:firstLine="480" w:firstLineChars="200"/>
              <w:rPr>
                <w:rFonts w:cs="Times New Roman"/>
                <w:szCs w:val="24"/>
              </w:rPr>
            </w:pPr>
            <w:r>
              <w:rPr>
                <w:rFonts w:cs="Times New Roman"/>
                <w:szCs w:val="24"/>
              </w:rPr>
              <w:t>本项目的建设符合国土空间用途管制要求、符合峨边彝族自治县总体规划</w:t>
            </w:r>
            <w:r>
              <w:rPr>
                <w:rFonts w:hint="eastAsia" w:cs="Times New Roman"/>
                <w:szCs w:val="24"/>
              </w:rPr>
              <w:t>。</w:t>
            </w:r>
          </w:p>
          <w:p>
            <w:pPr>
              <w:spacing w:line="360" w:lineRule="auto"/>
              <w:ind w:firstLine="480" w:firstLineChars="200"/>
              <w:rPr>
                <w:rFonts w:cs="Times New Roman"/>
                <w:szCs w:val="24"/>
              </w:rPr>
            </w:pPr>
            <w:r>
              <w:rPr>
                <w:rFonts w:hint="eastAsia" w:cs="Times New Roman"/>
                <w:szCs w:val="24"/>
              </w:rPr>
              <w:t>②</w:t>
            </w:r>
            <w:r>
              <w:rPr>
                <w:rFonts w:cs="Times New Roman"/>
                <w:szCs w:val="24"/>
              </w:rPr>
              <w:t>与《四川省农村生活污水治理三年推进方案》（川环发〔2020〕13号）相符性分析</w:t>
            </w:r>
          </w:p>
          <w:p>
            <w:pPr>
              <w:spacing w:line="360" w:lineRule="auto"/>
              <w:ind w:firstLine="480" w:firstLineChars="200"/>
              <w:rPr>
                <w:rFonts w:cs="Times New Roman"/>
                <w:szCs w:val="24"/>
              </w:rPr>
            </w:pPr>
            <w:r>
              <w:rPr>
                <w:rFonts w:hint="eastAsia" w:cs="Times New Roman"/>
                <w:szCs w:val="24"/>
              </w:rPr>
              <w:t>根据《四川省农村生活污水治理三年推进方案》（川环发〔</w:t>
            </w:r>
            <w:r>
              <w:rPr>
                <w:rFonts w:cs="Times New Roman"/>
                <w:szCs w:val="24"/>
              </w:rPr>
              <w:t>2020〕13号）的要求中，第四点：加快污水处理设施及配套管网建设。持续开展农村生活污水治理“千村示范工程”建设，探索并推广成熟经验。优先安排农村居民聚居点（区）建设生活污水处理设施，统筹推进乡人民政府所在地（乡集镇）的污水治理，有序开展污水处理设施建设。根据村庄格局、地形地貌等合理确定污水管网（沟）布设方案，配套管网须与新建污水处理设施同步设计、同步建设、同步验收。常住人口1000人以上和600人以上的聚居点（区）分别于2020年底和2021年底实现农村</w:t>
            </w:r>
            <w:r>
              <w:rPr>
                <w:rFonts w:hint="eastAsia" w:cs="Times New Roman"/>
                <w:szCs w:val="24"/>
              </w:rPr>
              <w:t>生活污水基本得到有效治理；到</w:t>
            </w:r>
            <w:r>
              <w:rPr>
                <w:rFonts w:cs="Times New Roman"/>
                <w:szCs w:val="24"/>
              </w:rPr>
              <w:t>2022年底，乡人民政府所在地（乡集镇）实现污水处理设施全覆盖。</w:t>
            </w:r>
          </w:p>
          <w:p>
            <w:pPr>
              <w:spacing w:line="360" w:lineRule="auto"/>
              <w:ind w:firstLine="480" w:firstLineChars="200"/>
              <w:rPr>
                <w:rFonts w:cs="Times New Roman"/>
                <w:szCs w:val="24"/>
              </w:rPr>
            </w:pPr>
            <w:r>
              <w:rPr>
                <w:rFonts w:hint="eastAsia" w:cs="Times New Roman"/>
                <w:szCs w:val="24"/>
              </w:rPr>
              <w:t>本项目为四川省乐山市峨边彝族自治县城郊污水处理及管网建设项目，符合《四川省农村生活污水治理三年推进方案》（川环发〔</w:t>
            </w:r>
            <w:r>
              <w:rPr>
                <w:rFonts w:cs="Times New Roman"/>
                <w:szCs w:val="24"/>
              </w:rPr>
              <w:t>2020〕13号）的相关要求</w:t>
            </w:r>
            <w:r>
              <w:rPr>
                <w:rFonts w:hint="eastAsia" w:cs="Times New Roman"/>
                <w:szCs w:val="24"/>
              </w:rPr>
              <w:t>。</w:t>
            </w:r>
          </w:p>
          <w:p>
            <w:pPr>
              <w:spacing w:line="360" w:lineRule="auto"/>
              <w:ind w:firstLine="480" w:firstLineChars="200"/>
              <w:rPr>
                <w:rFonts w:cs="Times New Roman"/>
                <w:szCs w:val="24"/>
              </w:rPr>
            </w:pPr>
            <w:r>
              <w:rPr>
                <w:rFonts w:hint="eastAsia" w:cs="Times New Roman"/>
                <w:szCs w:val="24"/>
              </w:rPr>
              <w:t>③</w:t>
            </w:r>
            <w:r>
              <w:rPr>
                <w:rFonts w:cs="Times New Roman"/>
                <w:szCs w:val="24"/>
              </w:rPr>
              <w:t>与</w:t>
            </w:r>
            <w:r>
              <w:rPr>
                <w:rFonts w:ascii="宋体" w:hAnsi="宋体"/>
              </w:rPr>
              <w:t>《乐山市农村人居环境整治村庄清洁行动实施方案》</w:t>
            </w:r>
            <w:r>
              <w:rPr>
                <w:rFonts w:cs="Times New Roman"/>
                <w:szCs w:val="24"/>
              </w:rPr>
              <w:t>相符性分析</w:t>
            </w:r>
          </w:p>
          <w:p>
            <w:pPr>
              <w:spacing w:line="360" w:lineRule="auto"/>
              <w:ind w:firstLine="480" w:firstLineChars="200"/>
              <w:rPr>
                <w:rFonts w:ascii="宋体" w:hAnsi="宋体"/>
              </w:rPr>
            </w:pPr>
            <w:r>
              <w:rPr>
                <w:rFonts w:hint="eastAsia" w:ascii="宋体" w:hAnsi="宋体"/>
              </w:rPr>
              <w:t>根据</w:t>
            </w:r>
            <w:r>
              <w:rPr>
                <w:rFonts w:ascii="宋体" w:hAnsi="宋体"/>
              </w:rPr>
              <w:t>《乐山市农村人居环境整治村庄清洁行动实施方案》，方案要求扎实推进农村人居环境整治工作</w:t>
            </w:r>
            <w:r>
              <w:rPr>
                <w:rFonts w:hint="eastAsia" w:ascii="宋体" w:hAnsi="宋体"/>
              </w:rPr>
              <w:t>，</w:t>
            </w:r>
            <w:r>
              <w:rPr>
                <w:rFonts w:ascii="宋体" w:hAnsi="宋体"/>
              </w:rPr>
              <w:t>根据《四川省农村人居环境整</w:t>
            </w:r>
            <w:r>
              <w:rPr>
                <w:rFonts w:hint="eastAsia" w:ascii="宋体" w:hAnsi="宋体"/>
              </w:rPr>
              <w:t>治村庄清洁行动方案》要求，结合乐山市实际情况推进全市农村人居环境整治，切实解决村庄环境“脏乱差”问题。</w:t>
            </w:r>
          </w:p>
          <w:p>
            <w:pPr>
              <w:spacing w:line="360" w:lineRule="auto"/>
              <w:ind w:firstLine="480" w:firstLineChars="200"/>
              <w:rPr>
                <w:rFonts w:cs="Times New Roman"/>
                <w:szCs w:val="24"/>
              </w:rPr>
            </w:pPr>
            <w:r>
              <w:rPr>
                <w:rFonts w:hint="eastAsia" w:ascii="宋体" w:hAnsi="宋体"/>
                <w:kern w:val="0"/>
              </w:rPr>
              <w:t>本项目为</w:t>
            </w:r>
            <w:r>
              <w:rPr>
                <w:rFonts w:ascii="宋体" w:hAnsi="宋体"/>
                <w:kern w:val="0"/>
              </w:rPr>
              <w:t>农村生活污水</w:t>
            </w:r>
            <w:r>
              <w:rPr>
                <w:rFonts w:hint="eastAsia" w:ascii="宋体" w:hAnsi="宋体"/>
                <w:kern w:val="0"/>
              </w:rPr>
              <w:t>收集治理项目，符合</w:t>
            </w:r>
            <w:r>
              <w:rPr>
                <w:rFonts w:ascii="宋体" w:hAnsi="宋体"/>
              </w:rPr>
              <w:t>《乐山市农村人居环境整治村庄清洁行动实施方案》</w:t>
            </w:r>
            <w:r>
              <w:rPr>
                <w:rFonts w:hint="eastAsia" w:ascii="宋体" w:hAnsi="宋体"/>
                <w:kern w:val="0"/>
              </w:rPr>
              <w:t>的相关要求。</w:t>
            </w:r>
          </w:p>
          <w:p>
            <w:pPr>
              <w:spacing w:line="360" w:lineRule="auto"/>
              <w:ind w:firstLine="480" w:firstLineChars="200"/>
              <w:rPr>
                <w:rFonts w:cs="Times New Roman"/>
                <w:szCs w:val="24"/>
              </w:rPr>
            </w:pPr>
            <w:r>
              <w:rPr>
                <w:rFonts w:hint="eastAsia" w:cs="Times New Roman"/>
                <w:szCs w:val="24"/>
              </w:rPr>
              <w:t>④</w:t>
            </w:r>
            <w:r>
              <w:rPr>
                <w:rFonts w:cs="Times New Roman"/>
                <w:szCs w:val="24"/>
              </w:rPr>
              <w:t>与</w:t>
            </w:r>
            <w:r>
              <w:rPr>
                <w:rFonts w:ascii="宋体" w:hAnsi="宋体"/>
                <w:kern w:val="0"/>
              </w:rPr>
              <w:t>《峨边彝族自治县人居环境整治三年行动实施方案》</w:t>
            </w:r>
            <w:r>
              <w:rPr>
                <w:rFonts w:cs="Times New Roman"/>
                <w:szCs w:val="24"/>
              </w:rPr>
              <w:t>相符性分析</w:t>
            </w:r>
          </w:p>
          <w:p>
            <w:pPr>
              <w:spacing w:line="360" w:lineRule="auto"/>
              <w:ind w:firstLine="480" w:firstLineChars="200"/>
              <w:rPr>
                <w:rFonts w:ascii="宋体" w:hAnsi="宋体"/>
                <w:kern w:val="0"/>
              </w:rPr>
            </w:pPr>
            <w:r>
              <w:rPr>
                <w:rFonts w:hint="eastAsia" w:cs="Times New Roman"/>
                <w:szCs w:val="24"/>
              </w:rPr>
              <w:t>根据</w:t>
            </w:r>
            <w:r>
              <w:rPr>
                <w:rFonts w:ascii="宋体" w:hAnsi="宋体"/>
                <w:kern w:val="0"/>
              </w:rPr>
              <w:t>《峨边彝族自治县人居环境整治三年行动实施方案》</w:t>
            </w:r>
            <w:r>
              <w:rPr>
                <w:rFonts w:hint="eastAsia" w:ascii="宋体" w:hAnsi="宋体"/>
                <w:kern w:val="0"/>
              </w:rPr>
              <w:t>，</w:t>
            </w:r>
            <w:r>
              <w:rPr>
                <w:rFonts w:ascii="宋体" w:hAnsi="宋体"/>
                <w:kern w:val="0"/>
              </w:rPr>
              <w:t>明确提出要全力推进人居环境整治工作</w:t>
            </w:r>
            <w:r>
              <w:rPr>
                <w:rFonts w:hint="eastAsia" w:ascii="宋体" w:hAnsi="宋体"/>
                <w:kern w:val="0"/>
              </w:rPr>
              <w:t>，</w:t>
            </w:r>
            <w:r>
              <w:rPr>
                <w:rFonts w:ascii="宋体" w:hAnsi="宋体"/>
                <w:kern w:val="0"/>
              </w:rPr>
              <w:t>确保到</w:t>
            </w:r>
            <w:r>
              <w:rPr>
                <w:kern w:val="0"/>
              </w:rPr>
              <w:t>2020</w:t>
            </w:r>
            <w:r>
              <w:rPr>
                <w:rFonts w:ascii="宋体" w:hAnsi="宋体"/>
                <w:kern w:val="0"/>
              </w:rPr>
              <w:t>年实现全县人居环境明显改善，村容村貌有效提升，群众的环保意识普遍增强，</w:t>
            </w:r>
            <w:r>
              <w:rPr>
                <w:kern w:val="0"/>
              </w:rPr>
              <w:t>90%</w:t>
            </w:r>
            <w:r>
              <w:rPr>
                <w:rFonts w:ascii="宋体" w:hAnsi="宋体"/>
                <w:kern w:val="0"/>
              </w:rPr>
              <w:t>以上行政村垃圾得到有效治理，户用卫生厕所普及率</w:t>
            </w:r>
            <w:r>
              <w:rPr>
                <w:kern w:val="0"/>
              </w:rPr>
              <w:t>85%</w:t>
            </w:r>
            <w:r>
              <w:rPr>
                <w:rFonts w:ascii="宋体" w:hAnsi="宋体"/>
                <w:kern w:val="0"/>
              </w:rPr>
              <w:t>以上，</w:t>
            </w:r>
            <w:r>
              <w:rPr>
                <w:kern w:val="0"/>
              </w:rPr>
              <w:t>50%</w:t>
            </w:r>
            <w:r>
              <w:rPr>
                <w:rFonts w:ascii="宋体" w:hAnsi="宋体"/>
                <w:kern w:val="0"/>
              </w:rPr>
              <w:t>以上行政村农村生活污水得到有效处理，农村自来水普及率达到</w:t>
            </w:r>
            <w:r>
              <w:rPr>
                <w:kern w:val="0"/>
              </w:rPr>
              <w:t>100%</w:t>
            </w:r>
            <w:r>
              <w:rPr>
                <w:rFonts w:ascii="宋体" w:hAnsi="宋体"/>
                <w:kern w:val="0"/>
              </w:rPr>
              <w:t>，建成</w:t>
            </w:r>
            <w:r>
              <w:rPr>
                <w:rFonts w:hint="eastAsia" w:ascii="宋体" w:hAnsi="宋体"/>
                <w:kern w:val="0"/>
              </w:rPr>
              <w:t>“</w:t>
            </w:r>
            <w:r>
              <w:rPr>
                <w:rFonts w:ascii="宋体" w:hAnsi="宋体"/>
                <w:kern w:val="0"/>
              </w:rPr>
              <w:t>美丽四川</w:t>
            </w:r>
            <w:r>
              <w:rPr>
                <w:kern w:val="0"/>
              </w:rPr>
              <w:t>·</w:t>
            </w:r>
            <w:r>
              <w:rPr>
                <w:rFonts w:ascii="宋体" w:hAnsi="宋体"/>
                <w:kern w:val="0"/>
              </w:rPr>
              <w:t>宜居乡村</w:t>
            </w:r>
            <w:r>
              <w:rPr>
                <w:rFonts w:hint="eastAsia" w:ascii="宋体" w:hAnsi="宋体"/>
                <w:kern w:val="0"/>
              </w:rPr>
              <w:t>”</w:t>
            </w:r>
            <w:r>
              <w:rPr>
                <w:rFonts w:ascii="宋体" w:hAnsi="宋体"/>
                <w:kern w:val="0"/>
              </w:rPr>
              <w:t>达标村不少于</w:t>
            </w:r>
            <w:r>
              <w:rPr>
                <w:kern w:val="0"/>
              </w:rPr>
              <w:t>70</w:t>
            </w:r>
            <w:r>
              <w:rPr>
                <w:rFonts w:ascii="宋体" w:hAnsi="宋体"/>
                <w:kern w:val="0"/>
              </w:rPr>
              <w:t>个，</w:t>
            </w:r>
            <w:r>
              <w:rPr>
                <w:rFonts w:hint="eastAsia" w:ascii="宋体" w:hAnsi="宋体"/>
                <w:kern w:val="0"/>
              </w:rPr>
              <w:t>“</w:t>
            </w:r>
            <w:r>
              <w:rPr>
                <w:rFonts w:ascii="宋体" w:hAnsi="宋体"/>
                <w:kern w:val="0"/>
              </w:rPr>
              <w:t>水美乡村</w:t>
            </w:r>
            <w:r>
              <w:rPr>
                <w:rFonts w:hint="eastAsia" w:ascii="宋体" w:hAnsi="宋体"/>
                <w:kern w:val="0"/>
              </w:rPr>
              <w:t>”</w:t>
            </w:r>
            <w:r>
              <w:rPr>
                <w:rFonts w:ascii="宋体" w:hAnsi="宋体"/>
                <w:kern w:val="0"/>
              </w:rPr>
              <w:t>不少于</w:t>
            </w:r>
            <w:r>
              <w:rPr>
                <w:kern w:val="0"/>
              </w:rPr>
              <w:t>10</w:t>
            </w:r>
            <w:r>
              <w:rPr>
                <w:rFonts w:ascii="宋体" w:hAnsi="宋体"/>
                <w:kern w:val="0"/>
              </w:rPr>
              <w:t>个</w:t>
            </w:r>
            <w:r>
              <w:rPr>
                <w:rFonts w:hint="eastAsia" w:ascii="宋体" w:hAnsi="宋体"/>
                <w:kern w:val="0"/>
              </w:rPr>
              <w:t>。</w:t>
            </w:r>
          </w:p>
          <w:p>
            <w:pPr>
              <w:spacing w:line="360" w:lineRule="auto"/>
              <w:ind w:firstLine="480" w:firstLineChars="200"/>
              <w:rPr>
                <w:rFonts w:cs="Times New Roman"/>
                <w:szCs w:val="24"/>
              </w:rPr>
            </w:pPr>
            <w:r>
              <w:rPr>
                <w:rFonts w:hint="eastAsia" w:ascii="宋体" w:hAnsi="宋体"/>
                <w:kern w:val="0"/>
              </w:rPr>
              <w:t>本项目为</w:t>
            </w:r>
            <w:r>
              <w:rPr>
                <w:rFonts w:ascii="宋体" w:hAnsi="宋体"/>
                <w:kern w:val="0"/>
              </w:rPr>
              <w:t>农村生活污水</w:t>
            </w:r>
            <w:r>
              <w:rPr>
                <w:rFonts w:hint="eastAsia" w:ascii="宋体" w:hAnsi="宋体"/>
                <w:kern w:val="0"/>
              </w:rPr>
              <w:t>收集治理项目，符合</w:t>
            </w:r>
            <w:r>
              <w:rPr>
                <w:rFonts w:ascii="宋体" w:hAnsi="宋体"/>
                <w:kern w:val="0"/>
              </w:rPr>
              <w:t>《峨边彝族自治县人居环境整治三年行动实施方案》</w:t>
            </w:r>
            <w:r>
              <w:rPr>
                <w:rFonts w:hint="eastAsia" w:ascii="宋体" w:hAnsi="宋体"/>
                <w:kern w:val="0"/>
              </w:rPr>
              <w:t>的相关要求。</w:t>
            </w:r>
          </w:p>
          <w:p>
            <w:pPr>
              <w:spacing w:line="360" w:lineRule="auto"/>
              <w:ind w:firstLine="482" w:firstLineChars="200"/>
              <w:rPr>
                <w:rFonts w:cs="Times New Roman"/>
                <w:b/>
                <w:szCs w:val="24"/>
              </w:rPr>
            </w:pPr>
            <w:r>
              <w:rPr>
                <w:rFonts w:cs="Times New Roman"/>
                <w:b/>
                <w:szCs w:val="24"/>
              </w:rPr>
              <w:t>（5）</w:t>
            </w:r>
            <w:r>
              <w:rPr>
                <w:rFonts w:hint="eastAsia" w:cs="Times New Roman"/>
                <w:b/>
                <w:szCs w:val="24"/>
              </w:rPr>
              <w:t>项目选址合理性分析</w:t>
            </w:r>
          </w:p>
          <w:p>
            <w:pPr>
              <w:spacing w:line="360" w:lineRule="auto"/>
              <w:ind w:firstLine="480" w:firstLineChars="200"/>
              <w:rPr>
                <w:rFonts w:cs="Times New Roman"/>
                <w:bCs/>
                <w:szCs w:val="24"/>
              </w:rPr>
            </w:pPr>
            <w:r>
              <w:rPr>
                <w:rFonts w:hint="eastAsia" w:cs="Times New Roman"/>
                <w:bCs/>
                <w:szCs w:val="24"/>
              </w:rPr>
              <w:t>项目分三个片区建设，其中老人民医院片区与经营所片区位于峨边彝族自治县城区内；马嘶溪火车站片区位于峨边彝族自治县马嘶溪村，项目所在区域内电力、电讯、给水、交通等基础配套设施较齐全。具体位置见附图</w:t>
            </w:r>
            <w:r>
              <w:rPr>
                <w:rFonts w:cs="Times New Roman"/>
                <w:bCs/>
                <w:szCs w:val="24"/>
              </w:rPr>
              <w:t>1。</w:t>
            </w:r>
          </w:p>
          <w:p>
            <w:pPr>
              <w:adjustRightInd w:val="0"/>
              <w:snapToGrid w:val="0"/>
              <w:spacing w:line="360" w:lineRule="auto"/>
              <w:ind w:firstLine="480"/>
              <w:rPr>
                <w:rFonts w:cs="Times New Roman"/>
                <w:bCs/>
                <w:szCs w:val="24"/>
              </w:rPr>
            </w:pPr>
            <w:r>
              <w:rPr>
                <w:rFonts w:hint="eastAsia" w:cs="Times New Roman"/>
                <w:bCs/>
                <w:szCs w:val="24"/>
              </w:rPr>
              <w:t>跟</w:t>
            </w:r>
            <w:r>
              <w:rPr>
                <w:rFonts w:cs="Times New Roman"/>
                <w:bCs/>
                <w:szCs w:val="24"/>
              </w:rPr>
              <w:t>据</w:t>
            </w:r>
            <w:r>
              <w:rPr>
                <w:rFonts w:hint="eastAsia" w:cs="Times New Roman"/>
                <w:bCs/>
                <w:szCs w:val="24"/>
              </w:rPr>
              <w:t>现场勘查，</w:t>
            </w:r>
            <w:r>
              <w:rPr>
                <w:rFonts w:cs="Times New Roman"/>
                <w:bCs/>
                <w:szCs w:val="24"/>
              </w:rPr>
              <w:t>本项目污水处理站站址高程为532.17m，马嘶溪火车站片区高程范围为534-548m，污水处理站站址高程低于周围居民，有利于污水通过重力自流进入污水处理站；临近道路，交通便利；邻近大渡河，便于处理后的尾水排放</w:t>
            </w:r>
            <w:r>
              <w:rPr>
                <w:rFonts w:hint="eastAsia" w:cs="Times New Roman"/>
                <w:bCs/>
                <w:szCs w:val="24"/>
              </w:rPr>
              <w:t>，污水处理站所在地大渡河岸边修建有围栏，故尾水排放口设于项目东北侧约7</w:t>
            </w:r>
            <w:r>
              <w:rPr>
                <w:rFonts w:cs="Times New Roman"/>
                <w:bCs/>
                <w:szCs w:val="24"/>
              </w:rPr>
              <w:t>00m</w:t>
            </w:r>
            <w:r>
              <w:rPr>
                <w:rFonts w:hint="eastAsia" w:cs="Times New Roman"/>
                <w:bCs/>
                <w:szCs w:val="24"/>
              </w:rPr>
              <w:t>处</w:t>
            </w:r>
            <w:r>
              <w:rPr>
                <w:rFonts w:cs="Times New Roman"/>
                <w:bCs/>
                <w:szCs w:val="24"/>
              </w:rPr>
              <w:t>；</w:t>
            </w:r>
            <w:r>
              <w:rPr>
                <w:rFonts w:hint="eastAsia"/>
              </w:rPr>
              <w:t>入河排污口下游5公里范围内无集中式饮用水源取水口；</w:t>
            </w:r>
            <w:r>
              <w:rPr>
                <w:rFonts w:cs="Times New Roman"/>
                <w:bCs/>
                <w:szCs w:val="24"/>
              </w:rPr>
              <w:t>周边不存在学校、医院等环境敏感点。</w:t>
            </w:r>
          </w:p>
          <w:p>
            <w:pPr>
              <w:spacing w:line="360" w:lineRule="auto"/>
              <w:ind w:firstLine="480" w:firstLineChars="200"/>
              <w:rPr>
                <w:rFonts w:cs="Times New Roman"/>
                <w:bCs/>
                <w:szCs w:val="24"/>
              </w:rPr>
            </w:pPr>
            <w:r>
              <w:rPr>
                <w:rFonts w:hint="eastAsia" w:cs="Times New Roman"/>
                <w:bCs/>
                <w:szCs w:val="24"/>
              </w:rPr>
              <w:t>综上所述，本项目选址合理。</w:t>
            </w:r>
          </w:p>
          <w:p>
            <w:pPr>
              <w:adjustRightInd w:val="0"/>
              <w:snapToGrid w:val="0"/>
              <w:spacing w:line="360" w:lineRule="auto"/>
              <w:ind w:firstLine="482" w:firstLineChars="200"/>
            </w:pPr>
            <w:r>
              <w:rPr>
                <w:rFonts w:cs="Times New Roman"/>
                <w:b/>
                <w:szCs w:val="24"/>
              </w:rPr>
              <w:t>（6）</w:t>
            </w:r>
            <w:r>
              <w:rPr>
                <w:rFonts w:hint="eastAsia" w:cs="Times New Roman"/>
                <w:b/>
                <w:szCs w:val="24"/>
              </w:rPr>
              <w:t>外环境相容性分析</w:t>
            </w:r>
          </w:p>
          <w:p>
            <w:pPr>
              <w:adjustRightInd w:val="0"/>
              <w:snapToGrid w:val="0"/>
              <w:spacing w:line="360" w:lineRule="auto"/>
              <w:ind w:firstLine="480"/>
              <w:rPr>
                <w:rFonts w:cs="Times New Roman"/>
                <w:bCs/>
                <w:szCs w:val="24"/>
              </w:rPr>
            </w:pPr>
            <w:r>
              <w:rPr>
                <w:rFonts w:hint="eastAsia"/>
              </w:rPr>
              <w:t>项目</w:t>
            </w:r>
            <w:r>
              <w:rPr>
                <w:rFonts w:hint="eastAsia" w:cs="Times New Roman"/>
                <w:szCs w:val="24"/>
              </w:rPr>
              <w:t>管网建设</w:t>
            </w:r>
            <w:r>
              <w:rPr>
                <w:rFonts w:hint="eastAsia"/>
              </w:rPr>
              <w:t>沿道路敷设，道路两侧为居民，方便接收居民生活污水，管网工程施工期短，其环境影响随着施工期的结束而消亡。</w:t>
            </w:r>
            <w:r>
              <w:rPr>
                <w:rFonts w:cs="Times New Roman"/>
                <w:bCs/>
                <w:szCs w:val="24"/>
              </w:rPr>
              <w:t>本项目污水处理站</w:t>
            </w:r>
            <w:r>
              <w:rPr>
                <w:rFonts w:hint="eastAsia" w:cs="Times New Roman"/>
                <w:bCs/>
                <w:szCs w:val="24"/>
              </w:rPr>
              <w:t>位于</w:t>
            </w:r>
            <w:r>
              <w:rPr>
                <w:rFonts w:cs="Times New Roman"/>
                <w:szCs w:val="24"/>
              </w:rPr>
              <w:t>峨边彝族自治县马嘶溪村</w:t>
            </w:r>
            <w:r>
              <w:rPr>
                <w:rFonts w:hint="eastAsia" w:cs="Times New Roman"/>
                <w:szCs w:val="24"/>
              </w:rPr>
              <w:t>西侧</w:t>
            </w:r>
            <w:r>
              <w:rPr>
                <w:rFonts w:cs="Times New Roman"/>
                <w:bCs/>
                <w:szCs w:val="24"/>
              </w:rPr>
              <w:t>，</w:t>
            </w:r>
            <w:r>
              <w:rPr>
                <w:rFonts w:hint="eastAsia" w:cs="Times New Roman"/>
                <w:bCs/>
                <w:szCs w:val="24"/>
              </w:rPr>
              <w:t>下风向为大渡河，恶臭对附近村民影响小</w:t>
            </w:r>
            <w:r>
              <w:rPr>
                <w:rFonts w:cs="Times New Roman"/>
                <w:bCs/>
                <w:szCs w:val="24"/>
              </w:rPr>
              <w:t>。</w:t>
            </w:r>
          </w:p>
          <w:p>
            <w:pPr>
              <w:adjustRightInd w:val="0"/>
              <w:snapToGrid w:val="0"/>
              <w:spacing w:line="360" w:lineRule="auto"/>
              <w:ind w:firstLine="480"/>
              <w:rPr>
                <w:rFonts w:cs="Times New Roman"/>
                <w:bCs/>
                <w:szCs w:val="24"/>
              </w:rPr>
            </w:pPr>
            <w:r>
              <w:rPr>
                <w:rFonts w:hint="eastAsia"/>
                <w:bCs/>
              </w:rPr>
              <w:t>综上，项目外环境相容性较好</w:t>
            </w:r>
            <w:r>
              <w:rPr>
                <w:rFonts w:cs="Times New Roman"/>
                <w:bCs/>
                <w:szCs w:val="24"/>
              </w:rPr>
              <w:t>。</w:t>
            </w:r>
          </w:p>
          <w:p>
            <w:pPr>
              <w:adjustRightInd w:val="0"/>
              <w:snapToGrid w:val="0"/>
              <w:spacing w:line="360" w:lineRule="auto"/>
              <w:ind w:firstLine="482" w:firstLineChars="200"/>
            </w:pPr>
            <w:r>
              <w:rPr>
                <w:rFonts w:cs="Times New Roman"/>
                <w:b/>
                <w:szCs w:val="24"/>
              </w:rPr>
              <w:t>（7）“三线一单”符合性分析</w:t>
            </w:r>
          </w:p>
          <w:p>
            <w:pPr>
              <w:adjustRightInd w:val="0"/>
              <w:snapToGrid w:val="0"/>
              <w:spacing w:line="360" w:lineRule="auto"/>
              <w:ind w:firstLine="480"/>
            </w:pPr>
            <w:r>
              <w:rPr>
                <w:rFonts w:cs="Times New Roman"/>
              </w:rPr>
              <w:t>1）生态保护红线</w:t>
            </w:r>
          </w:p>
          <w:p>
            <w:pPr>
              <w:adjustRightInd w:val="0"/>
              <w:snapToGrid w:val="0"/>
              <w:spacing w:line="360" w:lineRule="auto"/>
              <w:ind w:firstLine="480"/>
            </w:pPr>
            <w:r>
              <w:rPr>
                <w:rFonts w:cs="Times New Roman"/>
              </w:rPr>
              <w:t>根据《四川省人民政府关于印发四川省生态保护红线方案的通知》（川府发[2018]24号）：</w:t>
            </w:r>
          </w:p>
          <w:p>
            <w:pPr>
              <w:adjustRightInd w:val="0"/>
              <w:snapToGrid w:val="0"/>
              <w:spacing w:line="360" w:lineRule="auto"/>
              <w:ind w:firstLine="480" w:firstLineChars="200"/>
              <w:rPr>
                <w:rFonts w:eastAsia="Arial"/>
                <w:shd w:val="clear" w:color="auto" w:fill="FFFFFF"/>
              </w:rPr>
            </w:pPr>
            <w:r>
              <w:rPr>
                <w:rFonts w:eastAsia="Arial" w:cs="Times New Roman"/>
                <w:szCs w:val="24"/>
                <w:shd w:val="clear" w:color="auto" w:fill="FFFFFF"/>
              </w:rPr>
              <w:t>四川省生态功能重要性和生态环境敏感性科学评估结果表明，全省水源涵养极重要区、水土保持极重要区、生物多样性维护极重要区面积分别为10.56万平方公里、6.77万平方公里、10.83万平方公里，水土流失极敏感区、土地沙化极敏感区、石漠化极敏感区面积分别为5.28万平方公里、2.31万平方公里、0.74万平方公里。叠加后（去除重叠部分）总面积为16.23万平方公里，占全省幅员面积的33.38%</w:t>
            </w:r>
          </w:p>
          <w:p>
            <w:pPr>
              <w:pStyle w:val="27"/>
              <w:shd w:val="clear" w:color="auto" w:fill="FFFFFF"/>
              <w:adjustRightInd w:val="0"/>
              <w:snapToGrid w:val="0"/>
              <w:spacing w:before="0" w:beforeAutospacing="0" w:after="0" w:afterAutospacing="0" w:line="360" w:lineRule="auto"/>
              <w:ind w:firstLine="480" w:firstLineChars="200"/>
              <w:rPr>
                <w:rFonts w:ascii="宋体" w:hAnsi="宋体" w:cs="宋体"/>
              </w:rPr>
            </w:pPr>
            <w:r>
              <w:rPr>
                <w:rFonts w:ascii="Times New Roman" w:hAnsi="Times New Roman" w:eastAsia="Arial" w:cs="Times New Roman"/>
                <w:szCs w:val="24"/>
                <w:shd w:val="clear" w:color="auto" w:fill="FFFFFF"/>
              </w:rPr>
              <w:t>生态保护红线类型分布</w:t>
            </w:r>
            <w:r>
              <w:rPr>
                <w:rFonts w:hint="eastAsia" w:ascii="宋体" w:hAnsi="宋体" w:cs="宋体"/>
                <w:szCs w:val="24"/>
                <w:shd w:val="clear" w:color="auto" w:fill="FFFFFF"/>
              </w:rPr>
              <w:t>：</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1．雅砻江源水源涵养生态保护红线。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省西北部边缘，其中石渠县北部黄河流域区属于三江源水源涵养与生物多样性保护重要区，其余区域属于川西北水源涵养与生物多样性保护重要区。行政区涉及甘孜州甘孜县、德格县、石渠县、色达县，总面积2.23万平方公里，占生态保护红线总面积的15.06%，占全省幅员面积的4.58%。</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除石渠县北部、色达县东部分属黄河流域和大渡河流域外，该区大部分属于雅砻江流域，是雅砻江的主要发源地和重要水源补给区，具有极重要的水源涵养功能。区域生态系统类型有高原湖泊、高寒湿地、高原及高山灌丛草甸等，代表性物种有白唇鹿、藏野驴、雪豹、野牦牛、黑颈鹤等。</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重要保护地：本区域分布有1个国家级自然保护区、2个省级自然保护区、8个省级湿地公园的部分或全部区域。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保护重点：保护高原原生灌丛、草甸、湿地等自然生态系统，特别是保护高寒湿地生态系统和河流水生生态系统，维护水源涵养功能，加强草地沙化和鼠虫害防治，控制草场载畜量。</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2．大渡河源水源涵养生态保护红线。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省西北部，属于川西北水源涵养与生物多样性保护重要区，行政区涉及马尔康市、金川县、壤塘县、阿坝县、红原县、道孚县，总面积1.27万平方公里，占生态保护红线总面积的8.60%，占全省幅员面积的2.62%。</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主要河流有脚木足河、梭磨河、绰斯甲河、大金川等，是大渡河发源地的重要组成部分，具有极重要的水源涵养功能。区域生态系统类型有森林、高山草甸、高原湖泊、沼泽湿地等，植被以高山草甸、亚高山草甸、高山灌丛及亚高山针叶林等为主，代表性物种有云杉、冷杉岷江柏、红豆杉、白唇鹿、黑颈鹤、猕猴等。</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重要保护地：本区域分布有1个国家级自然保护区、1个省级自然保护区、2个省级湿地公园、2处饮用水水源保护区的部分或全部区域。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保护森林、高山草甸以及湿地、河流生态系统和川陕哲罗鲑等珍稀特有鱼类重要栖息地，维护水源涵养功能；加强大渡河峡谷地区地质灾害防治和水土流失治理；加强区域北部草地沙化和草原鼠虫害防治。</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3．若尔盖湿地水源涵养—生物多样性维护生态保护红线。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地理分布：该区位于四川省北部，属于川西北水源涵养与生物多样性保护重要区，行政区涉及阿坝县、若尔盖县、红原县，总面积0.83万平方公里，占生态保护红线总面积的5.62%，占全省幅员面积的1.71%。</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河流主要有黄河上游一级支流黑河、白河和贾曲，是黄河上游重要水源补给区，具有极重要的水源涵养功能。区域生态系统类型主要为高原湖泊、沼泽湿地和草甸生态系统，植被以沼泽植被以及高寒草甸、草甸植被和灌丛植被为主，代表性物种有紫果云杉、大熊猫、四川梅花鹿、黑颈鹤、白唇鹿等。</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重要保护地：本区域分布有1个国家级自然保护区、1个省级自然保护区、1个国家湿地公园、1个国家级水产种质资源保护区的部分或全部区域。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保护重点：保护天然草地和沼泽湿地，维护水源涵养和生物多样性保护功能；加强草地沙化和鼠虫害防治，控制草场载畜量；严禁沼泽湿地疏干改造，严禁侵占湿地开发草场。</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4．沙鲁里山生物多样性维护生态保护红线。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省西部边缘，属于川西北水源涵养与生物多样性保护重要区，行政区涉及新龙县、白玉县、理塘县、巴塘县、乡城县、稻城县、得荣县，总面积3.00万平方公里，占生态保护红线总面积的20.27%，占全省幅员面积的6.17%。</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生态功能：区内河流属金沙江水系，植被以高山高原草甸、高山灌丛及亚高山针叶林为主，代表性物种有白唇鹿、矮岩羊、金雕、雪豹、黑熊、藏马鸡等，生物多样性保护极为重要。</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重要保护地：本区域分布有3个国家级自然保护区、4个省级自然保护区、2个省级风景名胜区、2个省级湿地公园、2个省级地质公园的部分或全部区域。</w:t>
            </w:r>
          </w:p>
          <w:p>
            <w:pPr>
              <w:pStyle w:val="27"/>
              <w:shd w:val="clear" w:color="auto" w:fill="FFFFFF"/>
              <w:adjustRightInd w:val="0"/>
              <w:snapToGrid w:val="0"/>
              <w:spacing w:before="0" w:beforeAutospacing="0" w:after="0" w:afterAutospacing="0" w:line="360" w:lineRule="auto"/>
              <w:rPr>
                <w:rFonts w:eastAsia="Arial"/>
              </w:rPr>
            </w:pPr>
            <w:r>
              <w:rPr>
                <w:rFonts w:ascii="Times New Roman" w:hAnsi="Times New Roman" w:eastAsia="Arial" w:cs="Times New Roman"/>
                <w:szCs w:val="24"/>
                <w:shd w:val="clear" w:color="auto" w:fill="FFFFFF"/>
              </w:rPr>
              <w:t>保护重点：保护森林、高寒湿地生态系统和野生动植物及其生境，保护冰川，维护生物多样性功能；加强草地植被保护，防止草场退化、沙化。</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5．大雪山生物多样性维护—水土保持生态保护红线。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省西部，属于川西北水源涵养与生物多样性保护重要区，行政区涉及康定市、泸定县、丹巴县、雅江县、道孚县、炉霍县，总面积1.47万平方公里，占生态保护红线总面积的9.90%，占全省幅员面积的3.02%。</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河流分属大渡河、雅砻江水系，植被类型以亚高山针叶林为主，生态系统涉及森林、高寒湿地、草甸等，代表性物种有冷杉、云杉、四川雉鹑、绿尾虹雉、大紫胸鹦鹉、黑颈鹤、白唇鹿、雪豹、玉带海雕、金丝猴、牛羚等，是生物多样性保护的重要区域。该区沿大渡河、雅砻江流域分布干旱河谷和高山峡谷区，泥石流滑坡强烈发育，呈现土壤侵蚀敏感性高的特点，也是土壤保持的重要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重要保护地：本区域分布有2个国家级自然保护区、7个省级自然保护区、1个国家级风景名胜区、1个国家地质公园、1个省级湿地公园、1处世界自然遗产地、1处饮用水水源保护区的部分或全部区域。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保护重点：加强森林植被及森林生态系统保护，保护湿地和珍稀野生动植物及其生境，维护生态功能；加强干旱河谷和高山峡谷区地质灾害综合整治，防治水土流失。</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6．岷山生物多样性维护—水源涵养生态保护红线。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盆地西北部边缘，是川西高原向四川盆地过渡地带，属于岷山—邛崃山—凉山生物多样性保护与水源涵养重要区，行政区涉及都江堰市、彭州市、什邡市、绵竹市、绵阳市安州区、北川羌族自治县、平武县、江油市、青川县、剑阁县、汶川县、理县、茂县、松潘县、九寨沟县、黑水县、若尔盖县，总面积2.23万平方公里，占生态保护红线总面积的15.03%，占全省幅员面积的4.58%。</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该区河流分属嘉陵江、涪江、岷江水系，是白龙江、岷江和涪江等多条河流的重要水源涵养地。区内植被以常绿阔叶林、常绿与落叶阔叶混交林和亚高山常绿针叶林为主，代表性物种有珙桐、红豆杉、岷江柏、大熊猫、川金丝猴、扭角羚、林麝、马麝、梅花鹿等，是我国乃至世界生物多样性保护重要区域，具有极其重要的生物多样性保护功能。</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是大熊猫栖息地核心分布区。区域内分布有10个国家级自然保护区、17个省级自然保护区、5个国家级风景名胜区、12个省级风景名胜区、7个国家地质公园、2个省级地质公园、3处世界自然遗产地、1处饮用水水源保护区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保护自然生态系统和大熊猫、川金丝猴等重要物种及其栖息地，维护生物多样性保护和水源涵养功能；加强自然保护区规范化建设和管理；加强地震灾区受损生态系统的恢复和修复；加强地质灾害防治和水土流失治理。</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7．邛崃山生物多样性维护生态保护红线。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盆地西部，是“华西雨屏”的中心地带，属于岷山—邛崃山—凉山生物多样性保护与水源涵养重要区，行政区涉及大邑县、邛崃市、崇州市、天全县、芦山县、宝兴县、小金县，总面积0.63万平方公里，占生态保护红线总面积的4.26%，占全省幅员面积的1.30%。</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河流主要为青衣江水系，森林植被以常绿阔叶林、常绿与落叶阔叶混交林和亚高山常绿针叶林为主，区内原始森林以及野生珍稀动植物资源十分丰富，是大熊猫、川金丝猴、扭角羚等珍稀野生动物的栖息地，是我国生物多样性保护的热点地区和重要区域之一，生物多样性保护功能极其重要。</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是大熊猫栖息地核心分布区。区域内分布有2个国家级自然保护区、4个省级自然保护区、3个国家级风景名胜区、3个省级风景名胜区、1个省级湿地公园、1个国家地质公园、1个省级地质公园、1处世界自然遗产地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保护自然生态系统和大熊猫等重要物种及其栖息地，加强低效林改造和迹地修复，加强生态廊道建设，维护生物多样性保护功能；加强自然保护区和物种保护区建设；加强地质灾害防治和水土流失治理。</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8．凉山—相岭生物多样性维护—水土保持生态保护红线。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省南部，属于岷山—邛崃山—凉山生物多样性保护与水源涵养重要区，行政区涉及米易县、乐山市沙湾区、乐山市金口河区、沐川县、峨边彝族自治县、马边彝族自治县、峨眉山市、洪雅县、宜宾县、屏山县、荥经县、汉源县、石棉县、西昌市、德昌县、普格县、昭觉县、喜德县、冕宁县、越西县、甘洛县、美姑县，总面积1.10万平方公里，占生态保护红线总面积的7.40%，占全省幅员面积的2.25%。</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河流分属大渡河、金沙江水系，森林类型以常绿阔叶林、常绿与落叶阔叶混交林和亚高山针叶林为主，代表性物种有红豆杉、连香树、大熊猫、四川山鹧鸪、扭角羚、白腹锦鸡、白鹇、红腹角雉等，生物多样性保护极其重要。该区地貌以中高山峡谷为主，山高坡陡，泥石流滑坡强烈发育，土壤侵蚀敏感性程度高，是土壤保持重要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是大熊猫栖息地核心分布区。区域内分布有6个国家级自然保护区、9个省级自然保护区、2个国家级风景名胜区、5个省级风景名胜区、1个国家地质公园、3个省级地质公园、2个国家湿地公园、1个省级湿地公园、1处世界文化与自然遗产地、2处饮用水水源保护区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保护重点：保护自然生态系统和大熊猫等野生动物及其生境，防治紫茎泽兰等外来有害生物入侵，维护生物多样性保护功能；加强自然保护区建设与管护，加强生态廊道建设；治理水土流失，防治地质灾害。</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9．锦屏山水源涵养—水土保持生态保护红线。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省西南部边缘，属于岷山—邛崃山—凉山生物多样性保护与水源涵养重要区，行政区涉及木里藏族自治县、盐源县、冕宁县、九龙县，总面积1.09万平方公里，占生态保护红线总面积的7.34%，占全省幅员面积的2.24%。</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自然生态系统以森林生态系统为主，其次为草地生态系统，河流有雅砻江及其重要支流九龙河、盐源河等，是雅砻江水系重要的水源涵养区和金沙江重要水源补给区，水源涵养功能极为重要。该区土壤侵蚀敏感性较高，特别是北部的九龙及木里部分区域，土壤侵蚀极敏感，是我省土壤保持重要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重要保护地：本区域分布有1个国家级自然保护区、2个省级自然保护区、1个国家级风景名胜区、1个省级风景名胜区、1个省级水产种质资源保护区的部分或全部区域。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保护重点：保护森林及草原植被，维护森林等自然生态系统的水源涵养；加强高山峡谷区地质灾害防治和水土流失治理；加强雅砻江及其支流水生生态系统保护。</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10．金沙江下游干热河谷水土流失敏感生态保护红线。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川西南山地南部，属于川滇干热河谷土壤保持重要区，行政区涉及攀枝花市东区、攀枝花市西区、攀枝花市仁和区、盐边县、会理县、会东县、宁南县、布拖县、金阳县、雷波县，总面积0.40万平方公里，占生态保护红线总面积的2.73%，占全省幅员面积的0.83%。</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地貌以中山峡谷为主，受山地地形和干热气候影响，区域生态脆弱，水土流失敏感性高，是我省乃至全国水土保持极重要区域。植被类型以亚热带松栎混交林和暖温带阔叶栎林为主，代表性物种有攀枝花苏铁、大熊猫、四川山鹧鸪、黑颈鹤、林麝等。</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重要保护地：本区域分布有1个国家级自然保护区、3个省级自然保护区、1个省级风景名胜区、1个省级湿地公园、1个省级地质公园、5处饮用水水源保护区的部分或全部区域。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保护重点：保护现有植被；加强退化生态区的自然恢复和生态修复；加强干热河谷区地质灾害防治和水土流失治理；加强金沙江及其支流水生生态系统保护。</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11．大巴山生物多样性维护—水源涵养生态保护红线。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盆地北部边缘，属于秦岭—大巴山生物多样性保护与水源涵养重要区，行政区涉及广元市利州区、广元市朝天区、旺苍县、宣汉县、万源市、通江县、南江县，总面积0.36万平方公里，占生态保护红线总面积的2.46%，占全省幅员面积的0.75%。</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区内森林资源丰富，森林植被空间垂直地带性分布特征明显，生态系统类型有常绿阔叶林、针阔混交林和亚高山常绿针叶林，代表性物种有巴山水青冈、红豆杉、大鲵、猕猴、林麝等国家重点保护珍稀动植物，是我国乃至东南亚地区暖温带与北亚热带地区生物多样性最丰富的地区之一。该区还是嘉陵江、渠江和汉江流域的上游源区，是四川盆地水资源的重要补给区，水源涵养功能十分重要。</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3个国家级自然保护区、8个省级自然保护区、4个国家级风景名胜区、3个省级风景名胜区、2个国家地质公园、1个省级地质公园、3个国家级水产种质资源保护区、3处饮用水水源保护区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保护重点：保护森林生态系统、野生动植物及其栖息地，维护生物多样性保护和水源涵养功能；加强已有自然保护区管理和能力建设；加强退化生态系统恢复、地质灾害防治和水土流失治理。</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12．川东南石漠化敏感生态保护红线。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盆地东南部，包括与重庆交界的平行岭谷地区和与云南、贵州交界的四川盆地中部低山丘陵的过渡地带，水热条件良好，生物资源较丰富，其赤水河流域属于大娄山区水源涵养与生物多样性保护重要区。行政区涉及合江县、叙永县、古蔺县、广安市前锋区、邻水县、华蓥市、大竹县，总面积0.11万平方公里，占生态保护红线总面积的0.77%，占全省幅员面积的0.24%。</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生态功能：该区岩溶地貌发育，局部石漠化严重。区内植被以常绿阔叶林为主，生物多样性较丰富，有桫椤、川南金花茶等珍稀植物，达氏鲟、胭脂鱼等国家重点保护鱼类以及豹、林麝等国家重点保护野生动物。</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3个国家级自然保护区、1个省级自然保护区、2个国家级风景名胜区、7个省级风景名胜区、1个世界地质公园、1个国家地质公园、6个省级湿地公园、1个国家级水产种质资源保护区、3处饮用水水源保护区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以保护亚热带原始常绿阔叶林生态系统和竹类生态系统为重点，加强森林植被、珍稀野生动植物及其栖息地保护；保护赤水河水生态系统，维护长江上游鱼类种群多样性；加强自然保护区管理；防止喀斯特地貌区石漠化。</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13．盆中城市饮用水源—水土保持生态保护红线。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地理分布：该区位于四川省东部成都平原及盆地丘陵区，行政区涉及成都市、自贡市、德阳市、绵阳市、广元市、遂宁市、内江市、乐山市、南充市、眉山市、广安市、达州市、巴中市、资阳市，总面积0.08万平方公里，占生态保护红线总面积的0.54%，占全省幅员面积的0.17%。</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生态功能：四川盆地区是成渝经济区的重要组成部分，是成渝城市群核心区域，人口密集，经济发展，城镇化率大于50%，该区主体功能区定位为重点开发区域和农产品主产区，其主导功能为人居保障和农林产品提供，该区的生态保护红线主要以保障城市饮水安全的饮用水水源保护区为主，还有零散分布于四川盆地及成都平原区自然保护区、风景名胜区、湿地公园、地质公园等各类生态保护重要区域，它们在维护区域水土保持功能方面发挥着重要作用。</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重要保护地：本区域分布有32处饮用水水源保护区、6个省级自然保护区、3个国家级风景名胜区、10个省级风景名胜区、1个世界地质公园、5个国家地质公园、1个省级地质公园、2个国家湿地公园、4个省级湿地公园、14个国家级水产种质资源保护区、1个省级水产种质资源保护区、1处世界文化与自然遗产地的部分或全部区域。</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保护重点：严格按照现有相关法律法规对禁止开发区域的管理要求，对生态保护红线实施严格保护，严格控制人为因素对区内自然生态的干扰。</w:t>
            </w:r>
          </w:p>
          <w:p>
            <w:pPr>
              <w:pStyle w:val="27"/>
              <w:shd w:val="clear" w:color="auto" w:fill="FFFFFF"/>
              <w:adjustRightInd w:val="0"/>
              <w:snapToGrid w:val="0"/>
              <w:spacing w:before="0" w:beforeAutospacing="0" w:after="0" w:afterAutospacing="0" w:line="360" w:lineRule="auto"/>
              <w:ind w:firstLine="480" w:firstLineChars="200"/>
              <w:rPr>
                <w:rFonts w:ascii="宋体" w:hAnsi="宋体" w:cs="宋体"/>
              </w:rPr>
            </w:pPr>
            <w:r>
              <w:rPr>
                <w:rFonts w:ascii="Times New Roman" w:hAnsi="Times New Roman" w:eastAsia="Arial" w:cs="Times New Roman"/>
                <w:szCs w:val="24"/>
                <w:shd w:val="clear" w:color="auto" w:fill="FFFFFF"/>
              </w:rPr>
              <w:t>重点区域划定情况</w:t>
            </w:r>
            <w:r>
              <w:rPr>
                <w:rFonts w:hint="eastAsia" w:ascii="宋体" w:hAnsi="宋体" w:cs="宋体"/>
                <w:szCs w:val="24"/>
                <w:shd w:val="clear" w:color="auto" w:fill="FFFFFF"/>
              </w:rPr>
              <w:t>：</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1．若尔盖草原湿地生态功能区。</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该区为国家层面的重点生态功能区，属于川西北水源涵养与生物多样性保护重要区，行政区涉及阿坝县、若尔盖县、红原县。该区生态保护红线总面积1.39万平方公里，占该区幅员面积的48.44%，占全省生态保护红线总面积的9.40%。生态保护红线类型以水源涵养为主，分属于若尔盖湿地水源涵养—生物多样性维护生态保护红线和大渡河源水源涵养生态保护红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2．川滇森林及生物多样性生态功能区。</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该区为国家层面的重点生态功能区，分属于川西北水源涵养与生物多样性保护重要区、三江源水源涵养与生物多样性保护重要区和岷山—邛崃山—凉山生物多样性保护与水源涵养重要区。该区生态保护红线总面积10.96万平方公里，占该区幅员面积的45.65%，占全省生态保护红线总面积的74.04%。生态保护红线类型以水源涵养和生物多样性维护为主，具体包括雅砻江源水源涵养生态保护红线的甘孜县、德格县、石渠县和色达县；大渡河源水源涵养生态保护红线的马尔康市、金川县和壤塘县；沙鲁里山生物多样性维护生态保护红线的新龙县、白玉县、理塘县、巴塘县、乡城县、稻城县和得荣县；大雪山生物多样性维护—水土保持生态保护红线的康定市、泸定县、丹巴县、雅江县、道孚县和炉霍县；岷山生物多样性维护—水源涵养生态保护红线的北川羌族自治县、平武县、汶川县、理县、茂县、松潘县、九寨沟县和黑水县；邛崃山生物多样性维护生态保护红线的天全县、宝兴县和小金县；锦屏山水源涵养—水土保持生态保护红线的九龙县、木里藏族自治县和盐源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3．秦巴生物多样性生态功能区。</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该区为国家层面的重点生态功能区，属于秦岭—大巴山生物多样性保护与水源涵养重要区。该区生态保护红线总面积0.48万平方公里，占该区幅员面积的26.96%，占全省生态保护红线总面积的3.24%。生态保护红线类型以生物多样性维护为主，具体包括大巴山生物多样性维护—水源涵养生态保护红线的旺苍县、万源市、通江县和南江县；岷山生物多样性维护—水源涵养生态保护红线的青川县。</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4．大小凉山水土保持及生物多样性生态功能区。</w:t>
            </w:r>
          </w:p>
          <w:p>
            <w:pPr>
              <w:pStyle w:val="27"/>
              <w:shd w:val="clear" w:color="auto" w:fill="FFFFFF"/>
              <w:adjustRightInd w:val="0"/>
              <w:snapToGrid w:val="0"/>
              <w:spacing w:before="0" w:beforeAutospacing="0" w:after="0" w:afterAutospacing="0" w:line="360" w:lineRule="auto"/>
              <w:ind w:firstLine="480" w:firstLineChars="200"/>
              <w:rPr>
                <w:rFonts w:eastAsia="Arial"/>
              </w:rPr>
            </w:pPr>
            <w:r>
              <w:rPr>
                <w:rFonts w:ascii="Times New Roman" w:hAnsi="Times New Roman" w:eastAsia="Arial" w:cs="Times New Roman"/>
                <w:szCs w:val="24"/>
                <w:shd w:val="clear" w:color="auto" w:fill="FFFFFF"/>
              </w:rPr>
              <w:t>该区为省级层面的重点生态功能区，属于岷山—邛崃山—凉山生物多样性保护与水源涵养重要区。该区生态保护红线总面积0.95万平方公里，占该区幅员面积的29.80%，占全省生态保护红线总面积的6.40%。生态保护红线类型为生物多样性维护和水土流失敏感，具体包括凉山—相岭生物多样性维护—水土保持生态保护红线的沐川县、峨边彝族自治县、马边彝族自治县、石棉县、普格县、昭觉县、喜德县、越西县、甘洛县和美姑县；金沙江下游干热河谷水土流失敏感生态保护红线的宁南县、布拖县、金阳县和雷波县。</w:t>
            </w:r>
          </w:p>
          <w:p>
            <w:pPr>
              <w:adjustRightInd w:val="0"/>
              <w:snapToGrid w:val="0"/>
              <w:spacing w:line="360" w:lineRule="auto"/>
              <w:ind w:firstLine="480" w:firstLineChars="200"/>
              <w:rPr>
                <w:rFonts w:cs="Times New Roman"/>
                <w:bCs/>
                <w:szCs w:val="24"/>
              </w:rPr>
            </w:pPr>
            <w:r>
              <w:rPr>
                <w:rFonts w:hint="eastAsia" w:cs="Times New Roman"/>
                <w:bCs/>
                <w:szCs w:val="24"/>
              </w:rPr>
              <w:t>查峨边彝族自治县生态红线图可知</w:t>
            </w:r>
            <w:r>
              <w:rPr>
                <w:rFonts w:cs="Times New Roman"/>
                <w:bCs/>
                <w:szCs w:val="24"/>
              </w:rPr>
              <w:t>，本项目</w:t>
            </w:r>
            <w:r>
              <w:rPr>
                <w:rFonts w:hint="eastAsia" w:cs="Times New Roman"/>
                <w:bCs/>
                <w:szCs w:val="24"/>
              </w:rPr>
              <w:t>老人民医院片区与经营所片区位于峨边彝族自治县城区内；马嘶溪火车站片区位于</w:t>
            </w:r>
            <w:bookmarkStart w:id="2" w:name="_Hlk55573098"/>
            <w:r>
              <w:rPr>
                <w:rFonts w:hint="eastAsia" w:cs="Times New Roman"/>
                <w:bCs/>
                <w:szCs w:val="24"/>
              </w:rPr>
              <w:t>峨边彝族自治县</w:t>
            </w:r>
            <w:bookmarkEnd w:id="2"/>
            <w:r>
              <w:rPr>
                <w:rFonts w:hint="eastAsia" w:cs="Times New Roman"/>
                <w:bCs/>
                <w:szCs w:val="24"/>
              </w:rPr>
              <w:t>马嘶溪村</w:t>
            </w:r>
            <w:r>
              <w:rPr>
                <w:rFonts w:cs="Times New Roman"/>
                <w:bCs/>
                <w:szCs w:val="24"/>
              </w:rPr>
              <w:t>，</w:t>
            </w:r>
            <w:r>
              <w:rPr>
                <w:rFonts w:hint="eastAsia" w:cs="Times New Roman"/>
                <w:bCs/>
                <w:szCs w:val="24"/>
              </w:rPr>
              <w:t>均</w:t>
            </w:r>
            <w:r>
              <w:rPr>
                <w:rFonts w:cs="Times New Roman"/>
                <w:bCs/>
                <w:szCs w:val="24"/>
              </w:rPr>
              <w:t>不在</w:t>
            </w:r>
            <w:r>
              <w:rPr>
                <w:rFonts w:hint="eastAsia" w:cs="Times New Roman"/>
                <w:bCs/>
                <w:szCs w:val="24"/>
              </w:rPr>
              <w:t>峨边彝族自治县</w:t>
            </w:r>
            <w:r>
              <w:rPr>
                <w:rFonts w:cs="Times New Roman"/>
                <w:bCs/>
                <w:szCs w:val="24"/>
              </w:rPr>
              <w:t>生态保护红线区内。</w:t>
            </w:r>
          </w:p>
          <w:p>
            <w:pPr>
              <w:adjustRightInd w:val="0"/>
              <w:snapToGrid w:val="0"/>
              <w:spacing w:line="360" w:lineRule="auto"/>
              <w:ind w:firstLine="480"/>
              <w:rPr>
                <w:rFonts w:cs="Times New Roman"/>
                <w:bCs/>
                <w:szCs w:val="24"/>
              </w:rPr>
            </w:pPr>
          </w:p>
          <w:p>
            <w:pPr>
              <w:adjustRightInd w:val="0"/>
              <w:snapToGrid w:val="0"/>
              <w:spacing w:line="360" w:lineRule="auto"/>
              <w:ind w:firstLine="480"/>
              <w:rPr>
                <w:rFonts w:cs="Times New Roman"/>
                <w:bCs/>
                <w:szCs w:val="24"/>
              </w:rPr>
            </w:pPr>
          </w:p>
          <w:p>
            <w:pPr>
              <w:adjustRightInd w:val="0"/>
              <w:snapToGrid w:val="0"/>
              <w:spacing w:line="360" w:lineRule="auto"/>
              <w:ind w:firstLine="480"/>
              <w:rPr>
                <w:rFonts w:cs="Times New Roman"/>
                <w:bCs/>
                <w:szCs w:val="24"/>
              </w:rPr>
            </w:pPr>
          </w:p>
          <w:p>
            <w:pPr>
              <w:adjustRightInd w:val="0"/>
              <w:snapToGrid w:val="0"/>
              <w:spacing w:line="360" w:lineRule="auto"/>
              <w:ind w:firstLine="480"/>
              <w:rPr>
                <w:rFonts w:cs="Times New Roman"/>
                <w:bCs/>
                <w:szCs w:val="24"/>
              </w:rPr>
            </w:pPr>
          </w:p>
          <w:p>
            <w:pPr>
              <w:adjustRightInd w:val="0"/>
              <w:snapToGrid w:val="0"/>
              <w:spacing w:line="360" w:lineRule="auto"/>
              <w:ind w:firstLine="480"/>
              <w:rPr>
                <w:rFonts w:cs="Times New Roman"/>
                <w:bCs/>
                <w:szCs w:val="24"/>
              </w:rPr>
            </w:pPr>
          </w:p>
          <w:p>
            <w:pPr>
              <w:adjustRightInd w:val="0"/>
              <w:snapToGrid w:val="0"/>
              <w:spacing w:line="360" w:lineRule="auto"/>
              <w:ind w:firstLine="480"/>
              <w:jc w:val="center"/>
              <w:rPr>
                <w:rFonts w:cs="Times New Roman"/>
                <w:bCs/>
                <w:szCs w:val="24"/>
              </w:rPr>
            </w:pPr>
            <w:r>
              <mc:AlternateContent>
                <mc:Choice Requires="wps">
                  <w:drawing>
                    <wp:anchor distT="0" distB="0" distL="114300" distR="114300" simplePos="0" relativeHeight="251661312" behindDoc="0" locked="0" layoutInCell="1" allowOverlap="1">
                      <wp:simplePos x="0" y="0"/>
                      <wp:positionH relativeFrom="column">
                        <wp:posOffset>2926715</wp:posOffset>
                      </wp:positionH>
                      <wp:positionV relativeFrom="paragraph">
                        <wp:posOffset>2138680</wp:posOffset>
                      </wp:positionV>
                      <wp:extent cx="1183640" cy="422275"/>
                      <wp:effectExtent l="0" t="666750" r="16510" b="15875"/>
                      <wp:wrapNone/>
                      <wp:docPr id="12" name="对话气泡: 圆角矩形 12"/>
                      <wp:cNvGraphicFramePr/>
                      <a:graphic xmlns:a="http://schemas.openxmlformats.org/drawingml/2006/main">
                        <a:graphicData uri="http://schemas.microsoft.com/office/word/2010/wordprocessingShape">
                          <wps:wsp>
                            <wps:cNvSpPr/>
                            <wps:spPr>
                              <a:xfrm>
                                <a:off x="0" y="0"/>
                                <a:ext cx="1183640" cy="422275"/>
                              </a:xfrm>
                              <a:prstGeom prst="wedgeRoundRectCallout">
                                <a:avLst>
                                  <a:gd name="adj1" fmla="val -37232"/>
                                  <a:gd name="adj2" fmla="val -196958"/>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ascii="宋体" w:hAnsi="宋体"/>
                                    </w:rPr>
                                  </w:pPr>
                                  <w:r>
                                    <w:rPr>
                                      <w:rFonts w:hint="eastAsia" w:ascii="宋体" w:hAnsi="宋体"/>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2" o:spid="_x0000_s1026" o:spt="62" type="#_x0000_t62" style="position:absolute;left:0pt;margin-left:230.45pt;margin-top:168.4pt;height:33.25pt;width:93.2pt;z-index:251661312;v-text-anchor:middle;mso-width-relative:page;mso-height-relative:page;" fillcolor="#CCE8CF [3201]" filled="t" stroked="t" coordsize="21600,21600" o:gfxdata="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PdxCbzaAAAACwEAAA8AAAAA&#10;AAAAAQAgAAAAIgAAAGRycy9kb3ducmV2LnhtbFBLAQIUABQAAAAIAIdO4kCWs34wvQIAAFAFAAAO&#10;AAAAAAAAAAEAIAAAACkBAABkcnMvZTJvRG9jLnhtbFBLBQYAAAAABgAGAFkBAABYBgAAAAA=&#10;" adj="2758,-31743,14400">
                      <v:fill on="t" focussize="0,0"/>
                      <v:stroke weight="1pt" color="#000000 [3200]" miterlimit="8" joinstyle="miter"/>
                      <v:imagedata o:title=""/>
                      <o:lock v:ext="edit" aspectratio="f"/>
                      <v:textbox>
                        <w:txbxContent>
                          <w:p>
                            <w:pPr>
                              <w:jc w:val="center"/>
                              <w:rPr>
                                <w:rFonts w:ascii="宋体" w:hAnsi="宋体"/>
                              </w:rPr>
                            </w:pPr>
                            <w:r>
                              <w:rPr>
                                <w:rFonts w:hint="eastAsia" w:ascii="宋体" w:hAnsi="宋体"/>
                              </w:rPr>
                              <w:t>项目所在地</w:t>
                            </w:r>
                          </w:p>
                        </w:txbxContent>
                      </v:textbox>
                    </v:shape>
                  </w:pict>
                </mc:Fallback>
              </mc:AlternateContent>
            </w:r>
            <w:r>
              <w:rPr>
                <w:rFonts w:cs="Times New Roman"/>
                <w:bCs/>
                <w:szCs w:val="24"/>
              </w:rPr>
              <w:drawing>
                <wp:inline distT="0" distB="0" distL="0" distR="0">
                  <wp:extent cx="5089525" cy="7004685"/>
                  <wp:effectExtent l="0" t="0" r="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89525" cy="7004685"/>
                          </a:xfrm>
                          <a:prstGeom prst="rect">
                            <a:avLst/>
                          </a:prstGeom>
                          <a:noFill/>
                          <a:ln>
                            <a:noFill/>
                          </a:ln>
                        </pic:spPr>
                      </pic:pic>
                    </a:graphicData>
                  </a:graphic>
                </wp:inline>
              </w:drawing>
            </w:r>
          </w:p>
          <w:p>
            <w:pPr>
              <w:adjustRightInd w:val="0"/>
              <w:snapToGrid w:val="0"/>
              <w:spacing w:line="360" w:lineRule="auto"/>
              <w:ind w:firstLine="480"/>
              <w:rPr>
                <w:rFonts w:cs="Times New Roman"/>
                <w:szCs w:val="24"/>
              </w:rPr>
            </w:pPr>
            <w:r>
              <w:rPr>
                <w:rFonts w:cs="Times New Roman"/>
                <w:szCs w:val="24"/>
              </w:rPr>
              <w:t>2）环境质量底线</w:t>
            </w:r>
          </w:p>
          <w:p>
            <w:pPr>
              <w:adjustRightInd w:val="0"/>
              <w:snapToGrid w:val="0"/>
              <w:spacing w:line="360" w:lineRule="auto"/>
              <w:ind w:firstLine="480" w:firstLineChars="200"/>
            </w:pPr>
            <w:r>
              <w:t>根据本项目环境质量现状监测数据可知：项目所在地地表水</w:t>
            </w:r>
            <w:r>
              <w:rPr>
                <w:rFonts w:hint="eastAsia"/>
              </w:rPr>
              <w:t>（除</w:t>
            </w:r>
            <w:r>
              <w:t>粪大肠菌群</w:t>
            </w:r>
            <w:r>
              <w:rPr>
                <w:rFonts w:hint="eastAsia"/>
              </w:rPr>
              <w:t>外）满足</w:t>
            </w:r>
            <w:r>
              <w:t>《地表水环境质量标准》（GB3838-2002）中的</w:t>
            </w:r>
            <w:r>
              <w:rPr>
                <w:rFonts w:hint="eastAsia"/>
              </w:rPr>
              <w:t>Ⅲ</w:t>
            </w:r>
            <w:r>
              <w:t>类水域标准；环境空气（除PM</w:t>
            </w:r>
            <w:r>
              <w:rPr>
                <w:vertAlign w:val="subscript"/>
              </w:rPr>
              <w:t>2.5</w:t>
            </w:r>
            <w:r>
              <w:t>外）均满足《环境空气质量标准》（GB3095-2012）中的二级标准；评价区域各测点噪声值</w:t>
            </w:r>
            <w:r>
              <w:rPr>
                <w:rFonts w:hint="eastAsia"/>
              </w:rPr>
              <w:t>（除临0</w:t>
            </w:r>
            <w:r>
              <w:t>11</w:t>
            </w:r>
            <w:r>
              <w:rPr>
                <w:rFonts w:hint="eastAsia"/>
              </w:rPr>
              <w:t>乡道侧以外）</w:t>
            </w:r>
            <w:r>
              <w:t>均满足《声环境质量标准》（GB3096-2008）2类标准要求</w:t>
            </w:r>
            <w:r>
              <w:rPr>
                <w:rFonts w:hint="eastAsia"/>
              </w:rPr>
              <w:t>；项目所在地地下水满足</w:t>
            </w:r>
            <w:r>
              <w:rPr>
                <w:rFonts w:ascii="宋体" w:hAnsi="宋体"/>
              </w:rPr>
              <w:t>《地下水质量标准》（</w:t>
            </w:r>
            <w:r>
              <w:t>GB/T14848-2017</w:t>
            </w:r>
            <w:r>
              <w:rPr>
                <w:rFonts w:ascii="宋体" w:hAnsi="宋体"/>
              </w:rPr>
              <w:t>）</w:t>
            </w:r>
            <w:r>
              <w:rPr>
                <w:rFonts w:hint="eastAsia" w:ascii="宋体" w:hAnsi="宋体" w:cs="宋体"/>
              </w:rPr>
              <w:t>Ⅲ</w:t>
            </w:r>
            <w:r>
              <w:rPr>
                <w:rFonts w:ascii="宋体" w:hAnsi="宋体"/>
              </w:rPr>
              <w:t>类标准</w:t>
            </w:r>
            <w:r>
              <w:t>。</w:t>
            </w:r>
          </w:p>
          <w:p>
            <w:pPr>
              <w:spacing w:line="360" w:lineRule="auto"/>
              <w:ind w:firstLine="470" w:firstLineChars="196"/>
              <w:rPr>
                <w:rFonts w:cs="Times New Roman"/>
                <w:szCs w:val="24"/>
              </w:rPr>
            </w:pPr>
            <w:r>
              <w:rPr>
                <w:rFonts w:cs="Times New Roman"/>
              </w:rPr>
              <w:t>综上所述，项目所在地环境空气（除PM</w:t>
            </w:r>
            <w:r>
              <w:rPr>
                <w:rFonts w:cs="Times New Roman"/>
                <w:vertAlign w:val="subscript"/>
              </w:rPr>
              <w:t>2.5</w:t>
            </w:r>
            <w:r>
              <w:rPr>
                <w:rFonts w:cs="Times New Roman"/>
              </w:rPr>
              <w:t>外）、地表水</w:t>
            </w:r>
            <w:r>
              <w:rPr>
                <w:rFonts w:hint="eastAsia"/>
              </w:rPr>
              <w:t>（除</w:t>
            </w:r>
            <w:r>
              <w:t>粪大肠菌群</w:t>
            </w:r>
            <w:r>
              <w:rPr>
                <w:rFonts w:hint="eastAsia"/>
              </w:rPr>
              <w:t>外）</w:t>
            </w:r>
            <w:r>
              <w:rPr>
                <w:rFonts w:cs="Times New Roman"/>
              </w:rPr>
              <w:t>、</w:t>
            </w:r>
            <w:r>
              <w:rPr>
                <w:rFonts w:hint="eastAsia" w:cs="Times New Roman"/>
              </w:rPr>
              <w:t>地下水、</w:t>
            </w:r>
            <w:r>
              <w:rPr>
                <w:rFonts w:cs="Times New Roman"/>
              </w:rPr>
              <w:t>声环境</w:t>
            </w:r>
            <w:r>
              <w:rPr>
                <w:rFonts w:hint="eastAsia"/>
              </w:rPr>
              <w:t>（除临0</w:t>
            </w:r>
            <w:r>
              <w:t>11</w:t>
            </w:r>
            <w:r>
              <w:rPr>
                <w:rFonts w:hint="eastAsia"/>
              </w:rPr>
              <w:t>乡道侧以外）</w:t>
            </w:r>
            <w:r>
              <w:rPr>
                <w:rFonts w:cs="Times New Roman"/>
              </w:rPr>
              <w:t>质量均满足所在功能区要求，满足环境质量底线的要求</w:t>
            </w:r>
            <w:r>
              <w:rPr>
                <w:rFonts w:hint="eastAsia" w:cs="Times New Roman"/>
              </w:rPr>
              <w:t>。</w:t>
            </w:r>
          </w:p>
          <w:p>
            <w:pPr>
              <w:spacing w:line="360" w:lineRule="auto"/>
              <w:ind w:firstLine="470" w:firstLineChars="196"/>
              <w:rPr>
                <w:rFonts w:cs="Times New Roman"/>
                <w:szCs w:val="24"/>
              </w:rPr>
            </w:pPr>
            <w:r>
              <w:rPr>
                <w:rFonts w:cs="Times New Roman"/>
                <w:szCs w:val="24"/>
              </w:rPr>
              <w:t>3）资源利用上线</w:t>
            </w:r>
          </w:p>
          <w:p>
            <w:pPr>
              <w:spacing w:line="360" w:lineRule="auto"/>
              <w:ind w:firstLine="470" w:firstLineChars="196"/>
              <w:rPr>
                <w:rFonts w:cs="Times New Roman"/>
                <w:szCs w:val="24"/>
              </w:rPr>
            </w:pPr>
            <w:r>
              <w:rPr>
                <w:rFonts w:hint="eastAsia" w:cs="Times New Roman"/>
                <w:szCs w:val="24"/>
              </w:rPr>
              <w:t>本项目用水、用电量较少，不会对当地资源利用上线造成较大影响。</w:t>
            </w:r>
          </w:p>
          <w:p>
            <w:pPr>
              <w:spacing w:line="360" w:lineRule="auto"/>
              <w:ind w:firstLine="470" w:firstLineChars="196"/>
              <w:rPr>
                <w:rFonts w:cs="Times New Roman"/>
                <w:szCs w:val="24"/>
              </w:rPr>
            </w:pPr>
            <w:r>
              <w:rPr>
                <w:rFonts w:cs="Times New Roman"/>
                <w:szCs w:val="24"/>
              </w:rPr>
              <w:t>4）环境准入负面清单</w:t>
            </w:r>
          </w:p>
          <w:p>
            <w:pPr>
              <w:spacing w:line="360" w:lineRule="auto"/>
              <w:ind w:firstLine="470" w:firstLineChars="196"/>
              <w:rPr>
                <w:rFonts w:cs="Times New Roman"/>
                <w:szCs w:val="24"/>
              </w:rPr>
            </w:pPr>
            <w:r>
              <w:rPr>
                <w:rFonts w:hint="eastAsia" w:cs="Times New Roman"/>
                <w:szCs w:val="24"/>
              </w:rPr>
              <w:t>经查询《四川省国家重点生态功能区产业准入负面清单（第一批）（试行）》、《四川省重点生态功能区产业准入负面清单（第二批）（试行）的名录，本项目未列入以上环境准入负面清单行业内容。</w:t>
            </w:r>
          </w:p>
          <w:p>
            <w:pPr>
              <w:spacing w:line="360" w:lineRule="auto"/>
              <w:ind w:firstLine="470" w:firstLineChars="196"/>
              <w:rPr>
                <w:rFonts w:cs="Times New Roman"/>
                <w:szCs w:val="24"/>
              </w:rPr>
            </w:pPr>
            <w:r>
              <w:rPr>
                <w:rFonts w:hint="eastAsia" w:cs="Times New Roman"/>
                <w:szCs w:val="24"/>
              </w:rPr>
              <w:t>对照《长江经济带发展负面清单指南（试行）》、</w:t>
            </w:r>
            <w:r>
              <w:rPr>
                <w:rFonts w:hint="eastAsia"/>
              </w:rPr>
              <w:t>《四川省长江经济带发展负面清单实施细则（试行）》</w:t>
            </w:r>
            <w:r>
              <w:rPr>
                <w:rFonts w:hint="eastAsia" w:cs="Times New Roman"/>
                <w:szCs w:val="24"/>
              </w:rPr>
              <w:t>，本项目属于污水治理项目，不属于该负面清单所禁止建设的内容。</w:t>
            </w:r>
          </w:p>
          <w:p>
            <w:pPr>
              <w:adjustRightInd w:val="0"/>
              <w:snapToGrid w:val="0"/>
              <w:spacing w:line="360" w:lineRule="auto"/>
              <w:ind w:firstLine="482" w:firstLineChars="200"/>
              <w:rPr>
                <w:rFonts w:cs="Times New Roman"/>
                <w:b/>
                <w:bCs/>
                <w:szCs w:val="24"/>
              </w:rPr>
            </w:pPr>
            <w:r>
              <w:rPr>
                <w:rFonts w:hint="eastAsia" w:cs="Times New Roman"/>
                <w:b/>
                <w:bCs/>
                <w:szCs w:val="24"/>
              </w:rPr>
              <w:t>（</w:t>
            </w:r>
            <w:r>
              <w:rPr>
                <w:rFonts w:cs="Times New Roman"/>
                <w:b/>
                <w:bCs/>
                <w:szCs w:val="24"/>
              </w:rPr>
              <w:t>8</w:t>
            </w:r>
            <w:r>
              <w:rPr>
                <w:rFonts w:hint="eastAsia" w:cs="Times New Roman"/>
                <w:b/>
                <w:bCs/>
                <w:szCs w:val="24"/>
              </w:rPr>
              <w:t>）</w:t>
            </w:r>
            <w:r>
              <w:rPr>
                <w:rFonts w:cs="Times New Roman"/>
                <w:b/>
                <w:bCs/>
                <w:szCs w:val="24"/>
              </w:rPr>
              <w:t>项目建设的必要性</w:t>
            </w:r>
          </w:p>
          <w:p>
            <w:pPr>
              <w:adjustRightInd w:val="0"/>
              <w:snapToGrid w:val="0"/>
              <w:spacing w:line="360" w:lineRule="auto"/>
              <w:ind w:firstLine="480" w:firstLineChars="200"/>
              <w:rPr>
                <w:rFonts w:cs="Times New Roman"/>
                <w:szCs w:val="24"/>
              </w:rPr>
            </w:pPr>
            <w:r>
              <w:rPr>
                <w:rFonts w:hint="eastAsia" w:cs="Times New Roman"/>
                <w:szCs w:val="24"/>
              </w:rPr>
              <w:t>农村生活污水的随意排放将会影响到农村的生态环境，威胁到人们的生存环境，从农村整体发展的现状和农民生活质量角度来看，加强污水处理工作是十分必要的。</w:t>
            </w:r>
          </w:p>
          <w:p>
            <w:pPr>
              <w:adjustRightInd w:val="0"/>
              <w:snapToGrid w:val="0"/>
              <w:spacing w:line="360" w:lineRule="auto"/>
              <w:ind w:firstLine="480" w:firstLineChars="200"/>
              <w:rPr>
                <w:rFonts w:cs="Times New Roman"/>
                <w:szCs w:val="24"/>
              </w:rPr>
            </w:pPr>
            <w:r>
              <w:rPr>
                <w:rFonts w:hint="eastAsia" w:cs="Times New Roman"/>
                <w:szCs w:val="24"/>
              </w:rPr>
              <w:t xml:space="preserve">1）对农村生活污水进行处理，是改善农村生态环境的迫切需要。随着农村居民生活水平的不断提升，农村污水的排放量也呈现出剧增的现象，由于农民不具有较强的环保意识，加之农村环境卫生设置配备不足，使得环境卫生状况较差，在这种情况下进行污水处理工作，完善相应配套设施，能够更好的改善当前农村的环境状况，为农村的生活营造更为健康和谐的生态环境。 </w:t>
            </w:r>
          </w:p>
          <w:p>
            <w:pPr>
              <w:adjustRightInd w:val="0"/>
              <w:snapToGrid w:val="0"/>
              <w:spacing w:line="360" w:lineRule="auto"/>
              <w:ind w:firstLine="480" w:firstLineChars="200"/>
              <w:rPr>
                <w:rFonts w:cs="Times New Roman"/>
                <w:szCs w:val="24"/>
              </w:rPr>
            </w:pPr>
            <w:r>
              <w:rPr>
                <w:rFonts w:hint="eastAsia" w:cs="Times New Roman"/>
                <w:szCs w:val="24"/>
              </w:rPr>
              <w:t>2）对农村生活污水进行处理，也是建设社会主义新农村的必然之举。在社会主义建设的过程中，十分关注农村的发展，农村生产环境、生活环境和生活质量的改善和提高，既有利于农村生产发展、生活宽裕、乡风文明、村容整洁和管理民主的实现，又有利于农民生活质量的提升。加强对农村生活污水的处理，是实现这一目标的重要环节。</w:t>
            </w:r>
          </w:p>
          <w:p>
            <w:pPr>
              <w:adjustRightInd w:val="0"/>
              <w:snapToGrid w:val="0"/>
              <w:spacing w:line="360" w:lineRule="auto"/>
              <w:ind w:firstLine="480" w:firstLineChars="200"/>
              <w:rPr>
                <w:rFonts w:cs="Times New Roman"/>
                <w:szCs w:val="24"/>
              </w:rPr>
            </w:pPr>
            <w:r>
              <w:rPr>
                <w:rFonts w:hint="eastAsia" w:cs="Times New Roman"/>
                <w:szCs w:val="24"/>
              </w:rPr>
              <w:t>3）对农村生活污水进行处理，也是促进农村经济发展，全面实施乡村振兴战略的必然要求。农村具有丰富的水资源和宽松的投资环境，这些都有利于推动农村经济的发展。但是由于农民对生活污水的随意排放，污染了一部分水资源，也阻碍了农村经济的发展，在这种情况下，加强对污水的处理，提升水资源的利用效率，并且营造良好的水质环境，能够为农村的发展创造巨大的经济效益，也能够为农民创造发展的氛围，推动农村经济的健康发展。</w:t>
            </w:r>
          </w:p>
          <w:p>
            <w:pPr>
              <w:spacing w:line="360" w:lineRule="auto"/>
              <w:ind w:firstLine="470" w:firstLineChars="196"/>
              <w:rPr>
                <w:rFonts w:cs="Times New Roman"/>
                <w:szCs w:val="24"/>
              </w:rPr>
            </w:pPr>
            <w:r>
              <w:rPr>
                <w:rFonts w:hint="eastAsia" w:cs="Times New Roman"/>
                <w:szCs w:val="24"/>
              </w:rPr>
              <w:t>4）近年来，对入河排污口整治越来越严格，长江经济带生态环境问题审计频次增加、要求提高，对农村生态环境提出明确的要求。沿主要流域河流村庄农村生活污水未得到有效治理、未设置入河排污口形势越来越严峻，沿河村庄农村生活污水未治理直接排放至河流的问题日益突出，整治农村生活污水排放势在必行。沿河村庄农村生活污水达标排放将会成为今后农村生活污水治理的重点和难点。</w:t>
            </w:r>
          </w:p>
          <w:p>
            <w:pPr>
              <w:spacing w:before="120" w:after="120" w:line="360" w:lineRule="auto"/>
              <w:rPr>
                <w:rFonts w:cs="Times New Roman"/>
                <w:b/>
                <w:szCs w:val="24"/>
              </w:rPr>
            </w:pPr>
            <w:r>
              <w:rPr>
                <w:rFonts w:cs="Times New Roman"/>
                <w:b/>
                <w:szCs w:val="24"/>
              </w:rPr>
              <w:t>四、项目概况</w:t>
            </w:r>
          </w:p>
          <w:p>
            <w:pPr>
              <w:spacing w:line="360" w:lineRule="auto"/>
              <w:ind w:firstLine="470" w:firstLineChars="196"/>
              <w:rPr>
                <w:rFonts w:cs="Times New Roman"/>
                <w:szCs w:val="24"/>
              </w:rPr>
            </w:pPr>
            <w:r>
              <w:rPr>
                <w:rFonts w:cs="Times New Roman"/>
                <w:szCs w:val="24"/>
              </w:rPr>
              <w:t>（1）项目基本情况</w:t>
            </w:r>
          </w:p>
          <w:p>
            <w:pPr>
              <w:spacing w:line="360" w:lineRule="auto"/>
              <w:ind w:firstLine="470" w:firstLineChars="196"/>
              <w:rPr>
                <w:rFonts w:cs="Times New Roman"/>
                <w:szCs w:val="24"/>
              </w:rPr>
            </w:pPr>
            <w:r>
              <w:rPr>
                <w:rFonts w:cs="Times New Roman"/>
                <w:szCs w:val="24"/>
              </w:rPr>
              <w:t>项目名称：</w:t>
            </w:r>
            <w:r>
              <w:rPr>
                <w:rFonts w:hint="eastAsia" w:cs="Times New Roman"/>
                <w:szCs w:val="24"/>
              </w:rPr>
              <w:t>四川省乐山市峨边彝族自治县城郊污水处理及管网建设项目</w:t>
            </w:r>
          </w:p>
          <w:p>
            <w:pPr>
              <w:spacing w:line="360" w:lineRule="auto"/>
              <w:ind w:firstLine="470" w:firstLineChars="196"/>
              <w:rPr>
                <w:rFonts w:cs="Times New Roman"/>
                <w:szCs w:val="24"/>
              </w:rPr>
            </w:pPr>
            <w:r>
              <w:rPr>
                <w:rFonts w:cs="Times New Roman"/>
                <w:szCs w:val="24"/>
              </w:rPr>
              <w:t>建设单位：</w:t>
            </w:r>
            <w:r>
              <w:rPr>
                <w:rFonts w:hint="eastAsia" w:cs="Times New Roman"/>
                <w:szCs w:val="24"/>
              </w:rPr>
              <w:t>峨边彝族自治县城市建设投资有限公司</w:t>
            </w:r>
          </w:p>
          <w:p>
            <w:pPr>
              <w:spacing w:line="360" w:lineRule="auto"/>
              <w:ind w:firstLine="470" w:firstLineChars="196"/>
              <w:rPr>
                <w:rFonts w:cs="Times New Roman"/>
                <w:szCs w:val="24"/>
              </w:rPr>
            </w:pPr>
            <w:r>
              <w:rPr>
                <w:rFonts w:cs="Times New Roman"/>
                <w:szCs w:val="24"/>
              </w:rPr>
              <w:t>建设地点：</w:t>
            </w:r>
            <w:r>
              <w:rPr>
                <w:rFonts w:hint="eastAsia" w:cs="Times New Roman"/>
                <w:szCs w:val="24"/>
              </w:rPr>
              <w:t>峨边彝族自治县老人民医院片区、经营所片区、马嘶溪火车站片区（</w:t>
            </w:r>
            <w:r>
              <w:rPr>
                <w:rFonts w:cs="Times New Roman"/>
                <w:szCs w:val="24"/>
              </w:rPr>
              <w:t>E103.2788°；N29.2591°）</w:t>
            </w:r>
          </w:p>
          <w:p>
            <w:pPr>
              <w:spacing w:line="360" w:lineRule="auto"/>
              <w:ind w:firstLine="470" w:firstLineChars="196"/>
              <w:rPr>
                <w:rFonts w:cs="Times New Roman"/>
                <w:szCs w:val="24"/>
              </w:rPr>
            </w:pPr>
            <w:r>
              <w:rPr>
                <w:rFonts w:cs="Times New Roman"/>
                <w:szCs w:val="24"/>
              </w:rPr>
              <w:t>建设性质：新建</w:t>
            </w:r>
          </w:p>
          <w:p>
            <w:pPr>
              <w:spacing w:line="360" w:lineRule="auto"/>
              <w:ind w:firstLine="470" w:firstLineChars="196"/>
              <w:rPr>
                <w:rFonts w:cs="Times New Roman"/>
                <w:szCs w:val="24"/>
              </w:rPr>
            </w:pPr>
            <w:r>
              <w:rPr>
                <w:rFonts w:cs="Times New Roman"/>
                <w:szCs w:val="24"/>
              </w:rPr>
              <w:t>工作制度及劳动定员：</w:t>
            </w:r>
            <w:r>
              <w:rPr>
                <w:rFonts w:hint="eastAsia" w:cs="Times New Roman"/>
                <w:szCs w:val="24"/>
              </w:rPr>
              <w:t>本项目年运行</w:t>
            </w:r>
            <w:r>
              <w:rPr>
                <w:rFonts w:cs="Times New Roman"/>
                <w:szCs w:val="24"/>
              </w:rPr>
              <w:t>365天，污水处理设施全天24小时运行，</w:t>
            </w:r>
            <w:r>
              <w:rPr>
                <w:rFonts w:hint="eastAsia" w:cs="Times New Roman"/>
                <w:szCs w:val="24"/>
              </w:rPr>
              <w:t>配备</w:t>
            </w:r>
            <w:r>
              <w:rPr>
                <w:rFonts w:cs="Times New Roman"/>
                <w:szCs w:val="24"/>
              </w:rPr>
              <w:t>1名管理人员对污水站进行日常维护管理。</w:t>
            </w:r>
          </w:p>
          <w:p>
            <w:pPr>
              <w:spacing w:line="360" w:lineRule="auto"/>
              <w:ind w:firstLine="470" w:firstLineChars="196"/>
              <w:rPr>
                <w:rFonts w:cs="Times New Roman"/>
                <w:szCs w:val="24"/>
              </w:rPr>
            </w:pPr>
            <w:r>
              <w:rPr>
                <w:rFonts w:cs="Times New Roman"/>
                <w:szCs w:val="24"/>
              </w:rPr>
              <w:t>项目总投资：项目总投资337万元，</w:t>
            </w:r>
            <w:r>
              <w:t>其中环保投资</w:t>
            </w:r>
            <w:r>
              <w:rPr>
                <w:rFonts w:hint="eastAsia"/>
              </w:rPr>
              <w:t>10.5万元，占项目总投资的3</w:t>
            </w:r>
            <w:r>
              <w:t>.1%</w:t>
            </w:r>
            <w:r>
              <w:rPr>
                <w:rFonts w:hint="eastAsia"/>
              </w:rPr>
              <w:t>。</w:t>
            </w:r>
          </w:p>
          <w:p>
            <w:pPr>
              <w:spacing w:line="360" w:lineRule="auto"/>
              <w:ind w:firstLine="470" w:firstLineChars="196"/>
              <w:rPr>
                <w:rFonts w:cs="Times New Roman"/>
                <w:szCs w:val="24"/>
              </w:rPr>
            </w:pPr>
            <w:r>
              <w:rPr>
                <w:rFonts w:cs="Times New Roman"/>
                <w:szCs w:val="24"/>
              </w:rPr>
              <w:t>服务范围：</w:t>
            </w:r>
            <w:r>
              <w:rPr>
                <w:rFonts w:hint="eastAsia" w:cs="Times New Roman"/>
                <w:szCs w:val="24"/>
              </w:rPr>
              <w:t>老人民医院片区服务范围为峨边彝族自治县城区老人民医院片区（目前人民医院已搬走），收集老人民医院片区未纳入原有污水管网的居民生活污水，污水通过本项目管网汇入市政管网，最后进入峨边县城市污水处理厂处理；马嘶溪火车站片区服务范围为马嘶溪火车站片区（位于马嘶溪村）道路沿线两侧居民生活污水，通过管网进入本项目污水处理站处理后达四川省《农村生活污水处理设施水污染物排放标准》（DB51/2626-2019）标准</w:t>
            </w:r>
            <w:r>
              <w:rPr>
                <w:rFonts w:cs="Times New Roman"/>
                <w:szCs w:val="24"/>
              </w:rPr>
              <w:t>限值后</w:t>
            </w:r>
            <w:r>
              <w:rPr>
                <w:rFonts w:hint="eastAsia" w:cs="Times New Roman"/>
                <w:szCs w:val="24"/>
              </w:rPr>
              <w:t>排入大渡河；经营所片区服务范围为峨边彝族自治县城区经营所片区，进行雨污分流，避免雨水进入污水管网。</w:t>
            </w:r>
          </w:p>
          <w:p>
            <w:pPr>
              <w:spacing w:line="360" w:lineRule="auto"/>
              <w:ind w:firstLine="470" w:firstLineChars="196"/>
              <w:rPr>
                <w:rFonts w:cs="Times New Roman"/>
                <w:szCs w:val="24"/>
              </w:rPr>
            </w:pPr>
            <w:r>
              <w:rPr>
                <w:rFonts w:cs="Times New Roman"/>
                <w:szCs w:val="24"/>
              </w:rPr>
              <w:t>建设主要内容及规模：</w:t>
            </w:r>
          </w:p>
          <w:p>
            <w:pPr>
              <w:spacing w:line="360" w:lineRule="auto"/>
              <w:ind w:firstLine="470" w:firstLineChars="196"/>
              <w:rPr>
                <w:rFonts w:cs="Times New Roman"/>
                <w:bCs/>
                <w:szCs w:val="24"/>
              </w:rPr>
            </w:pPr>
            <w:r>
              <w:rPr>
                <w:rFonts w:hint="eastAsia" w:cs="Times New Roman"/>
                <w:bCs/>
                <w:szCs w:val="24"/>
              </w:rPr>
              <w:t>本项目分三个片区建设，分别为老人民医院片区、马嘶溪火车站片区与经营所片区。其中老人民医院片区建设污水管网长度约</w:t>
            </w:r>
            <w:r>
              <w:rPr>
                <w:rFonts w:cs="Times New Roman"/>
                <w:bCs/>
                <w:szCs w:val="24"/>
              </w:rPr>
              <w:t>639m；经营所片区建设雨水管网长度约126m；马嘶溪火车站片区建设污水管网长度约2395m，</w:t>
            </w:r>
            <w:r>
              <w:rPr>
                <w:rFonts w:hint="eastAsia" w:cs="Times New Roman"/>
                <w:bCs/>
                <w:szCs w:val="24"/>
              </w:rPr>
              <w:t>尾水管网长度</w:t>
            </w:r>
            <w:r>
              <w:rPr>
                <w:rFonts w:cs="Times New Roman"/>
                <w:bCs/>
                <w:szCs w:val="24"/>
              </w:rPr>
              <w:t>约</w:t>
            </w:r>
            <w:r>
              <w:rPr>
                <w:rFonts w:hint="eastAsia" w:cs="Times New Roman"/>
                <w:bCs/>
                <w:szCs w:val="24"/>
              </w:rPr>
              <w:t>700</w:t>
            </w:r>
            <w:r>
              <w:rPr>
                <w:rFonts w:cs="Times New Roman"/>
                <w:bCs/>
                <w:szCs w:val="24"/>
              </w:rPr>
              <w:t>m</w:t>
            </w:r>
            <w:r>
              <w:rPr>
                <w:rFonts w:hint="eastAsia" w:cs="Times New Roman"/>
                <w:bCs/>
                <w:szCs w:val="24"/>
              </w:rPr>
              <w:t>，</w:t>
            </w:r>
            <w:r>
              <w:rPr>
                <w:rFonts w:cs="Times New Roman"/>
                <w:bCs/>
                <w:szCs w:val="24"/>
              </w:rPr>
              <w:t>配套100m</w:t>
            </w:r>
            <w:r>
              <w:rPr>
                <w:rFonts w:cs="Times New Roman"/>
                <w:bCs/>
                <w:szCs w:val="24"/>
                <w:vertAlign w:val="superscript"/>
              </w:rPr>
              <w:t>3</w:t>
            </w:r>
            <w:r>
              <w:rPr>
                <w:rFonts w:hint="eastAsia" w:cs="Times New Roman"/>
                <w:bCs/>
                <w:szCs w:val="24"/>
              </w:rPr>
              <w:t>/d</w:t>
            </w:r>
            <w:r>
              <w:rPr>
                <w:rFonts w:cs="Times New Roman"/>
                <w:bCs/>
                <w:szCs w:val="24"/>
              </w:rPr>
              <w:t>一体化污水处理设备一台。</w:t>
            </w:r>
          </w:p>
          <w:p>
            <w:pPr>
              <w:spacing w:line="480" w:lineRule="exact"/>
              <w:ind w:firstLine="470" w:firstLineChars="196"/>
              <w:rPr>
                <w:rFonts w:cs="Times New Roman"/>
                <w:szCs w:val="24"/>
              </w:rPr>
            </w:pPr>
            <w:r>
              <w:rPr>
                <w:rFonts w:cs="Times New Roman"/>
                <w:bCs/>
                <w:szCs w:val="24"/>
              </w:rPr>
              <w:t>（2）项目组成及主要环境问题</w:t>
            </w:r>
          </w:p>
          <w:p>
            <w:pPr>
              <w:spacing w:line="480" w:lineRule="exact"/>
              <w:ind w:firstLine="470" w:firstLineChars="196"/>
              <w:rPr>
                <w:rFonts w:cs="Times New Roman"/>
              </w:rPr>
            </w:pPr>
            <w:r>
              <w:rPr>
                <w:rFonts w:cs="Times New Roman"/>
                <w:szCs w:val="24"/>
              </w:rPr>
              <w:t>项目组成及主要环境问题详见表1-2。</w:t>
            </w:r>
          </w:p>
          <w:p>
            <w:pPr>
              <w:widowControl/>
              <w:adjustRightInd w:val="0"/>
              <w:snapToGrid w:val="0"/>
              <w:spacing w:line="480" w:lineRule="exact"/>
              <w:ind w:right="106" w:rightChars="44"/>
              <w:jc w:val="center"/>
              <w:rPr>
                <w:rFonts w:cs="Times New Roman"/>
                <w:b/>
                <w:bCs/>
                <w:snapToGrid w:val="0"/>
                <w:kern w:val="0"/>
                <w:szCs w:val="24"/>
              </w:rPr>
            </w:pPr>
            <w:r>
              <w:rPr>
                <w:rFonts w:cs="Times New Roman"/>
                <w:b/>
                <w:bCs/>
                <w:snapToGrid w:val="0"/>
                <w:kern w:val="0"/>
                <w:szCs w:val="24"/>
              </w:rPr>
              <w:t>表1-2 项目组成及主要环境问题一览表</w:t>
            </w:r>
          </w:p>
          <w:tbl>
            <w:tblPr>
              <w:tblStyle w:val="30"/>
              <w:tblW w:w="8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807"/>
              <w:gridCol w:w="1045"/>
              <w:gridCol w:w="3998"/>
              <w:gridCol w:w="964"/>
              <w:gridCol w:w="1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restart"/>
                  <w:vAlign w:val="center"/>
                </w:tcPr>
                <w:p>
                  <w:pPr>
                    <w:wordWrap w:val="0"/>
                    <w:adjustRightInd w:val="0"/>
                    <w:snapToGrid w:val="0"/>
                    <w:jc w:val="center"/>
                    <w:rPr>
                      <w:rFonts w:cs="Times New Roman"/>
                      <w:b/>
                      <w:bCs/>
                      <w:sz w:val="21"/>
                      <w:szCs w:val="21"/>
                    </w:rPr>
                  </w:pPr>
                  <w:r>
                    <w:rPr>
                      <w:rFonts w:cs="Times New Roman"/>
                      <w:b/>
                      <w:bCs/>
                      <w:sz w:val="21"/>
                      <w:szCs w:val="21"/>
                    </w:rPr>
                    <w:t>工程分类</w:t>
                  </w:r>
                </w:p>
              </w:tc>
              <w:tc>
                <w:tcPr>
                  <w:tcW w:w="1852" w:type="dxa"/>
                  <w:gridSpan w:val="2"/>
                  <w:vMerge w:val="restart"/>
                  <w:vAlign w:val="center"/>
                </w:tcPr>
                <w:p>
                  <w:pPr>
                    <w:wordWrap w:val="0"/>
                    <w:adjustRightInd w:val="0"/>
                    <w:snapToGrid w:val="0"/>
                    <w:jc w:val="center"/>
                    <w:rPr>
                      <w:rFonts w:cs="Times New Roman"/>
                      <w:b/>
                      <w:bCs/>
                      <w:sz w:val="21"/>
                      <w:szCs w:val="21"/>
                    </w:rPr>
                  </w:pPr>
                  <w:r>
                    <w:rPr>
                      <w:rFonts w:cs="Times New Roman"/>
                      <w:b/>
                      <w:bCs/>
                      <w:sz w:val="21"/>
                      <w:szCs w:val="21"/>
                    </w:rPr>
                    <w:t>项目名称</w:t>
                  </w:r>
                </w:p>
              </w:tc>
              <w:tc>
                <w:tcPr>
                  <w:tcW w:w="3998" w:type="dxa"/>
                  <w:vMerge w:val="restart"/>
                  <w:vAlign w:val="center"/>
                </w:tcPr>
                <w:p>
                  <w:pPr>
                    <w:wordWrap w:val="0"/>
                    <w:adjustRightInd w:val="0"/>
                    <w:snapToGrid w:val="0"/>
                    <w:jc w:val="center"/>
                    <w:rPr>
                      <w:rFonts w:cs="Times New Roman"/>
                      <w:b/>
                      <w:bCs/>
                      <w:sz w:val="21"/>
                      <w:szCs w:val="21"/>
                    </w:rPr>
                  </w:pPr>
                  <w:r>
                    <w:rPr>
                      <w:rFonts w:cs="Times New Roman"/>
                      <w:b/>
                      <w:bCs/>
                      <w:sz w:val="21"/>
                      <w:szCs w:val="21"/>
                    </w:rPr>
                    <w:t>建设内容及规模</w:t>
                  </w:r>
                </w:p>
              </w:tc>
              <w:tc>
                <w:tcPr>
                  <w:tcW w:w="2008" w:type="dxa"/>
                  <w:gridSpan w:val="2"/>
                  <w:vAlign w:val="center"/>
                </w:tcPr>
                <w:p>
                  <w:pPr>
                    <w:wordWrap w:val="0"/>
                    <w:adjustRightInd w:val="0"/>
                    <w:snapToGrid w:val="0"/>
                    <w:jc w:val="center"/>
                    <w:rPr>
                      <w:rFonts w:cs="Times New Roman"/>
                      <w:b/>
                      <w:bCs/>
                      <w:sz w:val="21"/>
                      <w:szCs w:val="21"/>
                    </w:rPr>
                  </w:pPr>
                  <w:r>
                    <w:rPr>
                      <w:rFonts w:cs="Times New Roman"/>
                      <w:b/>
                      <w:bCs/>
                      <w:sz w:val="21"/>
                      <w:szCs w:val="21"/>
                    </w:rPr>
                    <w:t>可能存在的环境问题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Merge w:val="continue"/>
                  <w:vAlign w:val="center"/>
                </w:tcPr>
                <w:p>
                  <w:pPr>
                    <w:wordWrap w:val="0"/>
                    <w:adjustRightInd w:val="0"/>
                    <w:snapToGrid w:val="0"/>
                    <w:jc w:val="center"/>
                    <w:rPr>
                      <w:rFonts w:cs="Times New Roman"/>
                      <w:sz w:val="21"/>
                      <w:szCs w:val="21"/>
                    </w:rPr>
                  </w:pPr>
                </w:p>
              </w:tc>
              <w:tc>
                <w:tcPr>
                  <w:tcW w:w="3998" w:type="dxa"/>
                  <w:vMerge w:val="continue"/>
                  <w:vAlign w:val="center"/>
                </w:tcPr>
                <w:p>
                  <w:pPr>
                    <w:wordWrap w:val="0"/>
                    <w:adjustRightInd w:val="0"/>
                    <w:snapToGrid w:val="0"/>
                    <w:jc w:val="center"/>
                    <w:rPr>
                      <w:rFonts w:cs="Times New Roman"/>
                      <w:sz w:val="21"/>
                      <w:szCs w:val="21"/>
                    </w:rPr>
                  </w:pPr>
                </w:p>
              </w:tc>
              <w:tc>
                <w:tcPr>
                  <w:tcW w:w="964" w:type="dxa"/>
                  <w:vAlign w:val="center"/>
                </w:tcPr>
                <w:p>
                  <w:pPr>
                    <w:wordWrap w:val="0"/>
                    <w:adjustRightInd w:val="0"/>
                    <w:snapToGrid w:val="0"/>
                    <w:jc w:val="center"/>
                    <w:rPr>
                      <w:rFonts w:cs="Times New Roman"/>
                      <w:sz w:val="21"/>
                      <w:szCs w:val="21"/>
                    </w:rPr>
                  </w:pPr>
                  <w:r>
                    <w:rPr>
                      <w:rFonts w:cs="Times New Roman"/>
                      <w:sz w:val="21"/>
                      <w:szCs w:val="21"/>
                    </w:rPr>
                    <w:t>施工期</w:t>
                  </w:r>
                </w:p>
              </w:tc>
              <w:tc>
                <w:tcPr>
                  <w:tcW w:w="1044" w:type="dxa"/>
                  <w:vAlign w:val="center"/>
                </w:tcPr>
                <w:p>
                  <w:pPr>
                    <w:wordWrap w:val="0"/>
                    <w:adjustRightInd w:val="0"/>
                    <w:snapToGrid w:val="0"/>
                    <w:jc w:val="center"/>
                    <w:rPr>
                      <w:rFonts w:cs="Times New Roman"/>
                      <w:sz w:val="21"/>
                      <w:szCs w:val="21"/>
                    </w:rPr>
                  </w:pPr>
                  <w:r>
                    <w:rPr>
                      <w:rFonts w:cs="Times New Roman"/>
                      <w:sz w:val="21"/>
                      <w:szCs w:val="21"/>
                    </w:rPr>
                    <w:t>营运期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38" w:type="dxa"/>
                  <w:vMerge w:val="restart"/>
                  <w:vAlign w:val="center"/>
                </w:tcPr>
                <w:p>
                  <w:pPr>
                    <w:wordWrap w:val="0"/>
                    <w:adjustRightInd w:val="0"/>
                    <w:snapToGrid w:val="0"/>
                    <w:jc w:val="center"/>
                    <w:rPr>
                      <w:rFonts w:cs="Times New Roman"/>
                      <w:sz w:val="21"/>
                      <w:szCs w:val="21"/>
                    </w:rPr>
                  </w:pPr>
                  <w:r>
                    <w:rPr>
                      <w:rFonts w:cs="Times New Roman"/>
                      <w:sz w:val="21"/>
                      <w:szCs w:val="21"/>
                    </w:rPr>
                    <w:t>主体工程</w:t>
                  </w:r>
                </w:p>
              </w:tc>
              <w:tc>
                <w:tcPr>
                  <w:tcW w:w="1852" w:type="dxa"/>
                  <w:gridSpan w:val="2"/>
                  <w:vMerge w:val="restart"/>
                  <w:vAlign w:val="center"/>
                </w:tcPr>
                <w:p>
                  <w:pPr>
                    <w:wordWrap w:val="0"/>
                    <w:adjustRightInd w:val="0"/>
                    <w:snapToGrid w:val="0"/>
                    <w:jc w:val="center"/>
                    <w:rPr>
                      <w:rFonts w:cs="Times New Roman"/>
                      <w:sz w:val="21"/>
                      <w:szCs w:val="21"/>
                    </w:rPr>
                  </w:pPr>
                  <w:r>
                    <w:rPr>
                      <w:rFonts w:cs="Times New Roman"/>
                      <w:sz w:val="21"/>
                      <w:szCs w:val="21"/>
                    </w:rPr>
                    <w:t>管网工程</w:t>
                  </w:r>
                </w:p>
              </w:tc>
              <w:tc>
                <w:tcPr>
                  <w:tcW w:w="3998" w:type="dxa"/>
                  <w:vAlign w:val="center"/>
                </w:tcPr>
                <w:p>
                  <w:pPr>
                    <w:wordWrap w:val="0"/>
                    <w:adjustRightInd w:val="0"/>
                    <w:snapToGrid w:val="0"/>
                    <w:jc w:val="left"/>
                    <w:rPr>
                      <w:rFonts w:cs="Times New Roman"/>
                      <w:sz w:val="21"/>
                      <w:szCs w:val="21"/>
                    </w:rPr>
                  </w:pPr>
                  <w:r>
                    <w:rPr>
                      <w:rFonts w:cs="Times New Roman"/>
                      <w:sz w:val="21"/>
                      <w:szCs w:val="21"/>
                    </w:rPr>
                    <w:t>老人民医院片区建设污水管网长度约639m</w:t>
                  </w:r>
                  <w:r>
                    <w:rPr>
                      <w:rFonts w:hint="eastAsia" w:cs="Times New Roman"/>
                      <w:sz w:val="21"/>
                      <w:szCs w:val="21"/>
                    </w:rPr>
                    <w:t>，</w:t>
                  </w:r>
                  <w:r>
                    <w:rPr>
                      <w:rFonts w:cs="Times New Roman"/>
                      <w:sz w:val="21"/>
                      <w:szCs w:val="21"/>
                    </w:rPr>
                    <w:t>其中DN300主管长度为284m，DN150主管网长度为201m，为高密度聚氯乙烯双壁波纹管(HDPE)；DN200主管网长度为154m，为焊接钢管</w:t>
                  </w:r>
                  <w:r>
                    <w:rPr>
                      <w:rFonts w:hint="eastAsia" w:cs="Times New Roman"/>
                      <w:sz w:val="21"/>
                      <w:szCs w:val="21"/>
                    </w:rPr>
                    <w:t>。设污水检查井</w:t>
                  </w:r>
                  <w:r>
                    <w:rPr>
                      <w:rFonts w:cs="Times New Roman"/>
                      <w:sz w:val="21"/>
                      <w:szCs w:val="21"/>
                    </w:rPr>
                    <w:t>30</w:t>
                  </w:r>
                  <w:r>
                    <w:rPr>
                      <w:rFonts w:hint="eastAsia" w:cs="Times New Roman"/>
                      <w:sz w:val="21"/>
                      <w:szCs w:val="21"/>
                    </w:rPr>
                    <w:t>座，</w:t>
                  </w:r>
                  <w:r>
                    <w:rPr>
                      <w:rFonts w:cs="Times New Roman"/>
                      <w:sz w:val="21"/>
                      <w:szCs w:val="21"/>
                    </w:rPr>
                    <w:t>Φ1000</w:t>
                  </w:r>
                  <w:r>
                    <w:rPr>
                      <w:rFonts w:hint="eastAsia" w:cs="Times New Roman"/>
                      <w:sz w:val="21"/>
                      <w:szCs w:val="21"/>
                    </w:rPr>
                    <w:t>，</w:t>
                  </w:r>
                  <w:r>
                    <w:rPr>
                      <w:rFonts w:cs="Times New Roman"/>
                      <w:sz w:val="21"/>
                      <w:szCs w:val="21"/>
                    </w:rPr>
                    <w:t>PE材质</w:t>
                  </w:r>
                  <w:r>
                    <w:rPr>
                      <w:rFonts w:hint="eastAsia" w:cs="Times New Roman"/>
                      <w:sz w:val="21"/>
                      <w:szCs w:val="21"/>
                    </w:rPr>
                    <w:t>。</w:t>
                  </w:r>
                </w:p>
              </w:tc>
              <w:tc>
                <w:tcPr>
                  <w:tcW w:w="964" w:type="dxa"/>
                  <w:vMerge w:val="restart"/>
                  <w:vAlign w:val="center"/>
                </w:tcPr>
                <w:p>
                  <w:pPr>
                    <w:wordWrap w:val="0"/>
                    <w:adjustRightInd w:val="0"/>
                    <w:snapToGrid w:val="0"/>
                    <w:jc w:val="center"/>
                    <w:rPr>
                      <w:rFonts w:cs="Times New Roman"/>
                      <w:sz w:val="21"/>
                      <w:szCs w:val="21"/>
                    </w:rPr>
                  </w:pPr>
                  <w:r>
                    <w:rPr>
                      <w:sz w:val="21"/>
                      <w:szCs w:val="21"/>
                    </w:rPr>
                    <w:t>噪声、废气、废水、固废、水土流失等</w:t>
                  </w:r>
                </w:p>
              </w:tc>
              <w:tc>
                <w:tcPr>
                  <w:tcW w:w="1044" w:type="dxa"/>
                  <w:vMerge w:val="restart"/>
                  <w:vAlign w:val="center"/>
                </w:tcPr>
                <w:p>
                  <w:pPr>
                    <w:wordWrap w:val="0"/>
                    <w:adjustRightInd w:val="0"/>
                    <w:snapToGrid w:val="0"/>
                    <w:jc w:val="center"/>
                    <w:rPr>
                      <w:rFonts w:cs="Times New Roman"/>
                      <w:sz w:val="21"/>
                      <w:szCs w:val="21"/>
                    </w:rPr>
                  </w:pPr>
                  <w:r>
                    <w:rPr>
                      <w:rFonts w:cs="Times New Roman"/>
                      <w:sz w:val="21"/>
                      <w:szCs w:val="21"/>
                    </w:rPr>
                    <w:t>淤泥、恶臭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Merge w:val="continue"/>
                  <w:vAlign w:val="center"/>
                </w:tcPr>
                <w:p>
                  <w:pPr>
                    <w:wordWrap w:val="0"/>
                    <w:adjustRightInd w:val="0"/>
                    <w:snapToGrid w:val="0"/>
                    <w:jc w:val="center"/>
                    <w:rPr>
                      <w:rFonts w:cs="Times New Roman"/>
                      <w:sz w:val="21"/>
                      <w:szCs w:val="21"/>
                    </w:rPr>
                  </w:pPr>
                </w:p>
              </w:tc>
              <w:tc>
                <w:tcPr>
                  <w:tcW w:w="3998" w:type="dxa"/>
                  <w:vAlign w:val="center"/>
                </w:tcPr>
                <w:p>
                  <w:pPr>
                    <w:wordWrap w:val="0"/>
                    <w:adjustRightInd w:val="0"/>
                    <w:snapToGrid w:val="0"/>
                    <w:jc w:val="left"/>
                    <w:rPr>
                      <w:rFonts w:cs="Times New Roman"/>
                      <w:sz w:val="21"/>
                      <w:szCs w:val="21"/>
                    </w:rPr>
                  </w:pPr>
                  <w:r>
                    <w:rPr>
                      <w:rFonts w:cs="Times New Roman"/>
                      <w:sz w:val="21"/>
                      <w:szCs w:val="21"/>
                    </w:rPr>
                    <w:t>经营所片区建设雨水</w:t>
                  </w:r>
                  <w:r>
                    <w:rPr>
                      <w:rFonts w:hint="eastAsia" w:cs="Times New Roman"/>
                      <w:sz w:val="21"/>
                      <w:szCs w:val="21"/>
                    </w:rPr>
                    <w:t>干管</w:t>
                  </w:r>
                  <w:r>
                    <w:rPr>
                      <w:rFonts w:cs="Times New Roman"/>
                      <w:sz w:val="21"/>
                      <w:szCs w:val="21"/>
                    </w:rPr>
                    <w:t>DN400长度约126m，为高密度聚氯乙烯双壁波纹管(HDPE)</w:t>
                  </w:r>
                  <w:r>
                    <w:rPr>
                      <w:rFonts w:hint="eastAsia" w:cs="Times New Roman"/>
                      <w:sz w:val="21"/>
                      <w:szCs w:val="21"/>
                    </w:rPr>
                    <w:t>。设污水检查井</w:t>
                  </w:r>
                  <w:r>
                    <w:rPr>
                      <w:rFonts w:cs="Times New Roman"/>
                      <w:sz w:val="21"/>
                      <w:szCs w:val="21"/>
                    </w:rPr>
                    <w:t>7</w:t>
                  </w:r>
                  <w:r>
                    <w:rPr>
                      <w:rFonts w:hint="eastAsia" w:cs="Times New Roman"/>
                      <w:sz w:val="21"/>
                      <w:szCs w:val="21"/>
                    </w:rPr>
                    <w:t>座，</w:t>
                  </w:r>
                  <w:r>
                    <w:rPr>
                      <w:rFonts w:cs="Times New Roman"/>
                      <w:sz w:val="21"/>
                      <w:szCs w:val="21"/>
                    </w:rPr>
                    <w:t>Φ700</w:t>
                  </w:r>
                  <w:r>
                    <w:rPr>
                      <w:rFonts w:hint="eastAsia" w:cs="Times New Roman"/>
                      <w:sz w:val="21"/>
                      <w:szCs w:val="21"/>
                    </w:rPr>
                    <w:t>，</w:t>
                  </w:r>
                  <w:r>
                    <w:rPr>
                      <w:rFonts w:cs="Times New Roman"/>
                      <w:sz w:val="21"/>
                      <w:szCs w:val="21"/>
                    </w:rPr>
                    <w:t>PE材质</w:t>
                  </w:r>
                  <w:r>
                    <w:rPr>
                      <w:rFonts w:hint="eastAsia" w:cs="Times New Roman"/>
                      <w:sz w:val="21"/>
                      <w:szCs w:val="21"/>
                    </w:rPr>
                    <w:t>。</w:t>
                  </w:r>
                </w:p>
              </w:tc>
              <w:tc>
                <w:tcPr>
                  <w:tcW w:w="964" w:type="dxa"/>
                  <w:vMerge w:val="continue"/>
                  <w:vAlign w:val="center"/>
                </w:tcPr>
                <w:p>
                  <w:pPr>
                    <w:wordWrap w:val="0"/>
                    <w:adjustRightInd w:val="0"/>
                    <w:snapToGrid w:val="0"/>
                    <w:jc w:val="center"/>
                    <w:rPr>
                      <w:rFonts w:cs="Times New Roman"/>
                      <w:sz w:val="21"/>
                      <w:szCs w:val="21"/>
                    </w:rPr>
                  </w:pPr>
                </w:p>
              </w:tc>
              <w:tc>
                <w:tcPr>
                  <w:tcW w:w="1044" w:type="dxa"/>
                  <w:vMerge w:val="continue"/>
                  <w:vAlign w:val="center"/>
                </w:tcPr>
                <w:p>
                  <w:pPr>
                    <w:wordWrap w:val="0"/>
                    <w:adjustRightInd w:val="0"/>
                    <w:snapToGrid w:val="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Merge w:val="continue"/>
                  <w:vAlign w:val="center"/>
                </w:tcPr>
                <w:p>
                  <w:pPr>
                    <w:wordWrap w:val="0"/>
                    <w:adjustRightInd w:val="0"/>
                    <w:snapToGrid w:val="0"/>
                    <w:jc w:val="center"/>
                    <w:rPr>
                      <w:rFonts w:cs="Times New Roman"/>
                      <w:sz w:val="21"/>
                      <w:szCs w:val="21"/>
                    </w:rPr>
                  </w:pPr>
                </w:p>
              </w:tc>
              <w:tc>
                <w:tcPr>
                  <w:tcW w:w="3998" w:type="dxa"/>
                  <w:vAlign w:val="center"/>
                </w:tcPr>
                <w:p>
                  <w:pPr>
                    <w:wordWrap w:val="0"/>
                    <w:adjustRightInd w:val="0"/>
                    <w:snapToGrid w:val="0"/>
                    <w:jc w:val="left"/>
                    <w:rPr>
                      <w:rFonts w:cs="Times New Roman"/>
                      <w:sz w:val="21"/>
                      <w:szCs w:val="21"/>
                    </w:rPr>
                  </w:pPr>
                  <w:r>
                    <w:rPr>
                      <w:rFonts w:cs="Times New Roman"/>
                      <w:sz w:val="21"/>
                      <w:szCs w:val="21"/>
                    </w:rPr>
                    <w:t>马嘶溪火车站片区建设污水干管DN300长度约2395m</w:t>
                  </w:r>
                  <w:r>
                    <w:rPr>
                      <w:rFonts w:hint="eastAsia" w:cs="Times New Roman"/>
                      <w:sz w:val="21"/>
                      <w:szCs w:val="21"/>
                    </w:rPr>
                    <w:t>；尾水管网</w:t>
                  </w:r>
                  <w:r>
                    <w:rPr>
                      <w:rFonts w:cs="Times New Roman"/>
                      <w:sz w:val="21"/>
                      <w:szCs w:val="21"/>
                    </w:rPr>
                    <w:t>DN160</w:t>
                  </w:r>
                  <w:r>
                    <w:rPr>
                      <w:rFonts w:hint="eastAsia" w:cs="Times New Roman"/>
                      <w:sz w:val="21"/>
                      <w:szCs w:val="21"/>
                    </w:rPr>
                    <w:t>长度</w:t>
                  </w:r>
                  <w:r>
                    <w:rPr>
                      <w:rFonts w:cs="Times New Roman"/>
                      <w:sz w:val="21"/>
                      <w:szCs w:val="21"/>
                    </w:rPr>
                    <w:t>约</w:t>
                  </w:r>
                  <w:r>
                    <w:rPr>
                      <w:rFonts w:hint="eastAsia" w:cs="Times New Roman"/>
                      <w:sz w:val="21"/>
                      <w:szCs w:val="21"/>
                    </w:rPr>
                    <w:t>700</w:t>
                  </w:r>
                  <w:r>
                    <w:rPr>
                      <w:rFonts w:cs="Times New Roman"/>
                      <w:sz w:val="21"/>
                      <w:szCs w:val="21"/>
                    </w:rPr>
                    <w:t>m</w:t>
                  </w:r>
                  <w:r>
                    <w:rPr>
                      <w:rFonts w:hint="eastAsia" w:cs="Times New Roman"/>
                      <w:sz w:val="21"/>
                      <w:szCs w:val="21"/>
                    </w:rPr>
                    <w:t>，</w:t>
                  </w:r>
                  <w:r>
                    <w:rPr>
                      <w:rFonts w:cs="Times New Roman"/>
                      <w:sz w:val="21"/>
                      <w:szCs w:val="21"/>
                    </w:rPr>
                    <w:t>为高密度聚氯乙烯双壁波纹管(HDPE)</w:t>
                  </w:r>
                  <w:r>
                    <w:rPr>
                      <w:rFonts w:hint="eastAsia" w:cs="Times New Roman"/>
                      <w:sz w:val="21"/>
                      <w:szCs w:val="21"/>
                    </w:rPr>
                    <w:t>。设污水检查井</w:t>
                  </w:r>
                  <w:r>
                    <w:rPr>
                      <w:rFonts w:cs="Times New Roman"/>
                      <w:sz w:val="21"/>
                      <w:szCs w:val="21"/>
                    </w:rPr>
                    <w:t>88</w:t>
                  </w:r>
                  <w:r>
                    <w:rPr>
                      <w:rFonts w:hint="eastAsia" w:cs="Times New Roman"/>
                      <w:sz w:val="21"/>
                      <w:szCs w:val="21"/>
                    </w:rPr>
                    <w:t>座，</w:t>
                  </w:r>
                  <w:r>
                    <w:rPr>
                      <w:rFonts w:cs="Times New Roman"/>
                      <w:sz w:val="21"/>
                      <w:szCs w:val="21"/>
                    </w:rPr>
                    <w:t>Φ1000</w:t>
                  </w:r>
                  <w:r>
                    <w:rPr>
                      <w:rFonts w:hint="eastAsia" w:cs="Times New Roman"/>
                      <w:sz w:val="21"/>
                      <w:szCs w:val="21"/>
                    </w:rPr>
                    <w:t>，</w:t>
                  </w:r>
                  <w:r>
                    <w:rPr>
                      <w:rFonts w:cs="Times New Roman"/>
                      <w:sz w:val="21"/>
                      <w:szCs w:val="21"/>
                    </w:rPr>
                    <w:t>PE材质</w:t>
                  </w:r>
                  <w:r>
                    <w:rPr>
                      <w:rFonts w:hint="eastAsia" w:cs="Times New Roman"/>
                      <w:sz w:val="21"/>
                      <w:szCs w:val="21"/>
                    </w:rPr>
                    <w:t>。</w:t>
                  </w:r>
                </w:p>
              </w:tc>
              <w:tc>
                <w:tcPr>
                  <w:tcW w:w="964" w:type="dxa"/>
                  <w:vMerge w:val="continue"/>
                  <w:vAlign w:val="center"/>
                </w:tcPr>
                <w:p>
                  <w:pPr>
                    <w:wordWrap w:val="0"/>
                    <w:adjustRightInd w:val="0"/>
                    <w:snapToGrid w:val="0"/>
                    <w:jc w:val="center"/>
                    <w:rPr>
                      <w:rFonts w:cs="Times New Roman"/>
                      <w:sz w:val="21"/>
                      <w:szCs w:val="21"/>
                    </w:rPr>
                  </w:pPr>
                </w:p>
              </w:tc>
              <w:tc>
                <w:tcPr>
                  <w:tcW w:w="1044" w:type="dxa"/>
                  <w:vMerge w:val="continue"/>
                  <w:vAlign w:val="center"/>
                </w:tcPr>
                <w:p>
                  <w:pPr>
                    <w:wordWrap w:val="0"/>
                    <w:adjustRightInd w:val="0"/>
                    <w:snapToGrid w:val="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807" w:type="dxa"/>
                  <w:vMerge w:val="restart"/>
                  <w:vAlign w:val="center"/>
                </w:tcPr>
                <w:p>
                  <w:pPr>
                    <w:wordWrap w:val="0"/>
                    <w:adjustRightInd w:val="0"/>
                    <w:snapToGrid w:val="0"/>
                    <w:jc w:val="center"/>
                    <w:rPr>
                      <w:rFonts w:cs="Times New Roman"/>
                      <w:sz w:val="21"/>
                      <w:szCs w:val="21"/>
                    </w:rPr>
                  </w:pPr>
                  <w:r>
                    <w:rPr>
                      <w:rFonts w:hint="eastAsia" w:cs="Times New Roman"/>
                      <w:sz w:val="21"/>
                      <w:szCs w:val="21"/>
                    </w:rPr>
                    <w:t>污水站工程</w:t>
                  </w:r>
                </w:p>
              </w:tc>
              <w:tc>
                <w:tcPr>
                  <w:tcW w:w="1045" w:type="dxa"/>
                  <w:vAlign w:val="center"/>
                </w:tcPr>
                <w:p>
                  <w:pPr>
                    <w:wordWrap w:val="0"/>
                    <w:adjustRightInd w:val="0"/>
                    <w:snapToGrid w:val="0"/>
                    <w:jc w:val="center"/>
                    <w:rPr>
                      <w:rFonts w:cs="Times New Roman"/>
                      <w:sz w:val="21"/>
                      <w:szCs w:val="21"/>
                    </w:rPr>
                  </w:pPr>
                  <w:r>
                    <w:rPr>
                      <w:rFonts w:cs="Times New Roman"/>
                      <w:sz w:val="21"/>
                      <w:szCs w:val="21"/>
                    </w:rPr>
                    <w:t>格栅调节池</w:t>
                  </w:r>
                </w:p>
              </w:tc>
              <w:tc>
                <w:tcPr>
                  <w:tcW w:w="3998" w:type="dxa"/>
                  <w:vAlign w:val="center"/>
                </w:tcPr>
                <w:p>
                  <w:pPr>
                    <w:wordWrap w:val="0"/>
                    <w:jc w:val="left"/>
                    <w:rPr>
                      <w:rFonts w:cs="Times New Roman"/>
                      <w:sz w:val="21"/>
                      <w:szCs w:val="21"/>
                    </w:rPr>
                  </w:pPr>
                  <w:r>
                    <w:rPr>
                      <w:rFonts w:cs="Times New Roman"/>
                      <w:sz w:val="21"/>
                      <w:szCs w:val="21"/>
                    </w:rPr>
                    <w:t>格栅渠、调节池合建。</w:t>
                  </w:r>
                  <w:r>
                    <w:rPr>
                      <w:rFonts w:hint="eastAsia" w:cs="Times New Roman"/>
                      <w:sz w:val="21"/>
                      <w:szCs w:val="21"/>
                    </w:rPr>
                    <w:t>人工</w:t>
                  </w:r>
                  <w:r>
                    <w:rPr>
                      <w:rFonts w:cs="Times New Roman"/>
                      <w:sz w:val="21"/>
                      <w:szCs w:val="21"/>
                    </w:rPr>
                    <w:t>格栅1台，设计栅间距10mm；调节池设计尺寸为4.0m×3.0m×3.5m，配备两台</w:t>
                  </w:r>
                  <w:r>
                    <w:rPr>
                      <w:rFonts w:cs="Times New Roman"/>
                      <w:bCs/>
                      <w:sz w:val="21"/>
                      <w:szCs w:val="21"/>
                    </w:rPr>
                    <w:t>污水泵（Q=6.25m</w:t>
                  </w:r>
                  <w:r>
                    <w:rPr>
                      <w:rFonts w:cs="Times New Roman"/>
                      <w:bCs/>
                      <w:sz w:val="21"/>
                      <w:szCs w:val="21"/>
                      <w:vertAlign w:val="superscript"/>
                    </w:rPr>
                    <w:t>3</w:t>
                  </w:r>
                  <w:r>
                    <w:rPr>
                      <w:rFonts w:cs="Times New Roman"/>
                      <w:bCs/>
                      <w:sz w:val="21"/>
                      <w:szCs w:val="21"/>
                    </w:rPr>
                    <w:t>/h，H=8m，N=0.5kW），</w:t>
                  </w:r>
                  <w:r>
                    <w:rPr>
                      <w:rFonts w:cs="Times New Roman"/>
                      <w:sz w:val="21"/>
                      <w:szCs w:val="21"/>
                    </w:rPr>
                    <w:t>1用1备；2套</w:t>
                  </w:r>
                  <w:r>
                    <w:rPr>
                      <w:rFonts w:cs="Times New Roman"/>
                      <w:bCs/>
                      <w:sz w:val="21"/>
                      <w:szCs w:val="21"/>
                    </w:rPr>
                    <w:t>浮球液位计，量程0~4m；1套流量计，量程0~6.25</w:t>
                  </w:r>
                  <w:r>
                    <w:rPr>
                      <w:rFonts w:cs="Times New Roman"/>
                      <w:sz w:val="21"/>
                      <w:szCs w:val="21"/>
                    </w:rPr>
                    <w:t>m</w:t>
                  </w:r>
                  <w:r>
                    <w:rPr>
                      <w:rFonts w:cs="Times New Roman"/>
                      <w:sz w:val="21"/>
                      <w:szCs w:val="21"/>
                      <w:vertAlign w:val="superscript"/>
                    </w:rPr>
                    <w:t>3</w:t>
                  </w:r>
                  <w:r>
                    <w:rPr>
                      <w:rFonts w:cs="Times New Roman"/>
                      <w:sz w:val="21"/>
                      <w:szCs w:val="21"/>
                    </w:rPr>
                    <w:t>/h</w:t>
                  </w:r>
                  <w:r>
                    <w:rPr>
                      <w:rFonts w:hint="eastAsia" w:cs="Times New Roman"/>
                      <w:sz w:val="21"/>
                      <w:szCs w:val="21"/>
                    </w:rPr>
                    <w:t>。</w:t>
                  </w:r>
                </w:p>
              </w:tc>
              <w:tc>
                <w:tcPr>
                  <w:tcW w:w="964" w:type="dxa"/>
                  <w:vMerge w:val="continue"/>
                  <w:vAlign w:val="center"/>
                </w:tcPr>
                <w:p>
                  <w:pPr>
                    <w:wordWrap w:val="0"/>
                    <w:adjustRightInd w:val="0"/>
                    <w:snapToGrid w:val="0"/>
                    <w:jc w:val="center"/>
                    <w:rPr>
                      <w:rFonts w:cs="Times New Roman"/>
                      <w:sz w:val="21"/>
                      <w:szCs w:val="21"/>
                    </w:rPr>
                  </w:pPr>
                </w:p>
              </w:tc>
              <w:tc>
                <w:tcPr>
                  <w:tcW w:w="1044" w:type="dxa"/>
                  <w:vMerge w:val="continue"/>
                  <w:vAlign w:val="center"/>
                </w:tcPr>
                <w:p>
                  <w:pPr>
                    <w:wordWrap w:val="0"/>
                    <w:adjustRightInd w:val="0"/>
                    <w:snapToGrid w:val="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807" w:type="dxa"/>
                  <w:vMerge w:val="continue"/>
                  <w:vAlign w:val="center"/>
                </w:tcPr>
                <w:p>
                  <w:pPr>
                    <w:wordWrap w:val="0"/>
                    <w:adjustRightInd w:val="0"/>
                    <w:snapToGrid w:val="0"/>
                    <w:jc w:val="center"/>
                    <w:rPr>
                      <w:rFonts w:cs="Times New Roman"/>
                      <w:sz w:val="21"/>
                      <w:szCs w:val="21"/>
                    </w:rPr>
                  </w:pPr>
                </w:p>
              </w:tc>
              <w:tc>
                <w:tcPr>
                  <w:tcW w:w="1045" w:type="dxa"/>
                  <w:vAlign w:val="center"/>
                </w:tcPr>
                <w:p>
                  <w:pPr>
                    <w:wordWrap w:val="0"/>
                    <w:adjustRightInd w:val="0"/>
                    <w:snapToGrid w:val="0"/>
                    <w:jc w:val="center"/>
                    <w:rPr>
                      <w:rFonts w:cs="Times New Roman"/>
                      <w:sz w:val="21"/>
                      <w:szCs w:val="21"/>
                    </w:rPr>
                  </w:pPr>
                  <w:r>
                    <w:rPr>
                      <w:rFonts w:cs="Times New Roman"/>
                      <w:sz w:val="21"/>
                      <w:szCs w:val="21"/>
                    </w:rPr>
                    <w:t>一体化设备</w:t>
                  </w:r>
                </w:p>
              </w:tc>
              <w:tc>
                <w:tcPr>
                  <w:tcW w:w="3998" w:type="dxa"/>
                  <w:vAlign w:val="center"/>
                </w:tcPr>
                <w:p>
                  <w:pPr>
                    <w:wordWrap w:val="0"/>
                    <w:adjustRightInd w:val="0"/>
                    <w:snapToGrid w:val="0"/>
                    <w:jc w:val="left"/>
                    <w:rPr>
                      <w:rFonts w:cs="Times New Roman"/>
                      <w:sz w:val="21"/>
                      <w:szCs w:val="21"/>
                    </w:rPr>
                  </w:pPr>
                  <w:r>
                    <w:rPr>
                      <w:rFonts w:cs="Times New Roman"/>
                      <w:sz w:val="21"/>
                      <w:szCs w:val="21"/>
                    </w:rPr>
                    <w:t>设计安装A/O+MBR膜一体化污水处理设备1台，处理规模100m</w:t>
                  </w:r>
                  <w:r>
                    <w:rPr>
                      <w:rFonts w:cs="Times New Roman"/>
                      <w:sz w:val="21"/>
                      <w:szCs w:val="21"/>
                      <w:vertAlign w:val="superscript"/>
                    </w:rPr>
                    <w:t>3</w:t>
                  </w:r>
                  <w:r>
                    <w:rPr>
                      <w:rFonts w:cs="Times New Roman"/>
                      <w:sz w:val="21"/>
                      <w:szCs w:val="21"/>
                    </w:rPr>
                    <w:t>/d。分为厌氧</w:t>
                  </w:r>
                  <w:r>
                    <w:rPr>
                      <w:rFonts w:hint="eastAsia" w:cs="Times New Roman"/>
                      <w:sz w:val="21"/>
                      <w:szCs w:val="21"/>
                    </w:rPr>
                    <w:t>池</w:t>
                  </w:r>
                  <w:r>
                    <w:rPr>
                      <w:rFonts w:cs="Times New Roman"/>
                      <w:sz w:val="21"/>
                      <w:szCs w:val="21"/>
                    </w:rPr>
                    <w:t>、好氧</w:t>
                  </w:r>
                  <w:r>
                    <w:rPr>
                      <w:rFonts w:hint="eastAsia" w:cs="Times New Roman"/>
                      <w:sz w:val="21"/>
                      <w:szCs w:val="21"/>
                    </w:rPr>
                    <w:t>池</w:t>
                  </w:r>
                  <w:r>
                    <w:rPr>
                      <w:rFonts w:cs="Times New Roman"/>
                      <w:sz w:val="21"/>
                      <w:szCs w:val="21"/>
                    </w:rPr>
                    <w:t>、</w:t>
                  </w:r>
                  <w:r>
                    <w:rPr>
                      <w:rFonts w:hint="eastAsia" w:cs="Times New Roman"/>
                      <w:sz w:val="21"/>
                      <w:szCs w:val="21"/>
                    </w:rPr>
                    <w:t>M</w:t>
                  </w:r>
                  <w:r>
                    <w:rPr>
                      <w:rFonts w:cs="Times New Roman"/>
                      <w:sz w:val="21"/>
                      <w:szCs w:val="21"/>
                    </w:rPr>
                    <w:t>BR</w:t>
                  </w:r>
                  <w:r>
                    <w:rPr>
                      <w:rFonts w:hint="eastAsia" w:cs="Times New Roman"/>
                      <w:sz w:val="21"/>
                      <w:szCs w:val="21"/>
                    </w:rPr>
                    <w:t>膜池</w:t>
                  </w:r>
                  <w:r>
                    <w:rPr>
                      <w:rFonts w:cs="Times New Roman"/>
                      <w:sz w:val="21"/>
                      <w:szCs w:val="21"/>
                    </w:rPr>
                    <w:t>、沉淀消毒</w:t>
                  </w:r>
                  <w:r>
                    <w:rPr>
                      <w:rFonts w:hint="eastAsia" w:cs="Times New Roman"/>
                      <w:sz w:val="21"/>
                      <w:szCs w:val="21"/>
                    </w:rPr>
                    <w:t>池</w:t>
                  </w:r>
                  <w:r>
                    <w:rPr>
                      <w:rFonts w:cs="Times New Roman"/>
                      <w:sz w:val="21"/>
                      <w:szCs w:val="21"/>
                    </w:rPr>
                    <w:t>和设备</w:t>
                  </w:r>
                  <w:r>
                    <w:rPr>
                      <w:rFonts w:hint="eastAsia" w:cs="Times New Roman"/>
                      <w:sz w:val="21"/>
                      <w:szCs w:val="21"/>
                    </w:rPr>
                    <w:t>操作</w:t>
                  </w:r>
                  <w:r>
                    <w:rPr>
                      <w:rFonts w:cs="Times New Roman"/>
                      <w:sz w:val="21"/>
                      <w:szCs w:val="21"/>
                    </w:rPr>
                    <w:t>间共五个部分，每个区域分隔独立。一体化污水处理设备设计尺寸为</w:t>
                  </w:r>
                  <w:r>
                    <w:rPr>
                      <w:rFonts w:hint="eastAsia" w:cs="Times New Roman"/>
                      <w:sz w:val="21"/>
                      <w:szCs w:val="21"/>
                    </w:rPr>
                    <w:t>1</w:t>
                  </w:r>
                  <w:r>
                    <w:rPr>
                      <w:rFonts w:cs="Times New Roman"/>
                      <w:sz w:val="21"/>
                      <w:szCs w:val="21"/>
                    </w:rPr>
                    <w:t>2m×3m×3m</w:t>
                  </w:r>
                  <w:r>
                    <w:rPr>
                      <w:rFonts w:hint="eastAsia" w:cs="Times New Roman"/>
                      <w:sz w:val="21"/>
                      <w:szCs w:val="21"/>
                    </w:rPr>
                    <w:t>。</w:t>
                  </w:r>
                </w:p>
              </w:tc>
              <w:tc>
                <w:tcPr>
                  <w:tcW w:w="964" w:type="dxa"/>
                  <w:vMerge w:val="continue"/>
                  <w:vAlign w:val="center"/>
                </w:tcPr>
                <w:p>
                  <w:pPr>
                    <w:wordWrap w:val="0"/>
                    <w:adjustRightInd w:val="0"/>
                    <w:snapToGrid w:val="0"/>
                    <w:jc w:val="center"/>
                    <w:rPr>
                      <w:rFonts w:cs="Times New Roman"/>
                      <w:sz w:val="21"/>
                      <w:szCs w:val="21"/>
                    </w:rPr>
                  </w:pPr>
                </w:p>
              </w:tc>
              <w:tc>
                <w:tcPr>
                  <w:tcW w:w="1044" w:type="dxa"/>
                  <w:vMerge w:val="continue"/>
                  <w:vAlign w:val="center"/>
                </w:tcPr>
                <w:p>
                  <w:pPr>
                    <w:wordWrap w:val="0"/>
                    <w:adjustRightInd w:val="0"/>
                    <w:snapToGrid w:val="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38" w:type="dxa"/>
                  <w:vMerge w:val="restart"/>
                  <w:vAlign w:val="center"/>
                </w:tcPr>
                <w:p>
                  <w:pPr>
                    <w:wordWrap w:val="0"/>
                    <w:adjustRightInd w:val="0"/>
                    <w:snapToGrid w:val="0"/>
                    <w:jc w:val="center"/>
                    <w:rPr>
                      <w:rFonts w:cs="Times New Roman"/>
                      <w:sz w:val="21"/>
                      <w:szCs w:val="21"/>
                    </w:rPr>
                  </w:pPr>
                  <w:r>
                    <w:rPr>
                      <w:rFonts w:cs="Times New Roman"/>
                      <w:sz w:val="21"/>
                      <w:szCs w:val="21"/>
                    </w:rPr>
                    <w:t>配套辅助工程</w:t>
                  </w:r>
                </w:p>
              </w:tc>
              <w:tc>
                <w:tcPr>
                  <w:tcW w:w="1852" w:type="dxa"/>
                  <w:gridSpan w:val="2"/>
                  <w:vAlign w:val="center"/>
                </w:tcPr>
                <w:p>
                  <w:pPr>
                    <w:wordWrap w:val="0"/>
                    <w:adjustRightInd w:val="0"/>
                    <w:snapToGrid w:val="0"/>
                    <w:jc w:val="center"/>
                    <w:rPr>
                      <w:rFonts w:cs="Times New Roman"/>
                      <w:sz w:val="21"/>
                      <w:szCs w:val="21"/>
                    </w:rPr>
                  </w:pPr>
                  <w:r>
                    <w:rPr>
                      <w:rFonts w:cs="Times New Roman"/>
                      <w:sz w:val="21"/>
                      <w:szCs w:val="21"/>
                    </w:rPr>
                    <w:t>供电工程</w:t>
                  </w:r>
                </w:p>
              </w:tc>
              <w:tc>
                <w:tcPr>
                  <w:tcW w:w="3998" w:type="dxa"/>
                  <w:vAlign w:val="center"/>
                </w:tcPr>
                <w:p>
                  <w:pPr>
                    <w:wordWrap w:val="0"/>
                    <w:adjustRightInd w:val="0"/>
                    <w:snapToGrid w:val="0"/>
                    <w:jc w:val="left"/>
                    <w:rPr>
                      <w:rFonts w:cs="Times New Roman"/>
                      <w:sz w:val="21"/>
                      <w:szCs w:val="21"/>
                    </w:rPr>
                  </w:pPr>
                  <w:r>
                    <w:rPr>
                      <w:rFonts w:cs="Times New Roman"/>
                      <w:sz w:val="21"/>
                      <w:szCs w:val="21"/>
                    </w:rPr>
                    <w:t>就近接入市政电网。</w:t>
                  </w:r>
                </w:p>
              </w:tc>
              <w:tc>
                <w:tcPr>
                  <w:tcW w:w="964" w:type="dxa"/>
                  <w:vMerge w:val="continue"/>
                  <w:vAlign w:val="center"/>
                </w:tcPr>
                <w:p>
                  <w:pPr>
                    <w:wordWrap w:val="0"/>
                    <w:adjustRightInd w:val="0"/>
                    <w:snapToGrid w:val="0"/>
                    <w:jc w:val="center"/>
                    <w:rPr>
                      <w:rFonts w:cs="Times New Roman"/>
                      <w:sz w:val="21"/>
                      <w:szCs w:val="21"/>
                    </w:rPr>
                  </w:pPr>
                </w:p>
              </w:tc>
              <w:tc>
                <w:tcPr>
                  <w:tcW w:w="1044" w:type="dxa"/>
                  <w:vAlign w:val="center"/>
                </w:tcPr>
                <w:p>
                  <w:pPr>
                    <w:wordWrap w:val="0"/>
                    <w:adjustRightInd w:val="0"/>
                    <w:snapToGrid w:val="0"/>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Align w:val="center"/>
                </w:tcPr>
                <w:p>
                  <w:pPr>
                    <w:wordWrap w:val="0"/>
                    <w:adjustRightInd w:val="0"/>
                    <w:snapToGrid w:val="0"/>
                    <w:jc w:val="center"/>
                    <w:rPr>
                      <w:rFonts w:cs="Times New Roman"/>
                      <w:sz w:val="21"/>
                      <w:szCs w:val="21"/>
                    </w:rPr>
                  </w:pPr>
                  <w:r>
                    <w:rPr>
                      <w:rFonts w:cs="Times New Roman"/>
                      <w:sz w:val="21"/>
                      <w:szCs w:val="21"/>
                    </w:rPr>
                    <w:t>给排水工程</w:t>
                  </w:r>
                </w:p>
              </w:tc>
              <w:tc>
                <w:tcPr>
                  <w:tcW w:w="3998" w:type="dxa"/>
                  <w:vAlign w:val="center"/>
                </w:tcPr>
                <w:p>
                  <w:pPr>
                    <w:rPr>
                      <w:rFonts w:cs="Times New Roman"/>
                      <w:sz w:val="21"/>
                      <w:szCs w:val="21"/>
                    </w:rPr>
                  </w:pPr>
                  <w:r>
                    <w:rPr>
                      <w:rFonts w:cs="Times New Roman"/>
                      <w:sz w:val="21"/>
                      <w:szCs w:val="21"/>
                    </w:rPr>
                    <w:t>马嘶溪火车站片区生活用水为市政供水；马嘶溪火车站片区污水处理系统内设置污水排水管和雨水系统</w:t>
                  </w:r>
                  <w:r>
                    <w:rPr>
                      <w:rFonts w:hint="eastAsia" w:cs="Times New Roman"/>
                      <w:sz w:val="21"/>
                      <w:szCs w:val="21"/>
                    </w:rPr>
                    <w:t>。站内</w:t>
                  </w:r>
                  <w:r>
                    <w:rPr>
                      <w:rFonts w:cs="Times New Roman"/>
                      <w:sz w:val="21"/>
                      <w:szCs w:val="21"/>
                    </w:rPr>
                    <w:t>污水全部排入格栅调节池，进入污水处理系统</w:t>
                  </w:r>
                  <w:r>
                    <w:rPr>
                      <w:rFonts w:hint="eastAsia" w:cs="Times New Roman"/>
                      <w:sz w:val="21"/>
                      <w:szCs w:val="21"/>
                    </w:rPr>
                    <w:t>处理后达标排入大渡河，</w:t>
                  </w:r>
                  <w:r>
                    <w:rPr>
                      <w:rFonts w:cs="Times New Roman"/>
                      <w:sz w:val="21"/>
                      <w:szCs w:val="21"/>
                    </w:rPr>
                    <w:t>雨水通过雨水管道直接排入</w:t>
                  </w:r>
                  <w:r>
                    <w:rPr>
                      <w:rFonts w:hint="eastAsia" w:cs="Times New Roman"/>
                      <w:sz w:val="21"/>
                      <w:szCs w:val="21"/>
                    </w:rPr>
                    <w:t>大渡河</w:t>
                  </w:r>
                  <w:r>
                    <w:rPr>
                      <w:rFonts w:cs="Times New Roman"/>
                      <w:sz w:val="21"/>
                      <w:szCs w:val="21"/>
                    </w:rPr>
                    <w:t>。</w:t>
                  </w:r>
                </w:p>
              </w:tc>
              <w:tc>
                <w:tcPr>
                  <w:tcW w:w="964" w:type="dxa"/>
                  <w:vMerge w:val="continue"/>
                  <w:vAlign w:val="center"/>
                </w:tcPr>
                <w:p>
                  <w:pPr>
                    <w:wordWrap w:val="0"/>
                    <w:adjustRightInd w:val="0"/>
                    <w:snapToGrid w:val="0"/>
                    <w:jc w:val="center"/>
                    <w:rPr>
                      <w:rFonts w:cs="Times New Roman"/>
                      <w:sz w:val="21"/>
                      <w:szCs w:val="21"/>
                    </w:rPr>
                  </w:pPr>
                </w:p>
              </w:tc>
              <w:tc>
                <w:tcPr>
                  <w:tcW w:w="1044" w:type="dxa"/>
                  <w:vAlign w:val="center"/>
                </w:tcPr>
                <w:p>
                  <w:pPr>
                    <w:wordWrap w:val="0"/>
                    <w:adjustRightInd w:val="0"/>
                    <w:snapToGrid w:val="0"/>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38" w:type="dxa"/>
                  <w:vMerge w:val="restart"/>
                  <w:vAlign w:val="center"/>
                </w:tcPr>
                <w:p>
                  <w:pPr>
                    <w:wordWrap w:val="0"/>
                    <w:adjustRightInd w:val="0"/>
                    <w:snapToGrid w:val="0"/>
                    <w:jc w:val="center"/>
                    <w:rPr>
                      <w:rFonts w:cs="Times New Roman"/>
                      <w:sz w:val="21"/>
                      <w:szCs w:val="21"/>
                    </w:rPr>
                  </w:pPr>
                  <w:r>
                    <w:rPr>
                      <w:rFonts w:cs="Times New Roman"/>
                      <w:sz w:val="21"/>
                      <w:szCs w:val="21"/>
                    </w:rPr>
                    <w:t>环保工程</w:t>
                  </w:r>
                </w:p>
              </w:tc>
              <w:tc>
                <w:tcPr>
                  <w:tcW w:w="1852" w:type="dxa"/>
                  <w:gridSpan w:val="2"/>
                  <w:vMerge w:val="restart"/>
                  <w:vAlign w:val="center"/>
                </w:tcPr>
                <w:p>
                  <w:pPr>
                    <w:wordWrap w:val="0"/>
                    <w:adjustRightInd w:val="0"/>
                    <w:snapToGrid w:val="0"/>
                    <w:jc w:val="center"/>
                    <w:rPr>
                      <w:rFonts w:cs="Times New Roman"/>
                      <w:sz w:val="21"/>
                      <w:szCs w:val="21"/>
                    </w:rPr>
                  </w:pPr>
                  <w:r>
                    <w:rPr>
                      <w:rFonts w:cs="Times New Roman"/>
                      <w:sz w:val="21"/>
                      <w:szCs w:val="21"/>
                    </w:rPr>
                    <w:t>固体废弃物治理</w:t>
                  </w:r>
                </w:p>
              </w:tc>
              <w:tc>
                <w:tcPr>
                  <w:tcW w:w="3998" w:type="dxa"/>
                  <w:vAlign w:val="center"/>
                </w:tcPr>
                <w:p>
                  <w:pPr>
                    <w:wordWrap w:val="0"/>
                    <w:adjustRightInd w:val="0"/>
                    <w:snapToGrid w:val="0"/>
                    <w:jc w:val="left"/>
                    <w:rPr>
                      <w:rFonts w:cs="Times New Roman"/>
                      <w:sz w:val="21"/>
                      <w:szCs w:val="21"/>
                    </w:rPr>
                  </w:pPr>
                  <w:r>
                    <w:rPr>
                      <w:rFonts w:cs="Times New Roman"/>
                      <w:sz w:val="21"/>
                      <w:szCs w:val="21"/>
                    </w:rPr>
                    <w:t>生活垃圾：污水处理站配备1名管理人员，厂区内不设值班室，管理人员定期巡检。生活垃圾由嘶溪村垃圾集中收集点处置。</w:t>
                  </w:r>
                </w:p>
              </w:tc>
              <w:tc>
                <w:tcPr>
                  <w:tcW w:w="964" w:type="dxa"/>
                  <w:vMerge w:val="continue"/>
                  <w:vAlign w:val="center"/>
                </w:tcPr>
                <w:p>
                  <w:pPr>
                    <w:wordWrap w:val="0"/>
                    <w:adjustRightInd w:val="0"/>
                    <w:snapToGrid w:val="0"/>
                    <w:jc w:val="center"/>
                    <w:rPr>
                      <w:rFonts w:cs="Times New Roman"/>
                      <w:sz w:val="21"/>
                      <w:szCs w:val="21"/>
                    </w:rPr>
                  </w:pPr>
                </w:p>
              </w:tc>
              <w:tc>
                <w:tcPr>
                  <w:tcW w:w="1044" w:type="dxa"/>
                  <w:vAlign w:val="center"/>
                </w:tcPr>
                <w:p>
                  <w:pPr>
                    <w:wordWrap w:val="0"/>
                    <w:adjustRightInd w:val="0"/>
                    <w:snapToGrid w:val="0"/>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Merge w:val="continue"/>
                  <w:vAlign w:val="center"/>
                </w:tcPr>
                <w:p>
                  <w:pPr>
                    <w:wordWrap w:val="0"/>
                    <w:adjustRightInd w:val="0"/>
                    <w:snapToGrid w:val="0"/>
                    <w:jc w:val="center"/>
                    <w:rPr>
                      <w:rFonts w:cs="Times New Roman"/>
                      <w:sz w:val="21"/>
                      <w:szCs w:val="21"/>
                    </w:rPr>
                  </w:pPr>
                </w:p>
              </w:tc>
              <w:tc>
                <w:tcPr>
                  <w:tcW w:w="3998" w:type="dxa"/>
                  <w:vAlign w:val="center"/>
                </w:tcPr>
                <w:p>
                  <w:pPr>
                    <w:wordWrap w:val="0"/>
                    <w:adjustRightInd w:val="0"/>
                    <w:snapToGrid w:val="0"/>
                    <w:jc w:val="left"/>
                    <w:rPr>
                      <w:rFonts w:cs="Times New Roman"/>
                      <w:sz w:val="21"/>
                      <w:szCs w:val="21"/>
                    </w:rPr>
                  </w:pPr>
                  <w:r>
                    <w:rPr>
                      <w:rFonts w:hint="eastAsia"/>
                      <w:sz w:val="21"/>
                      <w:szCs w:val="21"/>
                    </w:rPr>
                    <w:t>格栅栅渣：</w:t>
                  </w:r>
                  <w:r>
                    <w:rPr>
                      <w:sz w:val="21"/>
                      <w:szCs w:val="21"/>
                    </w:rPr>
                    <w:t>环卫部门统一清运</w:t>
                  </w:r>
                  <w:r>
                    <w:rPr>
                      <w:rFonts w:hint="eastAsia"/>
                      <w:sz w:val="21"/>
                      <w:szCs w:val="21"/>
                    </w:rPr>
                    <w:t>。</w:t>
                  </w:r>
                </w:p>
              </w:tc>
              <w:tc>
                <w:tcPr>
                  <w:tcW w:w="964" w:type="dxa"/>
                  <w:vMerge w:val="continue"/>
                  <w:vAlign w:val="center"/>
                </w:tcPr>
                <w:p>
                  <w:pPr>
                    <w:wordWrap w:val="0"/>
                    <w:adjustRightInd w:val="0"/>
                    <w:snapToGrid w:val="0"/>
                    <w:jc w:val="center"/>
                    <w:rPr>
                      <w:rFonts w:cs="Times New Roman"/>
                      <w:sz w:val="21"/>
                      <w:szCs w:val="21"/>
                    </w:rPr>
                  </w:pPr>
                </w:p>
              </w:tc>
              <w:tc>
                <w:tcPr>
                  <w:tcW w:w="1044" w:type="dxa"/>
                  <w:vAlign w:val="center"/>
                </w:tcPr>
                <w:p>
                  <w:pPr>
                    <w:wordWrap w:val="0"/>
                    <w:adjustRightInd w:val="0"/>
                    <w:snapToGrid w:val="0"/>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Merge w:val="continue"/>
                  <w:vAlign w:val="center"/>
                </w:tcPr>
                <w:p>
                  <w:pPr>
                    <w:wordWrap w:val="0"/>
                    <w:adjustRightInd w:val="0"/>
                    <w:snapToGrid w:val="0"/>
                    <w:jc w:val="center"/>
                    <w:rPr>
                      <w:rFonts w:cs="Times New Roman"/>
                      <w:sz w:val="21"/>
                      <w:szCs w:val="21"/>
                    </w:rPr>
                  </w:pPr>
                </w:p>
              </w:tc>
              <w:tc>
                <w:tcPr>
                  <w:tcW w:w="3998" w:type="dxa"/>
                  <w:vAlign w:val="center"/>
                </w:tcPr>
                <w:p>
                  <w:pPr>
                    <w:wordWrap w:val="0"/>
                    <w:adjustRightInd w:val="0"/>
                    <w:snapToGrid w:val="0"/>
                    <w:jc w:val="left"/>
                    <w:rPr>
                      <w:rFonts w:cs="Times New Roman"/>
                      <w:sz w:val="21"/>
                      <w:szCs w:val="21"/>
                      <w:highlight w:val="yellow"/>
                    </w:rPr>
                  </w:pPr>
                  <w:r>
                    <w:rPr>
                      <w:rFonts w:cs="Times New Roman"/>
                      <w:sz w:val="21"/>
                      <w:szCs w:val="21"/>
                    </w:rPr>
                    <w:t>污泥：</w:t>
                  </w:r>
                  <w:r>
                    <w:rPr>
                      <w:rFonts w:hint="eastAsia" w:cs="Times New Roman"/>
                      <w:sz w:val="21"/>
                      <w:szCs w:val="21"/>
                    </w:rPr>
                    <w:t>采用吸粪车外运峨边城市污水处理厂处置。</w:t>
                  </w:r>
                </w:p>
              </w:tc>
              <w:tc>
                <w:tcPr>
                  <w:tcW w:w="964" w:type="dxa"/>
                  <w:vMerge w:val="continue"/>
                  <w:vAlign w:val="center"/>
                </w:tcPr>
                <w:p>
                  <w:pPr>
                    <w:wordWrap w:val="0"/>
                    <w:adjustRightInd w:val="0"/>
                    <w:snapToGrid w:val="0"/>
                    <w:jc w:val="center"/>
                    <w:rPr>
                      <w:rFonts w:cs="Times New Roman"/>
                      <w:sz w:val="21"/>
                      <w:szCs w:val="21"/>
                    </w:rPr>
                  </w:pPr>
                </w:p>
              </w:tc>
              <w:tc>
                <w:tcPr>
                  <w:tcW w:w="1044" w:type="dxa"/>
                  <w:vMerge w:val="restart"/>
                  <w:vAlign w:val="center"/>
                </w:tcPr>
                <w:p>
                  <w:pPr>
                    <w:wordWrap w:val="0"/>
                    <w:adjustRightInd w:val="0"/>
                    <w:snapToGrid w:val="0"/>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Merge w:val="continue"/>
                  <w:vAlign w:val="center"/>
                </w:tcPr>
                <w:p>
                  <w:pPr>
                    <w:wordWrap w:val="0"/>
                    <w:adjustRightInd w:val="0"/>
                    <w:snapToGrid w:val="0"/>
                    <w:jc w:val="center"/>
                    <w:rPr>
                      <w:rFonts w:cs="Times New Roman"/>
                      <w:sz w:val="21"/>
                      <w:szCs w:val="21"/>
                    </w:rPr>
                  </w:pPr>
                </w:p>
              </w:tc>
              <w:tc>
                <w:tcPr>
                  <w:tcW w:w="3998" w:type="dxa"/>
                  <w:vAlign w:val="center"/>
                </w:tcPr>
                <w:p>
                  <w:pPr>
                    <w:wordWrap w:val="0"/>
                    <w:adjustRightInd w:val="0"/>
                    <w:snapToGrid w:val="0"/>
                    <w:jc w:val="left"/>
                    <w:rPr>
                      <w:rFonts w:cs="Times New Roman"/>
                      <w:sz w:val="21"/>
                      <w:szCs w:val="21"/>
                      <w:highlight w:val="yellow"/>
                    </w:rPr>
                  </w:pPr>
                  <w:r>
                    <w:rPr>
                      <w:rFonts w:cs="Times New Roman"/>
                      <w:sz w:val="21"/>
                      <w:szCs w:val="21"/>
                    </w:rPr>
                    <w:t>废弃填料</w:t>
                  </w:r>
                  <w:r>
                    <w:rPr>
                      <w:rFonts w:hint="eastAsia" w:cs="Times New Roman"/>
                      <w:sz w:val="21"/>
                      <w:szCs w:val="21"/>
                    </w:rPr>
                    <w:t>（M</w:t>
                  </w:r>
                  <w:r>
                    <w:rPr>
                      <w:rFonts w:cs="Times New Roman"/>
                      <w:sz w:val="21"/>
                      <w:szCs w:val="21"/>
                    </w:rPr>
                    <w:t>BR</w:t>
                  </w:r>
                  <w:r>
                    <w:rPr>
                      <w:rFonts w:hint="eastAsia" w:cs="Times New Roman"/>
                      <w:sz w:val="21"/>
                      <w:szCs w:val="21"/>
                    </w:rPr>
                    <w:t>膜）</w:t>
                  </w:r>
                  <w:r>
                    <w:rPr>
                      <w:rFonts w:cs="Times New Roman"/>
                      <w:sz w:val="21"/>
                      <w:szCs w:val="21"/>
                    </w:rPr>
                    <w:t>：经统一收集后交由厂家回收</w:t>
                  </w:r>
                  <w:r>
                    <w:rPr>
                      <w:rFonts w:hint="eastAsia" w:cs="Times New Roman"/>
                      <w:sz w:val="21"/>
                      <w:szCs w:val="21"/>
                    </w:rPr>
                    <w:t>。</w:t>
                  </w:r>
                </w:p>
              </w:tc>
              <w:tc>
                <w:tcPr>
                  <w:tcW w:w="964" w:type="dxa"/>
                  <w:vMerge w:val="continue"/>
                  <w:vAlign w:val="center"/>
                </w:tcPr>
                <w:p>
                  <w:pPr>
                    <w:wordWrap w:val="0"/>
                    <w:adjustRightInd w:val="0"/>
                    <w:snapToGrid w:val="0"/>
                    <w:jc w:val="center"/>
                    <w:rPr>
                      <w:rFonts w:cs="Times New Roman"/>
                      <w:sz w:val="21"/>
                      <w:szCs w:val="21"/>
                    </w:rPr>
                  </w:pPr>
                </w:p>
              </w:tc>
              <w:tc>
                <w:tcPr>
                  <w:tcW w:w="1044" w:type="dxa"/>
                  <w:vMerge w:val="continue"/>
                  <w:vAlign w:val="center"/>
                </w:tcPr>
                <w:p>
                  <w:pPr>
                    <w:wordWrap w:val="0"/>
                    <w:adjustRightInd w:val="0"/>
                    <w:snapToGrid w:val="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Align w:val="center"/>
                </w:tcPr>
                <w:p>
                  <w:pPr>
                    <w:wordWrap w:val="0"/>
                    <w:adjustRightInd w:val="0"/>
                    <w:snapToGrid w:val="0"/>
                    <w:jc w:val="center"/>
                    <w:rPr>
                      <w:rFonts w:cs="Times New Roman"/>
                      <w:sz w:val="21"/>
                      <w:szCs w:val="21"/>
                    </w:rPr>
                  </w:pPr>
                  <w:r>
                    <w:rPr>
                      <w:rFonts w:cs="Times New Roman"/>
                      <w:sz w:val="21"/>
                      <w:szCs w:val="21"/>
                    </w:rPr>
                    <w:t>废水防治</w:t>
                  </w:r>
                </w:p>
              </w:tc>
              <w:tc>
                <w:tcPr>
                  <w:tcW w:w="3998" w:type="dxa"/>
                  <w:vAlign w:val="center"/>
                </w:tcPr>
                <w:p>
                  <w:pPr>
                    <w:wordWrap w:val="0"/>
                    <w:adjustRightInd w:val="0"/>
                    <w:snapToGrid w:val="0"/>
                    <w:jc w:val="left"/>
                    <w:rPr>
                      <w:rFonts w:cs="Times New Roman"/>
                      <w:sz w:val="21"/>
                      <w:szCs w:val="21"/>
                      <w:highlight w:val="yellow"/>
                    </w:rPr>
                  </w:pPr>
                  <w:r>
                    <w:rPr>
                      <w:rFonts w:hint="eastAsia" w:cs="Times New Roman"/>
                      <w:sz w:val="21"/>
                      <w:szCs w:val="21"/>
                    </w:rPr>
                    <w:t>设备、地面清洗水</w:t>
                  </w:r>
                  <w:r>
                    <w:rPr>
                      <w:rFonts w:cs="Times New Roman"/>
                      <w:sz w:val="21"/>
                      <w:szCs w:val="21"/>
                    </w:rPr>
                    <w:t>：</w:t>
                  </w:r>
                  <w:r>
                    <w:rPr>
                      <w:rFonts w:hint="eastAsia" w:cs="Times New Roman"/>
                      <w:sz w:val="21"/>
                      <w:szCs w:val="21"/>
                    </w:rPr>
                    <w:t>经厂区内管网收集后，返回本厂格栅渠与进站污水一并利用本厂设施处理达标排放。</w:t>
                  </w:r>
                </w:p>
              </w:tc>
              <w:tc>
                <w:tcPr>
                  <w:tcW w:w="964" w:type="dxa"/>
                  <w:vMerge w:val="continue"/>
                  <w:vAlign w:val="center"/>
                </w:tcPr>
                <w:p>
                  <w:pPr>
                    <w:wordWrap w:val="0"/>
                    <w:adjustRightInd w:val="0"/>
                    <w:snapToGrid w:val="0"/>
                    <w:jc w:val="center"/>
                    <w:rPr>
                      <w:rFonts w:cs="Times New Roman"/>
                      <w:sz w:val="21"/>
                      <w:szCs w:val="21"/>
                    </w:rPr>
                  </w:pPr>
                </w:p>
              </w:tc>
              <w:tc>
                <w:tcPr>
                  <w:tcW w:w="1044" w:type="dxa"/>
                  <w:vAlign w:val="center"/>
                </w:tcPr>
                <w:p>
                  <w:pPr>
                    <w:wordWrap w:val="0"/>
                    <w:adjustRightInd w:val="0"/>
                    <w:snapToGrid w:val="0"/>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Align w:val="center"/>
                </w:tcPr>
                <w:p>
                  <w:pPr>
                    <w:wordWrap w:val="0"/>
                    <w:adjustRightInd w:val="0"/>
                    <w:snapToGrid w:val="0"/>
                    <w:jc w:val="center"/>
                    <w:rPr>
                      <w:rFonts w:cs="Times New Roman"/>
                      <w:sz w:val="21"/>
                      <w:szCs w:val="21"/>
                    </w:rPr>
                  </w:pPr>
                  <w:r>
                    <w:rPr>
                      <w:rFonts w:cs="Times New Roman"/>
                      <w:sz w:val="21"/>
                      <w:szCs w:val="21"/>
                    </w:rPr>
                    <w:t>噪声防治</w:t>
                  </w:r>
                </w:p>
              </w:tc>
              <w:tc>
                <w:tcPr>
                  <w:tcW w:w="3998" w:type="dxa"/>
                  <w:vAlign w:val="center"/>
                </w:tcPr>
                <w:p>
                  <w:pPr>
                    <w:wordWrap w:val="0"/>
                    <w:adjustRightInd w:val="0"/>
                    <w:snapToGrid w:val="0"/>
                    <w:jc w:val="left"/>
                    <w:rPr>
                      <w:rFonts w:cs="Times New Roman"/>
                      <w:sz w:val="21"/>
                      <w:szCs w:val="21"/>
                    </w:rPr>
                  </w:pPr>
                  <w:r>
                    <w:rPr>
                      <w:rFonts w:hint="eastAsia" w:cs="Times New Roman"/>
                      <w:sz w:val="21"/>
                      <w:szCs w:val="21"/>
                    </w:rPr>
                    <w:t>对一体化处理站内主要产噪设备进行增加减震垫等措施。</w:t>
                  </w:r>
                </w:p>
              </w:tc>
              <w:tc>
                <w:tcPr>
                  <w:tcW w:w="964" w:type="dxa"/>
                  <w:vMerge w:val="continue"/>
                  <w:vAlign w:val="center"/>
                </w:tcPr>
                <w:p>
                  <w:pPr>
                    <w:wordWrap w:val="0"/>
                    <w:adjustRightInd w:val="0"/>
                    <w:snapToGrid w:val="0"/>
                    <w:jc w:val="center"/>
                    <w:rPr>
                      <w:rFonts w:cs="Times New Roman"/>
                      <w:sz w:val="21"/>
                      <w:szCs w:val="21"/>
                    </w:rPr>
                  </w:pPr>
                </w:p>
              </w:tc>
              <w:tc>
                <w:tcPr>
                  <w:tcW w:w="1044" w:type="dxa"/>
                  <w:vAlign w:val="center"/>
                </w:tcPr>
                <w:p>
                  <w:pPr>
                    <w:wordWrap w:val="0"/>
                    <w:adjustRightInd w:val="0"/>
                    <w:snapToGrid w:val="0"/>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Align w:val="center"/>
                </w:tcPr>
                <w:p>
                  <w:pPr>
                    <w:wordWrap w:val="0"/>
                    <w:adjustRightInd w:val="0"/>
                    <w:snapToGrid w:val="0"/>
                    <w:jc w:val="center"/>
                    <w:rPr>
                      <w:rFonts w:cs="Times New Roman"/>
                      <w:sz w:val="21"/>
                      <w:szCs w:val="21"/>
                    </w:rPr>
                  </w:pPr>
                  <w:r>
                    <w:rPr>
                      <w:rFonts w:cs="Times New Roman"/>
                      <w:sz w:val="21"/>
                      <w:szCs w:val="21"/>
                    </w:rPr>
                    <w:t>废气防治</w:t>
                  </w:r>
                </w:p>
              </w:tc>
              <w:tc>
                <w:tcPr>
                  <w:tcW w:w="3998" w:type="dxa"/>
                  <w:vAlign w:val="center"/>
                </w:tcPr>
                <w:p>
                  <w:pPr>
                    <w:wordWrap w:val="0"/>
                    <w:adjustRightInd w:val="0"/>
                    <w:snapToGrid w:val="0"/>
                    <w:jc w:val="left"/>
                    <w:rPr>
                      <w:rFonts w:cs="Times New Roman"/>
                      <w:sz w:val="21"/>
                      <w:szCs w:val="21"/>
                      <w:highlight w:val="yellow"/>
                    </w:rPr>
                  </w:pPr>
                  <w:r>
                    <w:rPr>
                      <w:sz w:val="21"/>
                      <w:szCs w:val="21"/>
                    </w:rPr>
                    <w:t>对</w:t>
                  </w:r>
                  <w:r>
                    <w:rPr>
                      <w:rFonts w:hint="eastAsia"/>
                      <w:sz w:val="21"/>
                      <w:szCs w:val="21"/>
                    </w:rPr>
                    <w:t>格栅调节池进行密闭处理，四周栽种绿色吸污植物等措施</w:t>
                  </w:r>
                  <w:r>
                    <w:rPr>
                      <w:rFonts w:hint="eastAsia" w:cs="Times New Roman"/>
                      <w:sz w:val="21"/>
                      <w:szCs w:val="21"/>
                    </w:rPr>
                    <w:t>。</w:t>
                  </w:r>
                </w:p>
              </w:tc>
              <w:tc>
                <w:tcPr>
                  <w:tcW w:w="964" w:type="dxa"/>
                  <w:vMerge w:val="continue"/>
                  <w:vAlign w:val="center"/>
                </w:tcPr>
                <w:p>
                  <w:pPr>
                    <w:wordWrap w:val="0"/>
                    <w:adjustRightInd w:val="0"/>
                    <w:snapToGrid w:val="0"/>
                    <w:jc w:val="center"/>
                    <w:rPr>
                      <w:rFonts w:cs="Times New Roman"/>
                      <w:sz w:val="21"/>
                      <w:szCs w:val="21"/>
                    </w:rPr>
                  </w:pPr>
                </w:p>
              </w:tc>
              <w:tc>
                <w:tcPr>
                  <w:tcW w:w="1044" w:type="dxa"/>
                  <w:vAlign w:val="center"/>
                </w:tcPr>
                <w:p>
                  <w:pPr>
                    <w:wordWrap w:val="0"/>
                    <w:adjustRightInd w:val="0"/>
                    <w:snapToGrid w:val="0"/>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vAlign w:val="center"/>
                </w:tcPr>
                <w:p>
                  <w:pPr>
                    <w:wordWrap w:val="0"/>
                    <w:adjustRightInd w:val="0"/>
                    <w:snapToGrid w:val="0"/>
                    <w:jc w:val="center"/>
                    <w:rPr>
                      <w:rFonts w:cs="Times New Roman"/>
                      <w:sz w:val="21"/>
                      <w:szCs w:val="21"/>
                    </w:rPr>
                  </w:pPr>
                </w:p>
              </w:tc>
              <w:tc>
                <w:tcPr>
                  <w:tcW w:w="1852" w:type="dxa"/>
                  <w:gridSpan w:val="2"/>
                  <w:vAlign w:val="center"/>
                </w:tcPr>
                <w:p>
                  <w:pPr>
                    <w:wordWrap w:val="0"/>
                    <w:adjustRightInd w:val="0"/>
                    <w:snapToGrid w:val="0"/>
                    <w:jc w:val="center"/>
                    <w:rPr>
                      <w:rFonts w:cs="Times New Roman"/>
                      <w:sz w:val="21"/>
                      <w:szCs w:val="21"/>
                    </w:rPr>
                  </w:pPr>
                  <w:r>
                    <w:rPr>
                      <w:rFonts w:cs="Times New Roman"/>
                      <w:sz w:val="21"/>
                      <w:szCs w:val="21"/>
                    </w:rPr>
                    <w:t>地下水防治</w:t>
                  </w:r>
                </w:p>
              </w:tc>
              <w:tc>
                <w:tcPr>
                  <w:tcW w:w="3998" w:type="dxa"/>
                  <w:vAlign w:val="center"/>
                </w:tcPr>
                <w:p>
                  <w:pPr>
                    <w:wordWrap w:val="0"/>
                    <w:adjustRightInd w:val="0"/>
                    <w:snapToGrid w:val="0"/>
                    <w:jc w:val="left"/>
                    <w:rPr>
                      <w:rFonts w:cs="Times New Roman"/>
                      <w:sz w:val="21"/>
                      <w:szCs w:val="21"/>
                    </w:rPr>
                  </w:pPr>
                  <w:r>
                    <w:rPr>
                      <w:rFonts w:cs="Times New Roman"/>
                      <w:sz w:val="21"/>
                      <w:szCs w:val="21"/>
                    </w:rPr>
                    <w:t>本项目污水处理站</w:t>
                  </w:r>
                  <w:r>
                    <w:rPr>
                      <w:rFonts w:hint="eastAsia" w:cs="Times New Roman"/>
                      <w:sz w:val="21"/>
                      <w:szCs w:val="21"/>
                    </w:rPr>
                    <w:t>格栅调节池</w:t>
                  </w:r>
                  <w:r>
                    <w:rPr>
                      <w:rFonts w:cs="Times New Roman"/>
                      <w:sz w:val="21"/>
                      <w:szCs w:val="21"/>
                    </w:rPr>
                    <w:t>采用钢筋混凝土结构，</w:t>
                  </w:r>
                  <w:r>
                    <w:rPr>
                      <w:rFonts w:hint="eastAsia" w:cs="Times New Roman"/>
                      <w:sz w:val="21"/>
                      <w:szCs w:val="21"/>
                    </w:rPr>
                    <w:t>一体化设备采用碳钢防腐，</w:t>
                  </w:r>
                  <w:r>
                    <w:rPr>
                      <w:rFonts w:cs="Times New Roman"/>
                      <w:sz w:val="21"/>
                      <w:szCs w:val="21"/>
                    </w:rPr>
                    <w:t>并对池体内外进行防渗、防腐处理，其渗透系数小于1×10</w:t>
                  </w:r>
                  <w:r>
                    <w:rPr>
                      <w:rFonts w:cs="Times New Roman"/>
                      <w:sz w:val="21"/>
                      <w:szCs w:val="21"/>
                      <w:vertAlign w:val="superscript"/>
                    </w:rPr>
                    <w:t>-7</w:t>
                  </w:r>
                  <w:r>
                    <w:rPr>
                      <w:rFonts w:cs="Times New Roman"/>
                      <w:sz w:val="21"/>
                      <w:szCs w:val="21"/>
                    </w:rPr>
                    <w:t>cm/s。</w:t>
                  </w:r>
                </w:p>
              </w:tc>
              <w:tc>
                <w:tcPr>
                  <w:tcW w:w="964" w:type="dxa"/>
                  <w:vMerge w:val="continue"/>
                  <w:vAlign w:val="center"/>
                </w:tcPr>
                <w:p>
                  <w:pPr>
                    <w:wordWrap w:val="0"/>
                    <w:adjustRightInd w:val="0"/>
                    <w:snapToGrid w:val="0"/>
                    <w:jc w:val="center"/>
                    <w:rPr>
                      <w:rFonts w:cs="Times New Roman"/>
                      <w:sz w:val="21"/>
                      <w:szCs w:val="21"/>
                    </w:rPr>
                  </w:pPr>
                </w:p>
              </w:tc>
              <w:tc>
                <w:tcPr>
                  <w:tcW w:w="1044" w:type="dxa"/>
                  <w:vAlign w:val="center"/>
                </w:tcPr>
                <w:p>
                  <w:pPr>
                    <w:wordWrap w:val="0"/>
                    <w:adjustRightInd w:val="0"/>
                    <w:snapToGrid w:val="0"/>
                    <w:jc w:val="center"/>
                    <w:rPr>
                      <w:rFonts w:cs="Times New Roman"/>
                      <w:sz w:val="21"/>
                      <w:szCs w:val="21"/>
                    </w:rPr>
                  </w:pPr>
                  <w:r>
                    <w:rPr>
                      <w:rFonts w:cs="Times New Roman"/>
                      <w:sz w:val="21"/>
                      <w:szCs w:val="21"/>
                    </w:rPr>
                    <w:t>存在下渗污染地下水的风险</w:t>
                  </w:r>
                </w:p>
              </w:tc>
            </w:tr>
          </w:tbl>
          <w:p>
            <w:pPr>
              <w:pStyle w:val="157"/>
              <w:spacing w:before="120" w:line="480" w:lineRule="exact"/>
              <w:ind w:left="0" w:leftChars="0"/>
              <w:rPr>
                <w:rFonts w:cs="Times New Roman"/>
                <w:b/>
              </w:rPr>
            </w:pPr>
            <w:r>
              <w:rPr>
                <w:rFonts w:cs="Times New Roman"/>
                <w:b/>
              </w:rPr>
              <w:t>五、项目服务范围</w:t>
            </w:r>
            <w:r>
              <w:rPr>
                <w:rFonts w:hint="eastAsia" w:cs="Times New Roman"/>
                <w:b/>
              </w:rPr>
              <w:t>及人口</w:t>
            </w:r>
          </w:p>
          <w:p>
            <w:pPr>
              <w:pStyle w:val="12"/>
              <w:ind w:firstLine="480"/>
            </w:pPr>
            <w:r>
              <w:rPr>
                <w:rFonts w:hint="eastAsia"/>
              </w:rPr>
              <w:t>老人民医院片区服务范围为峨边彝族自治县老人民医院片区（目前人民医院已搬走），收集老人民医院片区未纳入原有污水管网的居民生活污水，污水通过本项目管网汇入市政管网，最后进入峨边县城市污水处理厂处理；马嘶溪火车站片区（位于马嘶溪村）服务范围为马嘶溪火车站片区道路沿线两侧居民生活污水，通过管网进入本项目污水处理站处理后达标排入大渡河；经营所片区服务范围为峨边彝族自治县经营所片区，进行雨污分流，避免雨水进入污水管网。</w:t>
            </w:r>
          </w:p>
          <w:p>
            <w:pPr>
              <w:pStyle w:val="12"/>
              <w:ind w:firstLine="480"/>
            </w:pPr>
            <w:r>
              <w:t>根据业主提供的资料，本项目老人民医院片区服务人口约为80户/320人；马嘶溪火车站片区服务人口约为75户/300人；经营所片区只涉及雨水管网建设，不含污水管网建设</w:t>
            </w:r>
            <w:r>
              <w:rPr>
                <w:rFonts w:hint="eastAsia"/>
              </w:rPr>
              <w:t>。</w:t>
            </w:r>
          </w:p>
          <w:p>
            <w:pPr>
              <w:spacing w:line="360" w:lineRule="auto"/>
              <w:rPr>
                <w:rFonts w:cs="Times New Roman"/>
                <w:b/>
                <w:szCs w:val="24"/>
              </w:rPr>
            </w:pPr>
            <w:r>
              <w:rPr>
                <w:rFonts w:hint="eastAsia" w:cs="Times New Roman"/>
                <w:b/>
                <w:szCs w:val="24"/>
              </w:rPr>
              <w:t>六、污水量预测</w:t>
            </w:r>
          </w:p>
          <w:p>
            <w:pPr>
              <w:pStyle w:val="12"/>
              <w:ind w:firstLine="480"/>
            </w:pPr>
            <w:r>
              <w:rPr>
                <w:rFonts w:hint="eastAsia"/>
              </w:rPr>
              <w:t>经营所片区只涉及雨水管网建设，不含污水管网建设，因此不涉及污水产生。</w:t>
            </w:r>
          </w:p>
          <w:p>
            <w:pPr>
              <w:pStyle w:val="12"/>
              <w:ind w:firstLine="480"/>
              <w:rPr>
                <w:bCs/>
              </w:rPr>
            </w:pPr>
            <w:r>
              <w:rPr>
                <w:rFonts w:hint="eastAsia"/>
              </w:rPr>
              <w:t>根据项目可行性研究报告核算结果，</w:t>
            </w:r>
            <w:r>
              <w:rPr>
                <w:rFonts w:hint="eastAsia"/>
                <w:bCs/>
              </w:rPr>
              <w:t>按《建筑给水排水设计标准》（</w:t>
            </w:r>
            <w:r>
              <w:rPr>
                <w:bCs/>
              </w:rPr>
              <w:t>GB50015-2019）及《四川省用水定额》（DB51/T2138-2016)的水量指标，并结合两个片区居民实际情况，生活用水定额取150L/（人.d）。</w:t>
            </w:r>
          </w:p>
          <w:p>
            <w:pPr>
              <w:pStyle w:val="12"/>
              <w:ind w:firstLine="480"/>
              <w:rPr>
                <w:bCs/>
              </w:rPr>
            </w:pPr>
            <w:r>
              <w:rPr>
                <w:rFonts w:hint="eastAsia"/>
                <w:bCs/>
              </w:rPr>
              <w:t>老人民医院片区约有</w:t>
            </w:r>
            <w:r>
              <w:rPr>
                <w:bCs/>
              </w:rPr>
              <w:t>80户/320人，则生活用水量为48m</w:t>
            </w:r>
            <w:r>
              <w:rPr>
                <w:bCs/>
                <w:vertAlign w:val="superscript"/>
              </w:rPr>
              <w:t>3</w:t>
            </w:r>
            <w:r>
              <w:rPr>
                <w:bCs/>
              </w:rPr>
              <w:t>，</w:t>
            </w:r>
            <w:r>
              <w:rPr>
                <w:rFonts w:hint="eastAsia"/>
                <w:bCs/>
              </w:rPr>
              <w:t>产污系数</w:t>
            </w:r>
            <w:r>
              <w:rPr>
                <w:bCs/>
              </w:rPr>
              <w:t>按0.9考虑，则污水产生量为43.2m</w:t>
            </w:r>
            <w:r>
              <w:rPr>
                <w:bCs/>
                <w:vertAlign w:val="superscript"/>
              </w:rPr>
              <w:t>3</w:t>
            </w:r>
            <w:r>
              <w:rPr>
                <w:bCs/>
              </w:rPr>
              <w:t>；马嘶溪火车站片区约有75户居民/300人，则本项目用水量为45m</w:t>
            </w:r>
            <w:r>
              <w:rPr>
                <w:bCs/>
                <w:vertAlign w:val="superscript"/>
              </w:rPr>
              <w:t>3</w:t>
            </w:r>
            <w:r>
              <w:rPr>
                <w:bCs/>
              </w:rPr>
              <w:t>，</w:t>
            </w:r>
            <w:r>
              <w:rPr>
                <w:rFonts w:hint="eastAsia"/>
                <w:bCs/>
              </w:rPr>
              <w:t>产污系数</w:t>
            </w:r>
            <w:r>
              <w:rPr>
                <w:bCs/>
              </w:rPr>
              <w:t>按0.9考虑，则污水产生量为40.5m</w:t>
            </w:r>
            <w:r>
              <w:rPr>
                <w:bCs/>
                <w:vertAlign w:val="superscript"/>
              </w:rPr>
              <w:t>3</w:t>
            </w:r>
            <w:r>
              <w:rPr>
                <w:rFonts w:hint="eastAsia"/>
                <w:bCs/>
              </w:rPr>
              <w:t>。</w:t>
            </w:r>
          </w:p>
          <w:p>
            <w:pPr>
              <w:spacing w:line="360" w:lineRule="auto"/>
              <w:rPr>
                <w:rFonts w:cs="Times New Roman"/>
                <w:b/>
                <w:szCs w:val="24"/>
              </w:rPr>
            </w:pPr>
            <w:r>
              <w:rPr>
                <w:rFonts w:hint="eastAsia" w:cs="Times New Roman"/>
                <w:b/>
                <w:szCs w:val="24"/>
              </w:rPr>
              <w:t>七、设计进出水水质</w:t>
            </w:r>
          </w:p>
          <w:p>
            <w:pPr>
              <w:pStyle w:val="12"/>
              <w:ind w:firstLine="480"/>
              <w:rPr>
                <w:bCs/>
              </w:rPr>
            </w:pPr>
            <w:r>
              <w:rPr>
                <w:rFonts w:hint="eastAsia"/>
                <w:bCs/>
              </w:rPr>
              <w:t>参考峨边城市污水处理厂的设计进水水质及《四川省乐山市峨边彝族自治县城郊污水处理及管网建设项目可行性研究报告》，马嘶溪火车站片区污水处理站设计进水水质见下表：</w:t>
            </w:r>
          </w:p>
          <w:p>
            <w:pPr>
              <w:jc w:val="center"/>
              <w:rPr>
                <w:b/>
              </w:rPr>
            </w:pPr>
            <w:r>
              <w:rPr>
                <w:b/>
              </w:rPr>
              <w:t>表1-3  设计进水水质指标一览表</w:t>
            </w:r>
          </w:p>
          <w:p>
            <w:pPr>
              <w:jc w:val="right"/>
              <w:rPr>
                <w:b/>
              </w:rPr>
            </w:pPr>
            <w:r>
              <w:rPr>
                <w:b/>
              </w:rPr>
              <w:t>单位：mg/L，pH无量纲</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02"/>
              <w:gridCol w:w="1306"/>
              <w:gridCol w:w="1306"/>
              <w:gridCol w:w="1306"/>
              <w:gridCol w:w="1306"/>
              <w:gridCol w:w="1144"/>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44" w:type="pct"/>
                  <w:vAlign w:val="center"/>
                </w:tcPr>
                <w:p>
                  <w:pPr>
                    <w:jc w:val="center"/>
                    <w:rPr>
                      <w:rFonts w:cs="Times New Roman"/>
                      <w:b/>
                      <w:bCs/>
                      <w:kern w:val="0"/>
                      <w:sz w:val="21"/>
                      <w:szCs w:val="21"/>
                    </w:rPr>
                  </w:pPr>
                  <w:r>
                    <w:rPr>
                      <w:rFonts w:cs="Times New Roman"/>
                      <w:b/>
                      <w:bCs/>
                      <w:kern w:val="0"/>
                      <w:sz w:val="21"/>
                      <w:szCs w:val="21"/>
                    </w:rPr>
                    <w:t>指标</w:t>
                  </w:r>
                </w:p>
              </w:tc>
              <w:tc>
                <w:tcPr>
                  <w:tcW w:w="734" w:type="pct"/>
                  <w:vAlign w:val="center"/>
                </w:tcPr>
                <w:p>
                  <w:pPr>
                    <w:jc w:val="center"/>
                    <w:rPr>
                      <w:rFonts w:cs="Times New Roman"/>
                      <w:kern w:val="0"/>
                      <w:sz w:val="21"/>
                      <w:szCs w:val="21"/>
                    </w:rPr>
                  </w:pPr>
                  <w:r>
                    <w:rPr>
                      <w:rFonts w:cs="Times New Roman"/>
                      <w:kern w:val="0"/>
                      <w:sz w:val="21"/>
                      <w:szCs w:val="21"/>
                    </w:rPr>
                    <w:t>COD</w:t>
                  </w:r>
                  <w:r>
                    <w:rPr>
                      <w:rFonts w:cs="Times New Roman"/>
                      <w:kern w:val="0"/>
                      <w:sz w:val="21"/>
                      <w:szCs w:val="21"/>
                      <w:vertAlign w:val="subscript"/>
                    </w:rPr>
                    <w:t>Cr</w:t>
                  </w:r>
                </w:p>
              </w:tc>
              <w:tc>
                <w:tcPr>
                  <w:tcW w:w="734" w:type="pct"/>
                  <w:vAlign w:val="center"/>
                </w:tcPr>
                <w:p>
                  <w:pPr>
                    <w:jc w:val="center"/>
                    <w:rPr>
                      <w:rFonts w:cs="Times New Roman"/>
                      <w:kern w:val="0"/>
                      <w:sz w:val="21"/>
                      <w:szCs w:val="21"/>
                    </w:rPr>
                  </w:pPr>
                  <w:r>
                    <w:rPr>
                      <w:rFonts w:cs="Times New Roman"/>
                      <w:kern w:val="0"/>
                      <w:sz w:val="21"/>
                      <w:szCs w:val="21"/>
                    </w:rPr>
                    <w:t>SS</w:t>
                  </w:r>
                </w:p>
              </w:tc>
              <w:tc>
                <w:tcPr>
                  <w:tcW w:w="734" w:type="pct"/>
                  <w:vAlign w:val="center"/>
                </w:tcPr>
                <w:p>
                  <w:pPr>
                    <w:jc w:val="center"/>
                    <w:rPr>
                      <w:rFonts w:cs="Times New Roman"/>
                      <w:kern w:val="0"/>
                      <w:sz w:val="21"/>
                      <w:szCs w:val="21"/>
                    </w:rPr>
                  </w:pPr>
                  <w:r>
                    <w:rPr>
                      <w:rFonts w:cs="Times New Roman"/>
                      <w:kern w:val="0"/>
                      <w:sz w:val="21"/>
                      <w:szCs w:val="21"/>
                    </w:rPr>
                    <w:t>NH</w:t>
                  </w:r>
                  <w:r>
                    <w:rPr>
                      <w:rFonts w:cs="Times New Roman"/>
                      <w:kern w:val="0"/>
                      <w:sz w:val="21"/>
                      <w:szCs w:val="21"/>
                      <w:vertAlign w:val="subscript"/>
                    </w:rPr>
                    <w:t>3</w:t>
                  </w:r>
                  <w:r>
                    <w:rPr>
                      <w:rFonts w:cs="Times New Roman"/>
                      <w:kern w:val="0"/>
                      <w:sz w:val="21"/>
                      <w:szCs w:val="21"/>
                    </w:rPr>
                    <w:t>-N</w:t>
                  </w:r>
                </w:p>
              </w:tc>
              <w:tc>
                <w:tcPr>
                  <w:tcW w:w="734" w:type="pct"/>
                  <w:vAlign w:val="center"/>
                </w:tcPr>
                <w:p>
                  <w:pPr>
                    <w:jc w:val="center"/>
                    <w:rPr>
                      <w:rFonts w:cs="Times New Roman"/>
                      <w:kern w:val="0"/>
                      <w:sz w:val="21"/>
                      <w:szCs w:val="21"/>
                    </w:rPr>
                  </w:pPr>
                  <w:r>
                    <w:rPr>
                      <w:rFonts w:hint="eastAsia" w:cs="Times New Roman"/>
                      <w:kern w:val="0"/>
                      <w:sz w:val="21"/>
                      <w:szCs w:val="21"/>
                    </w:rPr>
                    <w:t>T</w:t>
                  </w:r>
                  <w:r>
                    <w:rPr>
                      <w:rFonts w:cs="Times New Roman"/>
                      <w:kern w:val="0"/>
                      <w:sz w:val="21"/>
                      <w:szCs w:val="21"/>
                    </w:rPr>
                    <w:t>N</w:t>
                  </w:r>
                </w:p>
              </w:tc>
              <w:tc>
                <w:tcPr>
                  <w:tcW w:w="643" w:type="pct"/>
                  <w:vAlign w:val="center"/>
                </w:tcPr>
                <w:p>
                  <w:pPr>
                    <w:jc w:val="center"/>
                    <w:rPr>
                      <w:rFonts w:cs="Times New Roman"/>
                      <w:kern w:val="0"/>
                      <w:sz w:val="21"/>
                      <w:szCs w:val="21"/>
                    </w:rPr>
                  </w:pPr>
                  <w:r>
                    <w:rPr>
                      <w:rFonts w:cs="Times New Roman"/>
                      <w:kern w:val="0"/>
                      <w:sz w:val="21"/>
                      <w:szCs w:val="21"/>
                    </w:rPr>
                    <w:t>TP</w:t>
                  </w:r>
                </w:p>
              </w:tc>
              <w:tc>
                <w:tcPr>
                  <w:tcW w:w="577" w:type="pct"/>
                  <w:vAlign w:val="center"/>
                </w:tcPr>
                <w:p>
                  <w:pPr>
                    <w:jc w:val="center"/>
                    <w:rPr>
                      <w:rFonts w:cs="Times New Roman"/>
                      <w:kern w:val="0"/>
                      <w:sz w:val="21"/>
                      <w:szCs w:val="21"/>
                    </w:rPr>
                  </w:pPr>
                  <w:r>
                    <w:rPr>
                      <w:rFonts w:cs="Times New Roman"/>
                      <w:kern w:val="0"/>
                      <w:sz w:val="21"/>
                      <w:szCs w:val="21"/>
                    </w:rPr>
                    <w:t>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exact"/>
                <w:jc w:val="center"/>
              </w:trPr>
              <w:tc>
                <w:tcPr>
                  <w:tcW w:w="844" w:type="pct"/>
                  <w:vAlign w:val="center"/>
                </w:tcPr>
                <w:p>
                  <w:pPr>
                    <w:jc w:val="center"/>
                    <w:rPr>
                      <w:rFonts w:cs="Times New Roman"/>
                      <w:b/>
                      <w:bCs/>
                      <w:kern w:val="0"/>
                      <w:sz w:val="21"/>
                      <w:szCs w:val="21"/>
                    </w:rPr>
                  </w:pPr>
                  <w:r>
                    <w:rPr>
                      <w:rFonts w:cs="Times New Roman"/>
                      <w:b/>
                      <w:bCs/>
                      <w:kern w:val="0"/>
                      <w:sz w:val="21"/>
                      <w:szCs w:val="21"/>
                    </w:rPr>
                    <w:t>标准值</w:t>
                  </w:r>
                </w:p>
              </w:tc>
              <w:tc>
                <w:tcPr>
                  <w:tcW w:w="734" w:type="pct"/>
                  <w:vAlign w:val="center"/>
                </w:tcPr>
                <w:p>
                  <w:pPr>
                    <w:jc w:val="center"/>
                    <w:rPr>
                      <w:rFonts w:cs="Times New Roman"/>
                      <w:kern w:val="0"/>
                      <w:sz w:val="21"/>
                      <w:szCs w:val="21"/>
                    </w:rPr>
                  </w:pPr>
                  <w:r>
                    <w:rPr>
                      <w:rFonts w:cs="Times New Roman"/>
                      <w:kern w:val="0"/>
                      <w:sz w:val="21"/>
                      <w:szCs w:val="21"/>
                    </w:rPr>
                    <w:t>150</w:t>
                  </w:r>
                </w:p>
              </w:tc>
              <w:tc>
                <w:tcPr>
                  <w:tcW w:w="734" w:type="pct"/>
                  <w:vAlign w:val="center"/>
                </w:tcPr>
                <w:p>
                  <w:pPr>
                    <w:jc w:val="center"/>
                    <w:rPr>
                      <w:rFonts w:cs="Times New Roman"/>
                      <w:kern w:val="0"/>
                      <w:sz w:val="21"/>
                      <w:szCs w:val="21"/>
                    </w:rPr>
                  </w:pPr>
                  <w:r>
                    <w:rPr>
                      <w:rFonts w:cs="Times New Roman"/>
                      <w:kern w:val="0"/>
                      <w:sz w:val="21"/>
                      <w:szCs w:val="21"/>
                    </w:rPr>
                    <w:t>150</w:t>
                  </w:r>
                </w:p>
              </w:tc>
              <w:tc>
                <w:tcPr>
                  <w:tcW w:w="734" w:type="pct"/>
                  <w:vAlign w:val="center"/>
                </w:tcPr>
                <w:p>
                  <w:pPr>
                    <w:jc w:val="center"/>
                    <w:rPr>
                      <w:rFonts w:cs="Times New Roman"/>
                      <w:kern w:val="0"/>
                      <w:sz w:val="21"/>
                      <w:szCs w:val="21"/>
                    </w:rPr>
                  </w:pPr>
                  <w:r>
                    <w:rPr>
                      <w:rFonts w:cs="Times New Roman"/>
                      <w:kern w:val="0"/>
                      <w:sz w:val="21"/>
                      <w:szCs w:val="21"/>
                    </w:rPr>
                    <w:t>20</w:t>
                  </w:r>
                </w:p>
              </w:tc>
              <w:tc>
                <w:tcPr>
                  <w:tcW w:w="734" w:type="pct"/>
                  <w:vAlign w:val="center"/>
                </w:tcPr>
                <w:p>
                  <w:pPr>
                    <w:jc w:val="center"/>
                    <w:rPr>
                      <w:rFonts w:cs="Times New Roman"/>
                      <w:kern w:val="0"/>
                      <w:sz w:val="21"/>
                      <w:szCs w:val="21"/>
                    </w:rPr>
                  </w:pPr>
                  <w:r>
                    <w:rPr>
                      <w:rFonts w:hint="eastAsia" w:cs="Times New Roman"/>
                      <w:kern w:val="0"/>
                      <w:sz w:val="21"/>
                      <w:szCs w:val="21"/>
                    </w:rPr>
                    <w:t>2</w:t>
                  </w:r>
                  <w:r>
                    <w:rPr>
                      <w:rFonts w:cs="Times New Roman"/>
                      <w:kern w:val="0"/>
                      <w:sz w:val="21"/>
                      <w:szCs w:val="21"/>
                    </w:rPr>
                    <w:t>5</w:t>
                  </w:r>
                </w:p>
              </w:tc>
              <w:tc>
                <w:tcPr>
                  <w:tcW w:w="643" w:type="pct"/>
                  <w:vAlign w:val="center"/>
                </w:tcPr>
                <w:p>
                  <w:pPr>
                    <w:jc w:val="center"/>
                    <w:rPr>
                      <w:rFonts w:cs="Times New Roman"/>
                      <w:kern w:val="0"/>
                      <w:sz w:val="21"/>
                      <w:szCs w:val="21"/>
                    </w:rPr>
                  </w:pPr>
                  <w:r>
                    <w:rPr>
                      <w:rFonts w:cs="Times New Roman"/>
                      <w:kern w:val="0"/>
                      <w:sz w:val="21"/>
                      <w:szCs w:val="21"/>
                    </w:rPr>
                    <w:t>4</w:t>
                  </w:r>
                </w:p>
              </w:tc>
              <w:tc>
                <w:tcPr>
                  <w:tcW w:w="577" w:type="pct"/>
                  <w:vAlign w:val="center"/>
                </w:tcPr>
                <w:p>
                  <w:pPr>
                    <w:jc w:val="center"/>
                    <w:rPr>
                      <w:rFonts w:cs="Times New Roman"/>
                      <w:kern w:val="0"/>
                      <w:sz w:val="21"/>
                      <w:szCs w:val="21"/>
                    </w:rPr>
                  </w:pPr>
                  <w:r>
                    <w:rPr>
                      <w:rFonts w:cs="Times New Roman"/>
                      <w:kern w:val="0"/>
                      <w:sz w:val="21"/>
                      <w:szCs w:val="21"/>
                    </w:rPr>
                    <w:t>6~9</w:t>
                  </w:r>
                </w:p>
              </w:tc>
            </w:tr>
          </w:tbl>
          <w:p>
            <w:pPr>
              <w:spacing w:line="360" w:lineRule="auto"/>
              <w:ind w:firstLine="480" w:firstLineChars="200"/>
              <w:rPr>
                <w:bCs/>
              </w:rPr>
            </w:pPr>
            <w:r>
              <w:rPr>
                <w:rFonts w:hint="eastAsia"/>
                <w:bCs/>
              </w:rPr>
              <w:t>污水处理站进厂污水经处理</w:t>
            </w:r>
            <w:r>
              <w:rPr>
                <w:rFonts w:cs="Times New Roman"/>
                <w:kern w:val="0"/>
                <w:sz w:val="21"/>
                <w:szCs w:val="21"/>
              </w:rPr>
              <w:t>BOD</w:t>
            </w:r>
            <w:r>
              <w:rPr>
                <w:rFonts w:cs="Times New Roman"/>
                <w:kern w:val="0"/>
                <w:sz w:val="21"/>
                <w:szCs w:val="21"/>
                <w:vertAlign w:val="subscript"/>
              </w:rPr>
              <w:t>5</w:t>
            </w:r>
            <w:r>
              <w:rPr>
                <w:rFonts w:hint="eastAsia"/>
                <w:bCs/>
              </w:rPr>
              <w:t>达</w:t>
            </w:r>
            <w:r>
              <w:rPr>
                <w:rFonts w:ascii="宋体" w:hAnsi="宋体"/>
              </w:rPr>
              <w:t>四川省《农村生活污水处理设施水污染物排放标准》（</w:t>
            </w:r>
            <w:r>
              <w:t>DB51/ 2626-2019</w:t>
            </w:r>
            <w:r>
              <w:rPr>
                <w:rFonts w:ascii="宋体" w:hAnsi="宋体"/>
              </w:rPr>
              <w:t>）一级标准后排入</w:t>
            </w:r>
            <w:r>
              <w:rPr>
                <w:rFonts w:hint="eastAsia"/>
                <w:bCs/>
              </w:rPr>
              <w:t>大渡河</w:t>
            </w:r>
            <w:r>
              <w:rPr>
                <w:bCs/>
              </w:rPr>
              <w:t>，</w:t>
            </w:r>
            <w:r>
              <w:rPr>
                <w:rFonts w:hint="eastAsia"/>
                <w:bCs/>
              </w:rPr>
              <w:t>因此污水处理站设计出水水质为</w:t>
            </w:r>
            <w:r>
              <w:rPr>
                <w:bCs/>
              </w:rPr>
              <w:t>：</w:t>
            </w:r>
          </w:p>
          <w:p>
            <w:pPr>
              <w:jc w:val="center"/>
              <w:rPr>
                <w:b/>
              </w:rPr>
            </w:pPr>
            <w:r>
              <w:rPr>
                <w:b/>
              </w:rPr>
              <w:t>表1-4  设计出水水质指标一览表</w:t>
            </w:r>
          </w:p>
          <w:p>
            <w:pPr>
              <w:jc w:val="right"/>
              <w:rPr>
                <w:b/>
              </w:rPr>
            </w:pPr>
            <w:r>
              <w:rPr>
                <w:b/>
              </w:rPr>
              <w:t>单位：mg/L，pH无量纲</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00"/>
              <w:gridCol w:w="1230"/>
              <w:gridCol w:w="1223"/>
              <w:gridCol w:w="1223"/>
              <w:gridCol w:w="1376"/>
              <w:gridCol w:w="1223"/>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exact"/>
                <w:jc w:val="center"/>
              </w:trPr>
              <w:tc>
                <w:tcPr>
                  <w:tcW w:w="787" w:type="pct"/>
                  <w:vAlign w:val="center"/>
                </w:tcPr>
                <w:p>
                  <w:pPr>
                    <w:jc w:val="center"/>
                    <w:rPr>
                      <w:rFonts w:cs="Times New Roman"/>
                      <w:b/>
                      <w:bCs/>
                      <w:kern w:val="0"/>
                      <w:sz w:val="21"/>
                      <w:szCs w:val="21"/>
                    </w:rPr>
                  </w:pPr>
                  <w:r>
                    <w:rPr>
                      <w:rFonts w:cs="Times New Roman"/>
                      <w:b/>
                      <w:bCs/>
                      <w:kern w:val="0"/>
                      <w:sz w:val="21"/>
                      <w:szCs w:val="21"/>
                    </w:rPr>
                    <w:t>指标</w:t>
                  </w:r>
                </w:p>
              </w:tc>
              <w:tc>
                <w:tcPr>
                  <w:tcW w:w="691" w:type="pct"/>
                  <w:vAlign w:val="center"/>
                </w:tcPr>
                <w:p>
                  <w:pPr>
                    <w:jc w:val="center"/>
                    <w:rPr>
                      <w:rFonts w:cs="Times New Roman"/>
                      <w:kern w:val="0"/>
                      <w:sz w:val="21"/>
                      <w:szCs w:val="21"/>
                    </w:rPr>
                  </w:pPr>
                  <w:r>
                    <w:rPr>
                      <w:rFonts w:cs="Times New Roman"/>
                      <w:kern w:val="0"/>
                      <w:sz w:val="21"/>
                      <w:szCs w:val="21"/>
                    </w:rPr>
                    <w:t>COD</w:t>
                  </w:r>
                  <w:r>
                    <w:rPr>
                      <w:rFonts w:cs="Times New Roman"/>
                      <w:kern w:val="0"/>
                      <w:sz w:val="21"/>
                      <w:szCs w:val="21"/>
                      <w:vertAlign w:val="subscript"/>
                    </w:rPr>
                    <w:t>Cr</w:t>
                  </w:r>
                </w:p>
              </w:tc>
              <w:tc>
                <w:tcPr>
                  <w:tcW w:w="687" w:type="pct"/>
                  <w:vAlign w:val="center"/>
                </w:tcPr>
                <w:p>
                  <w:pPr>
                    <w:jc w:val="center"/>
                    <w:rPr>
                      <w:rFonts w:cs="Times New Roman"/>
                      <w:kern w:val="0"/>
                      <w:sz w:val="21"/>
                      <w:szCs w:val="21"/>
                    </w:rPr>
                  </w:pPr>
                  <w:r>
                    <w:rPr>
                      <w:rFonts w:cs="Times New Roman"/>
                      <w:kern w:val="0"/>
                      <w:sz w:val="21"/>
                      <w:szCs w:val="21"/>
                    </w:rPr>
                    <w:t>SS</w:t>
                  </w:r>
                </w:p>
              </w:tc>
              <w:tc>
                <w:tcPr>
                  <w:tcW w:w="687" w:type="pct"/>
                  <w:vAlign w:val="center"/>
                </w:tcPr>
                <w:p>
                  <w:pPr>
                    <w:jc w:val="center"/>
                    <w:rPr>
                      <w:rFonts w:cs="Times New Roman"/>
                      <w:kern w:val="0"/>
                      <w:sz w:val="21"/>
                      <w:szCs w:val="21"/>
                    </w:rPr>
                  </w:pPr>
                  <w:r>
                    <w:rPr>
                      <w:rFonts w:cs="Times New Roman"/>
                      <w:kern w:val="0"/>
                      <w:sz w:val="21"/>
                      <w:szCs w:val="21"/>
                    </w:rPr>
                    <w:t>TN</w:t>
                  </w:r>
                </w:p>
              </w:tc>
              <w:tc>
                <w:tcPr>
                  <w:tcW w:w="773" w:type="pct"/>
                  <w:vAlign w:val="center"/>
                </w:tcPr>
                <w:p>
                  <w:pPr>
                    <w:jc w:val="center"/>
                    <w:rPr>
                      <w:rFonts w:cs="Times New Roman"/>
                      <w:kern w:val="0"/>
                      <w:sz w:val="21"/>
                      <w:szCs w:val="21"/>
                    </w:rPr>
                  </w:pPr>
                  <w:r>
                    <w:rPr>
                      <w:rFonts w:cs="Times New Roman"/>
                      <w:kern w:val="0"/>
                      <w:sz w:val="21"/>
                      <w:szCs w:val="21"/>
                    </w:rPr>
                    <w:t>NH</w:t>
                  </w:r>
                  <w:r>
                    <w:rPr>
                      <w:rFonts w:cs="Times New Roman"/>
                      <w:kern w:val="0"/>
                      <w:sz w:val="21"/>
                      <w:szCs w:val="21"/>
                      <w:vertAlign w:val="subscript"/>
                    </w:rPr>
                    <w:t>3</w:t>
                  </w:r>
                  <w:r>
                    <w:rPr>
                      <w:rFonts w:cs="Times New Roman"/>
                      <w:kern w:val="0"/>
                      <w:sz w:val="21"/>
                      <w:szCs w:val="21"/>
                    </w:rPr>
                    <w:t>-N</w:t>
                  </w:r>
                </w:p>
              </w:tc>
              <w:tc>
                <w:tcPr>
                  <w:tcW w:w="687" w:type="pct"/>
                  <w:vAlign w:val="center"/>
                </w:tcPr>
                <w:p>
                  <w:pPr>
                    <w:jc w:val="center"/>
                    <w:rPr>
                      <w:rFonts w:cs="Times New Roman"/>
                      <w:kern w:val="0"/>
                      <w:sz w:val="21"/>
                      <w:szCs w:val="21"/>
                    </w:rPr>
                  </w:pPr>
                  <w:r>
                    <w:rPr>
                      <w:rFonts w:cs="Times New Roman"/>
                      <w:kern w:val="0"/>
                      <w:sz w:val="21"/>
                      <w:szCs w:val="21"/>
                    </w:rPr>
                    <w:t>TP</w:t>
                  </w:r>
                </w:p>
              </w:tc>
              <w:tc>
                <w:tcPr>
                  <w:tcW w:w="687" w:type="pct"/>
                  <w:vAlign w:val="center"/>
                </w:tcPr>
                <w:p>
                  <w:pPr>
                    <w:jc w:val="center"/>
                    <w:rPr>
                      <w:rFonts w:cs="Times New Roman"/>
                      <w:kern w:val="0"/>
                      <w:sz w:val="21"/>
                      <w:szCs w:val="21"/>
                    </w:rPr>
                  </w:pPr>
                  <w:r>
                    <w:rPr>
                      <w:rFonts w:cs="Times New Roman"/>
                      <w:kern w:val="0"/>
                      <w:sz w:val="21"/>
                      <w:szCs w:val="21"/>
                    </w:rPr>
                    <w:t>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exact"/>
                <w:jc w:val="center"/>
              </w:trPr>
              <w:tc>
                <w:tcPr>
                  <w:tcW w:w="787" w:type="pct"/>
                  <w:vAlign w:val="center"/>
                </w:tcPr>
                <w:p>
                  <w:pPr>
                    <w:jc w:val="center"/>
                    <w:rPr>
                      <w:rFonts w:cs="Times New Roman"/>
                      <w:b/>
                      <w:bCs/>
                      <w:kern w:val="0"/>
                      <w:sz w:val="21"/>
                      <w:szCs w:val="21"/>
                    </w:rPr>
                  </w:pPr>
                  <w:r>
                    <w:rPr>
                      <w:rFonts w:cs="Times New Roman"/>
                      <w:b/>
                      <w:bCs/>
                      <w:kern w:val="0"/>
                      <w:sz w:val="21"/>
                      <w:szCs w:val="21"/>
                    </w:rPr>
                    <w:t>标准值</w:t>
                  </w:r>
                </w:p>
              </w:tc>
              <w:tc>
                <w:tcPr>
                  <w:tcW w:w="691" w:type="pct"/>
                  <w:vAlign w:val="center"/>
                </w:tcPr>
                <w:p>
                  <w:pPr>
                    <w:jc w:val="center"/>
                    <w:rPr>
                      <w:rFonts w:cs="Times New Roman"/>
                      <w:kern w:val="0"/>
                      <w:sz w:val="21"/>
                      <w:szCs w:val="21"/>
                    </w:rPr>
                  </w:pPr>
                  <w:r>
                    <w:rPr>
                      <w:rFonts w:cs="Times New Roman"/>
                      <w:kern w:val="0"/>
                      <w:sz w:val="21"/>
                      <w:szCs w:val="21"/>
                    </w:rPr>
                    <w:t>60</w:t>
                  </w:r>
                </w:p>
              </w:tc>
              <w:tc>
                <w:tcPr>
                  <w:tcW w:w="687" w:type="pct"/>
                  <w:vAlign w:val="center"/>
                </w:tcPr>
                <w:p>
                  <w:pPr>
                    <w:jc w:val="center"/>
                    <w:rPr>
                      <w:rFonts w:cs="Times New Roman"/>
                      <w:kern w:val="0"/>
                      <w:sz w:val="21"/>
                      <w:szCs w:val="21"/>
                    </w:rPr>
                  </w:pPr>
                  <w:r>
                    <w:rPr>
                      <w:rFonts w:cs="Times New Roman"/>
                      <w:kern w:val="0"/>
                      <w:sz w:val="21"/>
                      <w:szCs w:val="21"/>
                    </w:rPr>
                    <w:t>20</w:t>
                  </w:r>
                </w:p>
              </w:tc>
              <w:tc>
                <w:tcPr>
                  <w:tcW w:w="687" w:type="pct"/>
                  <w:vAlign w:val="center"/>
                </w:tcPr>
                <w:p>
                  <w:pPr>
                    <w:jc w:val="center"/>
                    <w:rPr>
                      <w:rFonts w:cs="Times New Roman"/>
                      <w:kern w:val="0"/>
                      <w:sz w:val="21"/>
                      <w:szCs w:val="21"/>
                    </w:rPr>
                  </w:pPr>
                  <w:r>
                    <w:rPr>
                      <w:rFonts w:cs="Times New Roman"/>
                      <w:kern w:val="0"/>
                      <w:sz w:val="21"/>
                      <w:szCs w:val="21"/>
                    </w:rPr>
                    <w:t>20</w:t>
                  </w:r>
                </w:p>
              </w:tc>
              <w:tc>
                <w:tcPr>
                  <w:tcW w:w="773" w:type="pct"/>
                  <w:vAlign w:val="center"/>
                </w:tcPr>
                <w:p>
                  <w:pPr>
                    <w:jc w:val="center"/>
                    <w:rPr>
                      <w:rFonts w:cs="Times New Roman"/>
                      <w:kern w:val="0"/>
                      <w:sz w:val="21"/>
                      <w:szCs w:val="21"/>
                    </w:rPr>
                  </w:pPr>
                  <w:r>
                    <w:rPr>
                      <w:sz w:val="21"/>
                      <w:szCs w:val="21"/>
                    </w:rPr>
                    <w:t>8</w:t>
                  </w:r>
                  <w:r>
                    <w:rPr>
                      <w:rFonts w:ascii="宋体" w:hAnsi="宋体"/>
                      <w:sz w:val="21"/>
                      <w:szCs w:val="21"/>
                    </w:rPr>
                    <w:t>（</w:t>
                  </w:r>
                  <w:r>
                    <w:rPr>
                      <w:sz w:val="21"/>
                      <w:szCs w:val="21"/>
                    </w:rPr>
                    <w:t>15</w:t>
                  </w:r>
                  <w:r>
                    <w:rPr>
                      <w:rFonts w:ascii="宋体" w:hAnsi="宋体"/>
                      <w:sz w:val="21"/>
                      <w:szCs w:val="21"/>
                    </w:rPr>
                    <w:t>）</w:t>
                  </w:r>
                  <w:r>
                    <w:rPr>
                      <w:rFonts w:hint="eastAsia" w:ascii="宋体" w:hAnsi="宋体" w:cs="宋体"/>
                      <w:kern w:val="0"/>
                      <w:sz w:val="21"/>
                      <w:szCs w:val="21"/>
                    </w:rPr>
                    <w:t>①</w:t>
                  </w:r>
                </w:p>
              </w:tc>
              <w:tc>
                <w:tcPr>
                  <w:tcW w:w="687" w:type="pct"/>
                  <w:vAlign w:val="center"/>
                </w:tcPr>
                <w:p>
                  <w:pPr>
                    <w:jc w:val="center"/>
                    <w:rPr>
                      <w:rFonts w:cs="Times New Roman"/>
                      <w:kern w:val="0"/>
                      <w:sz w:val="21"/>
                      <w:szCs w:val="21"/>
                    </w:rPr>
                  </w:pPr>
                  <w:r>
                    <w:rPr>
                      <w:rFonts w:cs="Times New Roman"/>
                      <w:kern w:val="0"/>
                      <w:sz w:val="21"/>
                      <w:szCs w:val="21"/>
                    </w:rPr>
                    <w:t>1.5</w:t>
                  </w:r>
                </w:p>
              </w:tc>
              <w:tc>
                <w:tcPr>
                  <w:tcW w:w="687" w:type="pct"/>
                  <w:vAlign w:val="center"/>
                </w:tcPr>
                <w:p>
                  <w:pPr>
                    <w:jc w:val="center"/>
                    <w:rPr>
                      <w:rFonts w:cs="Times New Roman"/>
                      <w:kern w:val="0"/>
                      <w:sz w:val="21"/>
                      <w:szCs w:val="21"/>
                    </w:rPr>
                  </w:pPr>
                  <w:r>
                    <w:rPr>
                      <w:rFonts w:cs="Times New Roman"/>
                      <w:kern w:val="0"/>
                      <w:sz w:val="21"/>
                      <w:szCs w:val="21"/>
                    </w:rPr>
                    <w:t>6~9</w:t>
                  </w:r>
                </w:p>
              </w:tc>
            </w:tr>
          </w:tbl>
          <w:p>
            <w:pPr>
              <w:pStyle w:val="12"/>
              <w:ind w:firstLine="420"/>
              <w:rPr>
                <w:rFonts w:ascii="宋体" w:hAnsi="宋体"/>
                <w:spacing w:val="-4"/>
                <w:sz w:val="21"/>
                <w:szCs w:val="16"/>
              </w:rPr>
            </w:pPr>
            <w:r>
              <w:rPr>
                <w:rFonts w:ascii="宋体" w:hAnsi="宋体"/>
                <w:iCs/>
                <w:sz w:val="21"/>
                <w:szCs w:val="21"/>
                <w:lang w:val="en-GB"/>
              </w:rPr>
              <w:t>注：①括号外数值为水温＞12℃时的控制指标，括号内数值为水温≤12℃时的控制指标。</w:t>
            </w:r>
          </w:p>
          <w:p>
            <w:pPr>
              <w:spacing w:line="360" w:lineRule="auto"/>
              <w:rPr>
                <w:rFonts w:cs="Times New Roman"/>
                <w:b/>
                <w:szCs w:val="24"/>
              </w:rPr>
            </w:pPr>
            <w:r>
              <w:rPr>
                <w:rFonts w:hint="eastAsia" w:cs="Times New Roman"/>
                <w:b/>
                <w:szCs w:val="24"/>
              </w:rPr>
              <w:t>八、污泥处置</w:t>
            </w:r>
          </w:p>
          <w:p>
            <w:pPr>
              <w:pStyle w:val="12"/>
              <w:ind w:firstLine="480"/>
            </w:pPr>
            <w:r>
              <w:rPr>
                <w:rFonts w:hint="eastAsia"/>
                <w:bCs/>
              </w:rPr>
              <w:t>依据《四川省乐山市峨边彝族自治县城郊污水处理及管网建设项目可行性研究报告》，</w:t>
            </w:r>
            <w:r>
              <w:rPr>
                <w:rFonts w:hint="eastAsia"/>
              </w:rPr>
              <w:t>马嘶溪火车站片区固体废弃物主要为栅渣和污泥。污泥采用吸粪车定期清运至峨边县城市污水处理厂处理，栅渣收集后交由环卫部门清运处理。</w:t>
            </w:r>
          </w:p>
          <w:p>
            <w:pPr>
              <w:spacing w:line="360" w:lineRule="auto"/>
              <w:rPr>
                <w:rFonts w:cs="Times New Roman"/>
                <w:b/>
                <w:szCs w:val="24"/>
              </w:rPr>
            </w:pPr>
            <w:r>
              <w:rPr>
                <w:rFonts w:hint="eastAsia" w:cs="Times New Roman"/>
                <w:b/>
                <w:szCs w:val="24"/>
              </w:rPr>
              <w:t>九、供水、供电</w:t>
            </w:r>
          </w:p>
          <w:p>
            <w:pPr>
              <w:spacing w:line="360" w:lineRule="auto"/>
              <w:ind w:firstLine="480" w:firstLineChars="200"/>
              <w:rPr>
                <w:rFonts w:cs="Times New Roman"/>
                <w:bCs/>
              </w:rPr>
            </w:pPr>
            <w:r>
              <w:rPr>
                <w:rFonts w:cs="Times New Roman"/>
                <w:bCs/>
              </w:rPr>
              <w:t>（1）</w:t>
            </w:r>
            <w:r>
              <w:rPr>
                <w:rFonts w:hint="eastAsia" w:cs="Times New Roman"/>
                <w:bCs/>
              </w:rPr>
              <w:t>给水工程设计</w:t>
            </w:r>
          </w:p>
          <w:p>
            <w:pPr>
              <w:pStyle w:val="19"/>
              <w:spacing w:line="360" w:lineRule="auto"/>
              <w:ind w:left="0" w:firstLine="480" w:firstLineChars="200"/>
              <w:rPr>
                <w:rFonts w:cs="Times New Roman"/>
              </w:rPr>
            </w:pPr>
            <w:r>
              <w:rPr>
                <w:rFonts w:hint="eastAsia" w:cs="Times New Roman"/>
              </w:rPr>
              <w:t>本项目只有马嘶溪火车站片区涉及给水工程。马嘶溪火车站片区生活用水为市政供水，以供日常运行期间设备清洗用水及消防用水，其中设备清洗需水量估计为</w:t>
            </w:r>
            <w:r>
              <w:rPr>
                <w:rFonts w:cs="Times New Roman"/>
              </w:rPr>
              <w:t>1m</w:t>
            </w:r>
            <w:r>
              <w:rPr>
                <w:rFonts w:cs="Times New Roman"/>
                <w:vertAlign w:val="superscript"/>
              </w:rPr>
              <w:t>3</w:t>
            </w:r>
            <w:r>
              <w:rPr>
                <w:rFonts w:cs="Times New Roman"/>
              </w:rPr>
              <w:t>/d。</w:t>
            </w:r>
          </w:p>
          <w:p>
            <w:pPr>
              <w:spacing w:line="360" w:lineRule="auto"/>
              <w:ind w:firstLine="480" w:firstLineChars="200"/>
              <w:rPr>
                <w:rFonts w:cs="Times New Roman"/>
                <w:bCs/>
              </w:rPr>
            </w:pPr>
            <w:r>
              <w:rPr>
                <w:rFonts w:cs="Times New Roman"/>
                <w:bCs/>
              </w:rPr>
              <w:t>（2）</w:t>
            </w:r>
            <w:r>
              <w:rPr>
                <w:rFonts w:hint="eastAsia" w:cs="Times New Roman"/>
                <w:bCs/>
              </w:rPr>
              <w:t>排水工程设计</w:t>
            </w:r>
          </w:p>
          <w:p>
            <w:pPr>
              <w:spacing w:line="360" w:lineRule="auto"/>
              <w:ind w:firstLine="480" w:firstLineChars="200"/>
              <w:rPr>
                <w:rFonts w:cs="Times New Roman"/>
                <w:bCs/>
              </w:rPr>
            </w:pPr>
            <w:r>
              <w:rPr>
                <w:rFonts w:hint="eastAsia" w:cs="Times New Roman"/>
                <w:bCs/>
              </w:rPr>
              <w:t>本项目马嘶溪火车站片区污水处理系统内设置污水排水管和雨水系统。其中污水处理系统各处理单元事故性排放、放空以及设备、地面清洗水少量污水全部排入格栅调节池，进入污水处理系统。</w:t>
            </w:r>
          </w:p>
          <w:p>
            <w:pPr>
              <w:spacing w:line="360" w:lineRule="auto"/>
              <w:ind w:firstLine="480" w:firstLineChars="200"/>
              <w:rPr>
                <w:rFonts w:cs="Times New Roman"/>
                <w:bCs/>
              </w:rPr>
            </w:pPr>
            <w:r>
              <w:rPr>
                <w:rFonts w:hint="eastAsia" w:cs="Times New Roman"/>
                <w:bCs/>
              </w:rPr>
              <w:t>污水处理站内设置雨水口，通过雨水管道直接排入附近自然水体。</w:t>
            </w:r>
          </w:p>
          <w:p>
            <w:pPr>
              <w:spacing w:line="360" w:lineRule="auto"/>
              <w:ind w:firstLine="480" w:firstLineChars="200"/>
              <w:rPr>
                <w:rFonts w:cs="Times New Roman"/>
                <w:bCs/>
              </w:rPr>
            </w:pPr>
            <w:r>
              <w:rPr>
                <w:rFonts w:cs="Times New Roman"/>
                <w:bCs/>
              </w:rPr>
              <w:t>（3）</w:t>
            </w:r>
            <w:r>
              <w:rPr>
                <w:rFonts w:hint="eastAsia" w:cs="Times New Roman"/>
                <w:bCs/>
              </w:rPr>
              <w:t>供电设计</w:t>
            </w:r>
          </w:p>
          <w:p>
            <w:pPr>
              <w:adjustRightInd w:val="0"/>
              <w:snapToGrid w:val="0"/>
              <w:spacing w:line="360" w:lineRule="auto"/>
              <w:ind w:firstLine="480" w:firstLineChars="200"/>
            </w:pPr>
            <w:r>
              <w:t>本项目供电由当地供电所供给，为保证污水处理站电气系统的连续、可靠运行，本项目由市政电网供电</w:t>
            </w:r>
            <w:r>
              <w:rPr>
                <w:rFonts w:hint="eastAsia"/>
              </w:rPr>
              <w:t>。</w:t>
            </w:r>
          </w:p>
          <w:p>
            <w:pPr>
              <w:spacing w:line="360" w:lineRule="auto"/>
              <w:rPr>
                <w:rFonts w:cs="Times New Roman"/>
                <w:b/>
                <w:szCs w:val="24"/>
              </w:rPr>
            </w:pPr>
            <w:r>
              <w:rPr>
                <w:rFonts w:cs="Times New Roman"/>
                <w:b/>
                <w:szCs w:val="24"/>
              </w:rPr>
              <w:t>十、项目主要设备、主要原辅材料及能耗</w:t>
            </w:r>
          </w:p>
          <w:p>
            <w:pPr>
              <w:pStyle w:val="195"/>
              <w:spacing w:line="360" w:lineRule="auto"/>
              <w:ind w:firstLine="480"/>
              <w:rPr>
                <w:rFonts w:eastAsia="宋体"/>
              </w:rPr>
            </w:pPr>
            <w:r>
              <w:rPr>
                <w:rFonts w:eastAsia="宋体"/>
              </w:rPr>
              <w:t>（</w:t>
            </w:r>
            <w:r>
              <w:rPr>
                <w:rFonts w:hint="eastAsia" w:eastAsia="宋体"/>
              </w:rPr>
              <w:t>一</w:t>
            </w:r>
            <w:r>
              <w:rPr>
                <w:rFonts w:eastAsia="宋体"/>
              </w:rPr>
              <w:t>）项目主要</w:t>
            </w:r>
            <w:r>
              <w:rPr>
                <w:rFonts w:hint="eastAsia" w:eastAsia="宋体"/>
              </w:rPr>
              <w:t>建构筑物</w:t>
            </w:r>
          </w:p>
          <w:p>
            <w:pPr>
              <w:pStyle w:val="190"/>
              <w:spacing w:line="360" w:lineRule="auto"/>
              <w:ind w:firstLine="480"/>
            </w:pPr>
            <w:r>
              <w:t>本项目主要</w:t>
            </w:r>
            <w:r>
              <w:rPr>
                <w:rFonts w:hint="eastAsia"/>
              </w:rPr>
              <w:t>建构筑物</w:t>
            </w:r>
            <w:r>
              <w:t>见表1-</w:t>
            </w:r>
            <w:r>
              <w:rPr>
                <w:rFonts w:hint="eastAsia"/>
              </w:rPr>
              <w:t>5</w:t>
            </w:r>
            <w:r>
              <w:t>。</w:t>
            </w:r>
          </w:p>
          <w:p>
            <w:pPr>
              <w:pStyle w:val="192"/>
              <w:framePr w:hSpace="0" w:wrap="auto" w:vAnchor="margin" w:hAnchor="text" w:yAlign="inline"/>
              <w:spacing w:before="0" w:line="240" w:lineRule="auto"/>
              <w:ind w:firstLine="482"/>
              <w:rPr>
                <w:rFonts w:cs="Times New Roman"/>
                <w:szCs w:val="24"/>
              </w:rPr>
            </w:pPr>
            <w:r>
              <w:rPr>
                <w:rFonts w:cs="Times New Roman"/>
                <w:szCs w:val="24"/>
              </w:rPr>
              <w:t>表1-</w:t>
            </w:r>
            <w:r>
              <w:rPr>
                <w:rFonts w:hint="eastAsia" w:cs="Times New Roman"/>
                <w:szCs w:val="24"/>
              </w:rPr>
              <w:t>5</w:t>
            </w:r>
            <w:r>
              <w:rPr>
                <w:rFonts w:cs="Times New Roman"/>
                <w:szCs w:val="24"/>
              </w:rPr>
              <w:t xml:space="preserve">  主要</w:t>
            </w:r>
            <w:r>
              <w:rPr>
                <w:rFonts w:hint="eastAsia"/>
              </w:rPr>
              <w:t>构筑物</w:t>
            </w:r>
            <w:r>
              <w:rPr>
                <w:rFonts w:cs="Times New Roman"/>
                <w:szCs w:val="24"/>
              </w:rPr>
              <w:t>清单</w:t>
            </w:r>
          </w:p>
          <w:tbl>
            <w:tblPr>
              <w:tblStyle w:val="3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0"/>
              <w:gridCol w:w="1853"/>
              <w:gridCol w:w="1845"/>
              <w:gridCol w:w="855"/>
              <w:gridCol w:w="1005"/>
              <w:gridCol w:w="1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730" w:type="dxa"/>
                  <w:vAlign w:val="center"/>
                </w:tcPr>
                <w:p>
                  <w:pPr>
                    <w:pStyle w:val="46"/>
                    <w:rPr>
                      <w:rFonts w:cs="Times New Roman"/>
                      <w:sz w:val="21"/>
                      <w:szCs w:val="21"/>
                    </w:rPr>
                  </w:pPr>
                  <w:r>
                    <w:rPr>
                      <w:rFonts w:cs="Times New Roman"/>
                      <w:sz w:val="21"/>
                      <w:szCs w:val="21"/>
                    </w:rPr>
                    <w:t>名称</w:t>
                  </w:r>
                </w:p>
              </w:tc>
              <w:tc>
                <w:tcPr>
                  <w:tcW w:w="1853" w:type="dxa"/>
                  <w:vAlign w:val="center"/>
                </w:tcPr>
                <w:p>
                  <w:pPr>
                    <w:pStyle w:val="46"/>
                    <w:rPr>
                      <w:rFonts w:cs="Times New Roman"/>
                      <w:sz w:val="21"/>
                      <w:szCs w:val="21"/>
                    </w:rPr>
                  </w:pPr>
                  <w:r>
                    <w:rPr>
                      <w:rFonts w:cs="Times New Roman"/>
                      <w:sz w:val="21"/>
                      <w:szCs w:val="21"/>
                    </w:rPr>
                    <w:t>建筑名称</w:t>
                  </w:r>
                </w:p>
              </w:tc>
              <w:tc>
                <w:tcPr>
                  <w:tcW w:w="1845" w:type="dxa"/>
                  <w:vAlign w:val="center"/>
                </w:tcPr>
                <w:p>
                  <w:pPr>
                    <w:pStyle w:val="46"/>
                    <w:rPr>
                      <w:rFonts w:cs="Times New Roman"/>
                      <w:sz w:val="21"/>
                      <w:szCs w:val="21"/>
                    </w:rPr>
                  </w:pPr>
                  <w:r>
                    <w:rPr>
                      <w:rFonts w:cs="Times New Roman"/>
                      <w:sz w:val="21"/>
                      <w:szCs w:val="21"/>
                    </w:rPr>
                    <w:t>尺寸（m×m×m）</w:t>
                  </w:r>
                </w:p>
              </w:tc>
              <w:tc>
                <w:tcPr>
                  <w:tcW w:w="855" w:type="dxa"/>
                  <w:vAlign w:val="center"/>
                </w:tcPr>
                <w:p>
                  <w:pPr>
                    <w:pStyle w:val="46"/>
                    <w:rPr>
                      <w:rFonts w:cs="Times New Roman"/>
                      <w:sz w:val="21"/>
                      <w:szCs w:val="21"/>
                    </w:rPr>
                  </w:pPr>
                  <w:r>
                    <w:rPr>
                      <w:rFonts w:cs="Times New Roman"/>
                      <w:sz w:val="21"/>
                      <w:szCs w:val="21"/>
                    </w:rPr>
                    <w:t>单位</w:t>
                  </w:r>
                </w:p>
              </w:tc>
              <w:tc>
                <w:tcPr>
                  <w:tcW w:w="1005" w:type="dxa"/>
                  <w:vAlign w:val="center"/>
                </w:tcPr>
                <w:p>
                  <w:pPr>
                    <w:pStyle w:val="46"/>
                    <w:rPr>
                      <w:rFonts w:cs="Times New Roman"/>
                      <w:sz w:val="21"/>
                      <w:szCs w:val="21"/>
                    </w:rPr>
                  </w:pPr>
                  <w:r>
                    <w:rPr>
                      <w:rFonts w:cs="Times New Roman"/>
                      <w:sz w:val="21"/>
                      <w:szCs w:val="21"/>
                    </w:rPr>
                    <w:t>数量</w:t>
                  </w:r>
                </w:p>
              </w:tc>
              <w:tc>
                <w:tcPr>
                  <w:tcW w:w="1609" w:type="dxa"/>
                  <w:vAlign w:val="center"/>
                </w:tcPr>
                <w:p>
                  <w:pPr>
                    <w:pStyle w:val="46"/>
                    <w:rPr>
                      <w:rFonts w:cs="Times New Roman"/>
                      <w:sz w:val="21"/>
                      <w:szCs w:val="21"/>
                    </w:rPr>
                  </w:pPr>
                  <w:r>
                    <w:rPr>
                      <w:rFonts w:cs="Times New Roman"/>
                      <w:sz w:val="21"/>
                      <w:szCs w:val="21"/>
                    </w:rPr>
                    <w:t>结构类型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730" w:type="dxa"/>
                  <w:vMerge w:val="restart"/>
                  <w:vAlign w:val="center"/>
                </w:tcPr>
                <w:p>
                  <w:pPr>
                    <w:pStyle w:val="46"/>
                    <w:rPr>
                      <w:rFonts w:cs="Times New Roman"/>
                      <w:sz w:val="21"/>
                      <w:szCs w:val="21"/>
                    </w:rPr>
                  </w:pPr>
                  <w:r>
                    <w:rPr>
                      <w:rFonts w:cs="Times New Roman"/>
                      <w:sz w:val="21"/>
                      <w:szCs w:val="21"/>
                    </w:rPr>
                    <w:t>马嘶溪火车站片区污水处理站</w:t>
                  </w:r>
                </w:p>
              </w:tc>
              <w:tc>
                <w:tcPr>
                  <w:tcW w:w="1853" w:type="dxa"/>
                  <w:vAlign w:val="center"/>
                </w:tcPr>
                <w:p>
                  <w:pPr>
                    <w:pStyle w:val="46"/>
                    <w:rPr>
                      <w:rFonts w:cs="Times New Roman"/>
                      <w:sz w:val="21"/>
                      <w:szCs w:val="21"/>
                    </w:rPr>
                  </w:pPr>
                  <w:r>
                    <w:rPr>
                      <w:rFonts w:cs="Times New Roman"/>
                      <w:sz w:val="21"/>
                      <w:szCs w:val="21"/>
                    </w:rPr>
                    <w:t>格栅调节池</w:t>
                  </w:r>
                </w:p>
              </w:tc>
              <w:tc>
                <w:tcPr>
                  <w:tcW w:w="1845" w:type="dxa"/>
                  <w:vAlign w:val="center"/>
                </w:tcPr>
                <w:p>
                  <w:pPr>
                    <w:pStyle w:val="46"/>
                    <w:rPr>
                      <w:rFonts w:cs="Times New Roman"/>
                      <w:sz w:val="21"/>
                      <w:szCs w:val="21"/>
                    </w:rPr>
                  </w:pPr>
                  <w:r>
                    <w:rPr>
                      <w:rFonts w:cs="Times New Roman"/>
                      <w:sz w:val="21"/>
                      <w:szCs w:val="21"/>
                    </w:rPr>
                    <w:t>4×3.0×3.5</w:t>
                  </w:r>
                </w:p>
              </w:tc>
              <w:tc>
                <w:tcPr>
                  <w:tcW w:w="855" w:type="dxa"/>
                  <w:vAlign w:val="center"/>
                </w:tcPr>
                <w:p>
                  <w:pPr>
                    <w:pStyle w:val="46"/>
                    <w:rPr>
                      <w:rFonts w:cs="Times New Roman"/>
                      <w:sz w:val="21"/>
                      <w:szCs w:val="21"/>
                    </w:rPr>
                  </w:pPr>
                  <w:r>
                    <w:rPr>
                      <w:rFonts w:cs="Times New Roman"/>
                      <w:sz w:val="21"/>
                      <w:szCs w:val="21"/>
                    </w:rPr>
                    <w:t>座</w:t>
                  </w:r>
                </w:p>
              </w:tc>
              <w:tc>
                <w:tcPr>
                  <w:tcW w:w="1005" w:type="dxa"/>
                  <w:vAlign w:val="center"/>
                </w:tcPr>
                <w:p>
                  <w:pPr>
                    <w:pStyle w:val="46"/>
                    <w:rPr>
                      <w:rFonts w:cs="Times New Roman"/>
                      <w:sz w:val="21"/>
                      <w:szCs w:val="21"/>
                    </w:rPr>
                  </w:pPr>
                  <w:r>
                    <w:rPr>
                      <w:rFonts w:cs="Times New Roman"/>
                      <w:sz w:val="21"/>
                      <w:szCs w:val="21"/>
                    </w:rPr>
                    <w:t>1</w:t>
                  </w:r>
                </w:p>
              </w:tc>
              <w:tc>
                <w:tcPr>
                  <w:tcW w:w="1609" w:type="dxa"/>
                  <w:vAlign w:val="center"/>
                </w:tcPr>
                <w:p>
                  <w:pPr>
                    <w:pStyle w:val="46"/>
                    <w:rPr>
                      <w:rFonts w:cs="Times New Roman"/>
                      <w:sz w:val="21"/>
                      <w:szCs w:val="21"/>
                    </w:rPr>
                  </w:pPr>
                  <w:r>
                    <w:rPr>
                      <w:rFonts w:cs="Times New Roman"/>
                      <w:sz w:val="21"/>
                      <w:szCs w:val="21"/>
                    </w:rPr>
                    <w:t>钢筋砼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730" w:type="dxa"/>
                  <w:vMerge w:val="continue"/>
                  <w:vAlign w:val="center"/>
                </w:tcPr>
                <w:p>
                  <w:pPr>
                    <w:pStyle w:val="46"/>
                    <w:rPr>
                      <w:rFonts w:cs="Times New Roman"/>
                      <w:sz w:val="21"/>
                      <w:szCs w:val="21"/>
                    </w:rPr>
                  </w:pPr>
                </w:p>
              </w:tc>
              <w:tc>
                <w:tcPr>
                  <w:tcW w:w="1853" w:type="dxa"/>
                  <w:vAlign w:val="center"/>
                </w:tcPr>
                <w:p>
                  <w:pPr>
                    <w:pStyle w:val="46"/>
                    <w:rPr>
                      <w:rFonts w:cs="Times New Roman"/>
                      <w:sz w:val="21"/>
                      <w:szCs w:val="21"/>
                    </w:rPr>
                  </w:pPr>
                  <w:r>
                    <w:rPr>
                      <w:rFonts w:cs="Times New Roman"/>
                      <w:sz w:val="21"/>
                      <w:szCs w:val="21"/>
                    </w:rPr>
                    <w:t>一体化设备</w:t>
                  </w:r>
                </w:p>
              </w:tc>
              <w:tc>
                <w:tcPr>
                  <w:tcW w:w="1845" w:type="dxa"/>
                  <w:vAlign w:val="center"/>
                </w:tcPr>
                <w:p>
                  <w:pPr>
                    <w:pStyle w:val="46"/>
                    <w:rPr>
                      <w:rFonts w:cs="Times New Roman"/>
                      <w:sz w:val="21"/>
                      <w:szCs w:val="21"/>
                    </w:rPr>
                  </w:pPr>
                  <w:r>
                    <w:rPr>
                      <w:rFonts w:hint="eastAsia" w:cs="Times New Roman"/>
                      <w:sz w:val="21"/>
                      <w:szCs w:val="21"/>
                    </w:rPr>
                    <w:t>1</w:t>
                  </w:r>
                  <w:r>
                    <w:rPr>
                      <w:rFonts w:cs="Times New Roman"/>
                      <w:sz w:val="21"/>
                      <w:szCs w:val="21"/>
                    </w:rPr>
                    <w:t>2×3×3</w:t>
                  </w:r>
                </w:p>
              </w:tc>
              <w:tc>
                <w:tcPr>
                  <w:tcW w:w="855" w:type="dxa"/>
                  <w:vAlign w:val="center"/>
                </w:tcPr>
                <w:p>
                  <w:pPr>
                    <w:pStyle w:val="46"/>
                    <w:rPr>
                      <w:rFonts w:cs="Times New Roman"/>
                      <w:sz w:val="21"/>
                      <w:szCs w:val="21"/>
                    </w:rPr>
                  </w:pPr>
                  <w:r>
                    <w:rPr>
                      <w:rFonts w:cs="Times New Roman"/>
                      <w:sz w:val="21"/>
                      <w:szCs w:val="21"/>
                    </w:rPr>
                    <w:t>座</w:t>
                  </w:r>
                </w:p>
              </w:tc>
              <w:tc>
                <w:tcPr>
                  <w:tcW w:w="1005" w:type="dxa"/>
                  <w:vAlign w:val="center"/>
                </w:tcPr>
                <w:p>
                  <w:pPr>
                    <w:pStyle w:val="46"/>
                    <w:rPr>
                      <w:rFonts w:cs="Times New Roman"/>
                      <w:sz w:val="21"/>
                      <w:szCs w:val="21"/>
                    </w:rPr>
                  </w:pPr>
                  <w:r>
                    <w:rPr>
                      <w:rFonts w:cs="Times New Roman"/>
                      <w:sz w:val="21"/>
                      <w:szCs w:val="21"/>
                    </w:rPr>
                    <w:t>1</w:t>
                  </w:r>
                </w:p>
              </w:tc>
              <w:tc>
                <w:tcPr>
                  <w:tcW w:w="1609" w:type="dxa"/>
                  <w:vAlign w:val="center"/>
                </w:tcPr>
                <w:p>
                  <w:pPr>
                    <w:pStyle w:val="46"/>
                  </w:pPr>
                  <w:r>
                    <w:rPr>
                      <w:rFonts w:hint="eastAsia" w:cs="Times New Roman"/>
                      <w:sz w:val="21"/>
                      <w:szCs w:val="21"/>
                    </w:rPr>
                    <w:t>/</w:t>
                  </w:r>
                </w:p>
              </w:tc>
            </w:tr>
          </w:tbl>
          <w:p>
            <w:pPr>
              <w:pStyle w:val="195"/>
              <w:spacing w:line="360" w:lineRule="auto"/>
              <w:ind w:firstLine="480"/>
              <w:rPr>
                <w:rFonts w:eastAsia="宋体"/>
              </w:rPr>
            </w:pPr>
            <w:r>
              <w:rPr>
                <w:rFonts w:eastAsia="宋体"/>
              </w:rPr>
              <w:t>（</w:t>
            </w:r>
            <w:r>
              <w:rPr>
                <w:rFonts w:hint="eastAsia" w:eastAsia="宋体"/>
              </w:rPr>
              <w:t>二</w:t>
            </w:r>
            <w:r>
              <w:rPr>
                <w:rFonts w:eastAsia="宋体"/>
              </w:rPr>
              <w:t>）项目主要设备</w:t>
            </w:r>
          </w:p>
          <w:p>
            <w:pPr>
              <w:pStyle w:val="190"/>
              <w:spacing w:line="360" w:lineRule="auto"/>
              <w:ind w:firstLine="480"/>
            </w:pPr>
            <w:r>
              <w:t>本项目主要设备见表1-6。</w:t>
            </w:r>
          </w:p>
          <w:p>
            <w:pPr>
              <w:pStyle w:val="192"/>
              <w:spacing w:before="0" w:line="240" w:lineRule="auto"/>
              <w:ind w:firstLine="482"/>
              <w:rPr>
                <w:rFonts w:cs="Times New Roman"/>
                <w:szCs w:val="24"/>
              </w:rPr>
            </w:pPr>
            <w:r>
              <w:rPr>
                <w:rFonts w:cs="Times New Roman"/>
                <w:szCs w:val="24"/>
              </w:rPr>
              <w:t>表1-6  主要设备清单</w:t>
            </w:r>
          </w:p>
          <w:tbl>
            <w:tblPr>
              <w:tblStyle w:val="30"/>
              <w:tblW w:w="8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1383"/>
              <w:gridCol w:w="2426"/>
              <w:gridCol w:w="856"/>
              <w:gridCol w:w="856"/>
              <w:gridCol w:w="1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Align w:val="center"/>
                </w:tcPr>
                <w:p>
                  <w:pPr>
                    <w:pStyle w:val="46"/>
                    <w:rPr>
                      <w:rFonts w:cs="Times New Roman"/>
                      <w:sz w:val="21"/>
                      <w:szCs w:val="21"/>
                    </w:rPr>
                  </w:pPr>
                  <w:r>
                    <w:rPr>
                      <w:rFonts w:cs="Times New Roman"/>
                      <w:sz w:val="21"/>
                      <w:szCs w:val="21"/>
                    </w:rPr>
                    <w:t>名称</w:t>
                  </w:r>
                </w:p>
              </w:tc>
              <w:tc>
                <w:tcPr>
                  <w:tcW w:w="1383" w:type="dxa"/>
                  <w:vAlign w:val="center"/>
                </w:tcPr>
                <w:p>
                  <w:pPr>
                    <w:pStyle w:val="46"/>
                    <w:rPr>
                      <w:rFonts w:cs="Times New Roman"/>
                      <w:sz w:val="21"/>
                      <w:szCs w:val="21"/>
                    </w:rPr>
                  </w:pPr>
                  <w:r>
                    <w:rPr>
                      <w:rFonts w:cs="Times New Roman"/>
                      <w:sz w:val="21"/>
                      <w:szCs w:val="21"/>
                    </w:rPr>
                    <w:t>设备及材料名称</w:t>
                  </w:r>
                </w:p>
              </w:tc>
              <w:tc>
                <w:tcPr>
                  <w:tcW w:w="2426" w:type="dxa"/>
                  <w:vAlign w:val="center"/>
                </w:tcPr>
                <w:p>
                  <w:pPr>
                    <w:pStyle w:val="46"/>
                    <w:rPr>
                      <w:rFonts w:cs="Times New Roman"/>
                      <w:sz w:val="21"/>
                      <w:szCs w:val="21"/>
                    </w:rPr>
                  </w:pPr>
                  <w:r>
                    <w:rPr>
                      <w:rFonts w:cs="Times New Roman"/>
                      <w:sz w:val="21"/>
                      <w:szCs w:val="21"/>
                    </w:rPr>
                    <w:t>规格</w:t>
                  </w:r>
                </w:p>
              </w:tc>
              <w:tc>
                <w:tcPr>
                  <w:tcW w:w="856" w:type="dxa"/>
                  <w:vAlign w:val="center"/>
                </w:tcPr>
                <w:p>
                  <w:pPr>
                    <w:pStyle w:val="46"/>
                    <w:rPr>
                      <w:rFonts w:cs="Times New Roman"/>
                      <w:sz w:val="21"/>
                      <w:szCs w:val="21"/>
                    </w:rPr>
                  </w:pPr>
                  <w:r>
                    <w:rPr>
                      <w:rFonts w:cs="Times New Roman"/>
                      <w:sz w:val="21"/>
                      <w:szCs w:val="21"/>
                    </w:rPr>
                    <w:t>单位</w:t>
                  </w:r>
                </w:p>
              </w:tc>
              <w:tc>
                <w:tcPr>
                  <w:tcW w:w="856" w:type="dxa"/>
                  <w:vAlign w:val="center"/>
                </w:tcPr>
                <w:p>
                  <w:pPr>
                    <w:pStyle w:val="46"/>
                    <w:rPr>
                      <w:rFonts w:cs="Times New Roman"/>
                      <w:sz w:val="21"/>
                      <w:szCs w:val="21"/>
                    </w:rPr>
                  </w:pPr>
                  <w:r>
                    <w:rPr>
                      <w:rFonts w:cs="Times New Roman"/>
                      <w:sz w:val="21"/>
                      <w:szCs w:val="21"/>
                    </w:rPr>
                    <w:t>数量</w:t>
                  </w:r>
                </w:p>
              </w:tc>
              <w:tc>
                <w:tcPr>
                  <w:tcW w:w="1463" w:type="dxa"/>
                  <w:vAlign w:val="center"/>
                </w:tcPr>
                <w:p>
                  <w:pPr>
                    <w:pStyle w:val="46"/>
                    <w:rPr>
                      <w:rFonts w:cs="Times New Roman"/>
                      <w:sz w:val="21"/>
                      <w:szCs w:val="21"/>
                    </w:rPr>
                  </w:pPr>
                  <w:r>
                    <w:rPr>
                      <w:rFonts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restart"/>
                  <w:vAlign w:val="center"/>
                </w:tcPr>
                <w:p>
                  <w:pPr>
                    <w:pStyle w:val="46"/>
                    <w:rPr>
                      <w:rFonts w:cs="Times New Roman"/>
                      <w:sz w:val="21"/>
                      <w:szCs w:val="21"/>
                    </w:rPr>
                  </w:pPr>
                  <w:r>
                    <w:rPr>
                      <w:rFonts w:cs="Times New Roman"/>
                      <w:sz w:val="21"/>
                      <w:szCs w:val="21"/>
                    </w:rPr>
                    <w:t>马嘶溪火车站片区污水处理站</w:t>
                  </w:r>
                </w:p>
              </w:tc>
              <w:tc>
                <w:tcPr>
                  <w:tcW w:w="1383" w:type="dxa"/>
                  <w:vAlign w:val="center"/>
                </w:tcPr>
                <w:p>
                  <w:pPr>
                    <w:pStyle w:val="46"/>
                    <w:rPr>
                      <w:rFonts w:cs="Times New Roman"/>
                      <w:sz w:val="21"/>
                      <w:szCs w:val="21"/>
                    </w:rPr>
                  </w:pPr>
                  <w:r>
                    <w:rPr>
                      <w:rFonts w:hint="eastAsia" w:cs="Times New Roman"/>
                      <w:sz w:val="21"/>
                      <w:szCs w:val="21"/>
                    </w:rPr>
                    <w:t>人工格栅</w:t>
                  </w:r>
                </w:p>
              </w:tc>
              <w:tc>
                <w:tcPr>
                  <w:tcW w:w="2426" w:type="dxa"/>
                  <w:vAlign w:val="center"/>
                </w:tcPr>
                <w:p>
                  <w:pPr>
                    <w:pStyle w:val="46"/>
                    <w:rPr>
                      <w:rFonts w:cs="Times New Roman"/>
                      <w:sz w:val="21"/>
                      <w:szCs w:val="21"/>
                    </w:rPr>
                  </w:pPr>
                  <w:r>
                    <w:rPr>
                      <w:rFonts w:cs="Times New Roman"/>
                      <w:sz w:val="21"/>
                      <w:szCs w:val="21"/>
                    </w:rPr>
                    <w:t>栅间隙10mm</w:t>
                  </w:r>
                </w:p>
              </w:tc>
              <w:tc>
                <w:tcPr>
                  <w:tcW w:w="856" w:type="dxa"/>
                  <w:vAlign w:val="center"/>
                </w:tcPr>
                <w:p>
                  <w:pPr>
                    <w:pStyle w:val="46"/>
                    <w:rPr>
                      <w:rFonts w:cs="Times New Roman"/>
                      <w:sz w:val="21"/>
                      <w:szCs w:val="21"/>
                    </w:rPr>
                  </w:pPr>
                  <w:r>
                    <w:rPr>
                      <w:rFonts w:cs="Times New Roman"/>
                      <w:sz w:val="21"/>
                      <w:szCs w:val="21"/>
                    </w:rPr>
                    <w:t>台</w:t>
                  </w:r>
                </w:p>
              </w:tc>
              <w:tc>
                <w:tcPr>
                  <w:tcW w:w="856" w:type="dxa"/>
                  <w:vAlign w:val="center"/>
                </w:tcPr>
                <w:p>
                  <w:pPr>
                    <w:pStyle w:val="46"/>
                    <w:rPr>
                      <w:rFonts w:cs="Times New Roman"/>
                      <w:sz w:val="21"/>
                      <w:szCs w:val="21"/>
                    </w:rPr>
                  </w:pPr>
                  <w:r>
                    <w:rPr>
                      <w:rFonts w:cs="Times New Roman"/>
                      <w:sz w:val="21"/>
                      <w:szCs w:val="21"/>
                    </w:rPr>
                    <w:t>1</w:t>
                  </w:r>
                </w:p>
              </w:tc>
              <w:tc>
                <w:tcPr>
                  <w:tcW w:w="1463" w:type="dxa"/>
                  <w:vAlign w:val="center"/>
                </w:tcPr>
                <w:p>
                  <w:pPr>
                    <w:pStyle w:val="46"/>
                    <w:rPr>
                      <w:rFonts w:cs="Times New Roman"/>
                      <w:sz w:val="21"/>
                      <w:szCs w:val="21"/>
                    </w:rPr>
                  </w:pPr>
                  <w:r>
                    <w:rPr>
                      <w:rFonts w:hint="eastAsia"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continue"/>
                  <w:vAlign w:val="center"/>
                </w:tcPr>
                <w:p>
                  <w:pPr>
                    <w:pStyle w:val="46"/>
                    <w:rPr>
                      <w:rFonts w:cs="Times New Roman"/>
                      <w:sz w:val="21"/>
                      <w:szCs w:val="21"/>
                    </w:rPr>
                  </w:pPr>
                </w:p>
              </w:tc>
              <w:tc>
                <w:tcPr>
                  <w:tcW w:w="1383" w:type="dxa"/>
                  <w:vAlign w:val="center"/>
                </w:tcPr>
                <w:p>
                  <w:pPr>
                    <w:pStyle w:val="46"/>
                    <w:rPr>
                      <w:rFonts w:cs="Times New Roman"/>
                      <w:sz w:val="21"/>
                      <w:szCs w:val="21"/>
                    </w:rPr>
                  </w:pPr>
                  <w:r>
                    <w:rPr>
                      <w:rFonts w:cs="Times New Roman"/>
                      <w:sz w:val="21"/>
                      <w:szCs w:val="21"/>
                    </w:rPr>
                    <w:t>提升泵</w:t>
                  </w:r>
                </w:p>
              </w:tc>
              <w:tc>
                <w:tcPr>
                  <w:tcW w:w="2426" w:type="dxa"/>
                  <w:vAlign w:val="center"/>
                </w:tcPr>
                <w:p>
                  <w:pPr>
                    <w:pStyle w:val="46"/>
                    <w:rPr>
                      <w:rFonts w:cs="Times New Roman"/>
                      <w:sz w:val="21"/>
                      <w:szCs w:val="21"/>
                    </w:rPr>
                  </w:pPr>
                  <w:r>
                    <w:rPr>
                      <w:rFonts w:cs="Times New Roman"/>
                      <w:sz w:val="21"/>
                      <w:szCs w:val="21"/>
                    </w:rPr>
                    <w:t>流量6.25m</w:t>
                  </w:r>
                  <w:r>
                    <w:rPr>
                      <w:rFonts w:cs="Times New Roman"/>
                      <w:sz w:val="21"/>
                      <w:szCs w:val="21"/>
                      <w:vertAlign w:val="superscript"/>
                    </w:rPr>
                    <w:t>3</w:t>
                  </w:r>
                  <w:r>
                    <w:rPr>
                      <w:rFonts w:cs="Times New Roman"/>
                      <w:sz w:val="21"/>
                      <w:szCs w:val="21"/>
                    </w:rPr>
                    <w:t>/h；扬程8m，功率0.5Kw</w:t>
                  </w:r>
                </w:p>
              </w:tc>
              <w:tc>
                <w:tcPr>
                  <w:tcW w:w="856" w:type="dxa"/>
                  <w:vAlign w:val="center"/>
                </w:tcPr>
                <w:p>
                  <w:pPr>
                    <w:pStyle w:val="46"/>
                    <w:rPr>
                      <w:rFonts w:cs="Times New Roman"/>
                      <w:sz w:val="21"/>
                      <w:szCs w:val="21"/>
                    </w:rPr>
                  </w:pPr>
                  <w:r>
                    <w:rPr>
                      <w:rFonts w:cs="Times New Roman"/>
                      <w:sz w:val="21"/>
                      <w:szCs w:val="21"/>
                    </w:rPr>
                    <w:t>台</w:t>
                  </w:r>
                </w:p>
              </w:tc>
              <w:tc>
                <w:tcPr>
                  <w:tcW w:w="856" w:type="dxa"/>
                  <w:vAlign w:val="center"/>
                </w:tcPr>
                <w:p>
                  <w:pPr>
                    <w:pStyle w:val="46"/>
                    <w:rPr>
                      <w:rFonts w:cs="Times New Roman"/>
                      <w:sz w:val="21"/>
                      <w:szCs w:val="21"/>
                    </w:rPr>
                  </w:pPr>
                  <w:r>
                    <w:rPr>
                      <w:rFonts w:cs="Times New Roman"/>
                      <w:sz w:val="21"/>
                      <w:szCs w:val="21"/>
                    </w:rPr>
                    <w:t>2</w:t>
                  </w:r>
                </w:p>
              </w:tc>
              <w:tc>
                <w:tcPr>
                  <w:tcW w:w="1463" w:type="dxa"/>
                  <w:vAlign w:val="center"/>
                </w:tcPr>
                <w:p>
                  <w:pPr>
                    <w:pStyle w:val="46"/>
                    <w:rPr>
                      <w:rFonts w:cs="Times New Roman"/>
                      <w:sz w:val="21"/>
                      <w:szCs w:val="21"/>
                    </w:rPr>
                  </w:pPr>
                  <w:r>
                    <w:rPr>
                      <w:rFonts w:cs="Times New Roman"/>
                      <w:sz w:val="21"/>
                      <w:szCs w:val="21"/>
                    </w:rPr>
                    <w:t>一用一备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continue"/>
                  <w:vAlign w:val="center"/>
                </w:tcPr>
                <w:p>
                  <w:pPr>
                    <w:pStyle w:val="46"/>
                    <w:rPr>
                      <w:rFonts w:cs="Times New Roman"/>
                      <w:sz w:val="21"/>
                      <w:szCs w:val="21"/>
                    </w:rPr>
                  </w:pPr>
                </w:p>
              </w:tc>
              <w:tc>
                <w:tcPr>
                  <w:tcW w:w="1383" w:type="dxa"/>
                  <w:vAlign w:val="center"/>
                </w:tcPr>
                <w:p>
                  <w:pPr>
                    <w:pStyle w:val="46"/>
                    <w:rPr>
                      <w:rFonts w:cs="Times New Roman"/>
                      <w:sz w:val="21"/>
                      <w:szCs w:val="21"/>
                    </w:rPr>
                  </w:pPr>
                  <w:r>
                    <w:rPr>
                      <w:rFonts w:cs="Times New Roman"/>
                      <w:sz w:val="21"/>
                      <w:szCs w:val="21"/>
                    </w:rPr>
                    <w:t>鼓风机</w:t>
                  </w:r>
                </w:p>
              </w:tc>
              <w:tc>
                <w:tcPr>
                  <w:tcW w:w="2426" w:type="dxa"/>
                  <w:vAlign w:val="center"/>
                </w:tcPr>
                <w:p>
                  <w:pPr>
                    <w:pStyle w:val="46"/>
                    <w:rPr>
                      <w:rFonts w:cs="Times New Roman"/>
                      <w:sz w:val="21"/>
                      <w:szCs w:val="21"/>
                    </w:rPr>
                  </w:pPr>
                  <w:r>
                    <w:rPr>
                      <w:rFonts w:cs="Times New Roman"/>
                      <w:sz w:val="21"/>
                      <w:szCs w:val="21"/>
                    </w:rPr>
                    <w:t>功率0.75kW</w:t>
                  </w:r>
                </w:p>
              </w:tc>
              <w:tc>
                <w:tcPr>
                  <w:tcW w:w="856" w:type="dxa"/>
                  <w:vAlign w:val="center"/>
                </w:tcPr>
                <w:p>
                  <w:pPr>
                    <w:pStyle w:val="46"/>
                    <w:rPr>
                      <w:rFonts w:cs="Times New Roman"/>
                      <w:sz w:val="21"/>
                      <w:szCs w:val="21"/>
                    </w:rPr>
                  </w:pPr>
                  <w:r>
                    <w:rPr>
                      <w:rFonts w:cs="Times New Roman"/>
                      <w:sz w:val="21"/>
                      <w:szCs w:val="21"/>
                    </w:rPr>
                    <w:t>台</w:t>
                  </w:r>
                </w:p>
              </w:tc>
              <w:tc>
                <w:tcPr>
                  <w:tcW w:w="856" w:type="dxa"/>
                  <w:vAlign w:val="center"/>
                </w:tcPr>
                <w:p>
                  <w:pPr>
                    <w:pStyle w:val="46"/>
                    <w:rPr>
                      <w:rFonts w:cs="Times New Roman"/>
                      <w:sz w:val="21"/>
                      <w:szCs w:val="21"/>
                    </w:rPr>
                  </w:pPr>
                  <w:r>
                    <w:rPr>
                      <w:rFonts w:cs="Times New Roman"/>
                      <w:sz w:val="21"/>
                      <w:szCs w:val="21"/>
                    </w:rPr>
                    <w:t>2</w:t>
                  </w:r>
                </w:p>
              </w:tc>
              <w:tc>
                <w:tcPr>
                  <w:tcW w:w="1463" w:type="dxa"/>
                  <w:vAlign w:val="center"/>
                </w:tcPr>
                <w:p>
                  <w:pPr>
                    <w:pStyle w:val="46"/>
                    <w:rPr>
                      <w:rFonts w:cs="Times New Roman"/>
                      <w:sz w:val="21"/>
                      <w:szCs w:val="21"/>
                    </w:rPr>
                  </w:pPr>
                  <w:r>
                    <w:rPr>
                      <w:rFonts w:cs="Times New Roman"/>
                      <w:sz w:val="21"/>
                      <w:szCs w:val="21"/>
                    </w:rPr>
                    <w:t>一用一备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continue"/>
                  <w:vAlign w:val="center"/>
                </w:tcPr>
                <w:p>
                  <w:pPr>
                    <w:pStyle w:val="46"/>
                    <w:rPr>
                      <w:rFonts w:cs="Times New Roman"/>
                      <w:sz w:val="21"/>
                      <w:szCs w:val="21"/>
                    </w:rPr>
                  </w:pPr>
                </w:p>
              </w:tc>
              <w:tc>
                <w:tcPr>
                  <w:tcW w:w="1383" w:type="dxa"/>
                  <w:vAlign w:val="center"/>
                </w:tcPr>
                <w:p>
                  <w:pPr>
                    <w:pStyle w:val="46"/>
                    <w:rPr>
                      <w:rFonts w:cs="Times New Roman"/>
                      <w:sz w:val="21"/>
                      <w:szCs w:val="21"/>
                    </w:rPr>
                  </w:pPr>
                  <w:r>
                    <w:rPr>
                      <w:rFonts w:hint="eastAsia"/>
                      <w:sz w:val="21"/>
                      <w:szCs w:val="21"/>
                    </w:rPr>
                    <w:t>污泥回流泵</w:t>
                  </w:r>
                </w:p>
              </w:tc>
              <w:tc>
                <w:tcPr>
                  <w:tcW w:w="2426" w:type="dxa"/>
                </w:tcPr>
                <w:p>
                  <w:pPr>
                    <w:pStyle w:val="46"/>
                    <w:rPr>
                      <w:rFonts w:cs="Times New Roman"/>
                      <w:sz w:val="21"/>
                      <w:szCs w:val="21"/>
                    </w:rPr>
                  </w:pPr>
                  <w:r>
                    <w:rPr>
                      <w:rFonts w:hint="eastAsia" w:cs="Times New Roman"/>
                      <w:sz w:val="21"/>
                      <w:szCs w:val="21"/>
                    </w:rPr>
                    <w:t>/</w:t>
                  </w:r>
                </w:p>
              </w:tc>
              <w:tc>
                <w:tcPr>
                  <w:tcW w:w="856" w:type="dxa"/>
                  <w:vAlign w:val="center"/>
                </w:tcPr>
                <w:p>
                  <w:pPr>
                    <w:pStyle w:val="46"/>
                    <w:rPr>
                      <w:rFonts w:cs="Times New Roman"/>
                      <w:sz w:val="21"/>
                      <w:szCs w:val="21"/>
                    </w:rPr>
                  </w:pPr>
                  <w:r>
                    <w:rPr>
                      <w:rFonts w:cs="Times New Roman"/>
                      <w:sz w:val="21"/>
                      <w:szCs w:val="21"/>
                    </w:rPr>
                    <w:t>台</w:t>
                  </w:r>
                </w:p>
              </w:tc>
              <w:tc>
                <w:tcPr>
                  <w:tcW w:w="856" w:type="dxa"/>
                  <w:vAlign w:val="center"/>
                </w:tcPr>
                <w:p>
                  <w:pPr>
                    <w:pStyle w:val="46"/>
                    <w:rPr>
                      <w:rFonts w:cs="Times New Roman"/>
                      <w:sz w:val="21"/>
                      <w:szCs w:val="21"/>
                    </w:rPr>
                  </w:pPr>
                  <w:r>
                    <w:rPr>
                      <w:rFonts w:cs="Times New Roman"/>
                      <w:sz w:val="21"/>
                      <w:szCs w:val="21"/>
                    </w:rPr>
                    <w:t>2</w:t>
                  </w:r>
                </w:p>
              </w:tc>
              <w:tc>
                <w:tcPr>
                  <w:tcW w:w="1463" w:type="dxa"/>
                  <w:vAlign w:val="center"/>
                </w:tcPr>
                <w:p>
                  <w:pPr>
                    <w:pStyle w:val="46"/>
                    <w:rPr>
                      <w:rFonts w:cs="Times New Roman"/>
                      <w:sz w:val="21"/>
                      <w:szCs w:val="21"/>
                    </w:rPr>
                  </w:pPr>
                  <w:r>
                    <w:rPr>
                      <w:rFonts w:cs="Times New Roman"/>
                      <w:sz w:val="21"/>
                      <w:szCs w:val="21"/>
                    </w:rPr>
                    <w:t>一用一备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continue"/>
                  <w:vAlign w:val="center"/>
                </w:tcPr>
                <w:p>
                  <w:pPr>
                    <w:pStyle w:val="46"/>
                    <w:rPr>
                      <w:rFonts w:cs="Times New Roman"/>
                      <w:sz w:val="21"/>
                      <w:szCs w:val="21"/>
                    </w:rPr>
                  </w:pPr>
                </w:p>
              </w:tc>
              <w:tc>
                <w:tcPr>
                  <w:tcW w:w="1383" w:type="dxa"/>
                  <w:vAlign w:val="center"/>
                </w:tcPr>
                <w:p>
                  <w:pPr>
                    <w:pStyle w:val="46"/>
                    <w:rPr>
                      <w:rFonts w:cs="Times New Roman"/>
                      <w:sz w:val="21"/>
                      <w:szCs w:val="21"/>
                    </w:rPr>
                  </w:pPr>
                  <w:r>
                    <w:rPr>
                      <w:rFonts w:hint="eastAsia"/>
                      <w:sz w:val="21"/>
                      <w:szCs w:val="21"/>
                    </w:rPr>
                    <w:t>反冲洗泵</w:t>
                  </w:r>
                </w:p>
              </w:tc>
              <w:tc>
                <w:tcPr>
                  <w:tcW w:w="2426" w:type="dxa"/>
                </w:tcPr>
                <w:p>
                  <w:pPr>
                    <w:pStyle w:val="46"/>
                    <w:rPr>
                      <w:rFonts w:cs="Times New Roman"/>
                      <w:sz w:val="21"/>
                      <w:szCs w:val="21"/>
                    </w:rPr>
                  </w:pPr>
                  <w:r>
                    <w:rPr>
                      <w:rFonts w:hint="eastAsia" w:cs="Times New Roman"/>
                      <w:sz w:val="21"/>
                      <w:szCs w:val="21"/>
                    </w:rPr>
                    <w:t>/</w:t>
                  </w:r>
                </w:p>
              </w:tc>
              <w:tc>
                <w:tcPr>
                  <w:tcW w:w="856" w:type="dxa"/>
                  <w:vAlign w:val="center"/>
                </w:tcPr>
                <w:p>
                  <w:pPr>
                    <w:pStyle w:val="46"/>
                    <w:rPr>
                      <w:rFonts w:cs="Times New Roman"/>
                      <w:sz w:val="21"/>
                      <w:szCs w:val="21"/>
                    </w:rPr>
                  </w:pPr>
                  <w:r>
                    <w:rPr>
                      <w:rFonts w:cs="Times New Roman"/>
                      <w:sz w:val="21"/>
                      <w:szCs w:val="21"/>
                    </w:rPr>
                    <w:t>台</w:t>
                  </w:r>
                </w:p>
              </w:tc>
              <w:tc>
                <w:tcPr>
                  <w:tcW w:w="856" w:type="dxa"/>
                  <w:vAlign w:val="center"/>
                </w:tcPr>
                <w:p>
                  <w:pPr>
                    <w:pStyle w:val="46"/>
                    <w:rPr>
                      <w:rFonts w:cs="Times New Roman"/>
                      <w:sz w:val="21"/>
                      <w:szCs w:val="21"/>
                    </w:rPr>
                  </w:pPr>
                  <w:r>
                    <w:rPr>
                      <w:rFonts w:cs="Times New Roman"/>
                      <w:sz w:val="21"/>
                      <w:szCs w:val="21"/>
                    </w:rPr>
                    <w:t>2</w:t>
                  </w:r>
                </w:p>
              </w:tc>
              <w:tc>
                <w:tcPr>
                  <w:tcW w:w="1463" w:type="dxa"/>
                  <w:vAlign w:val="center"/>
                </w:tcPr>
                <w:p>
                  <w:pPr>
                    <w:pStyle w:val="46"/>
                    <w:rPr>
                      <w:rFonts w:cs="Times New Roman"/>
                      <w:sz w:val="21"/>
                      <w:szCs w:val="21"/>
                    </w:rPr>
                  </w:pPr>
                  <w:r>
                    <w:rPr>
                      <w:rFonts w:cs="Times New Roman"/>
                      <w:sz w:val="21"/>
                      <w:szCs w:val="21"/>
                    </w:rPr>
                    <w:t>一用一备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continue"/>
                  <w:vAlign w:val="center"/>
                </w:tcPr>
                <w:p>
                  <w:pPr>
                    <w:pStyle w:val="46"/>
                    <w:rPr>
                      <w:rFonts w:cs="Times New Roman"/>
                      <w:sz w:val="21"/>
                      <w:szCs w:val="21"/>
                    </w:rPr>
                  </w:pPr>
                </w:p>
              </w:tc>
              <w:tc>
                <w:tcPr>
                  <w:tcW w:w="1383" w:type="dxa"/>
                  <w:vAlign w:val="center"/>
                </w:tcPr>
                <w:p>
                  <w:pPr>
                    <w:pStyle w:val="46"/>
                    <w:rPr>
                      <w:rFonts w:cs="Times New Roman"/>
                      <w:sz w:val="21"/>
                      <w:szCs w:val="21"/>
                    </w:rPr>
                  </w:pPr>
                  <w:r>
                    <w:rPr>
                      <w:rFonts w:cs="Times New Roman"/>
                      <w:sz w:val="21"/>
                      <w:szCs w:val="21"/>
                    </w:rPr>
                    <w:t>浮球液位计</w:t>
                  </w:r>
                </w:p>
              </w:tc>
              <w:tc>
                <w:tcPr>
                  <w:tcW w:w="2426" w:type="dxa"/>
                  <w:vAlign w:val="center"/>
                </w:tcPr>
                <w:p>
                  <w:pPr>
                    <w:pStyle w:val="46"/>
                    <w:rPr>
                      <w:rFonts w:cs="Times New Roman"/>
                      <w:sz w:val="21"/>
                      <w:szCs w:val="21"/>
                    </w:rPr>
                  </w:pPr>
                  <w:r>
                    <w:rPr>
                      <w:rFonts w:cs="Times New Roman"/>
                      <w:sz w:val="21"/>
                      <w:szCs w:val="21"/>
                    </w:rPr>
                    <w:t>行程0~4m</w:t>
                  </w:r>
                </w:p>
              </w:tc>
              <w:tc>
                <w:tcPr>
                  <w:tcW w:w="856" w:type="dxa"/>
                  <w:vAlign w:val="center"/>
                </w:tcPr>
                <w:p>
                  <w:pPr>
                    <w:pStyle w:val="46"/>
                    <w:rPr>
                      <w:rFonts w:cs="Times New Roman"/>
                      <w:sz w:val="21"/>
                      <w:szCs w:val="21"/>
                    </w:rPr>
                  </w:pPr>
                  <w:r>
                    <w:rPr>
                      <w:rFonts w:cs="Times New Roman"/>
                      <w:sz w:val="21"/>
                      <w:szCs w:val="21"/>
                    </w:rPr>
                    <w:t>套</w:t>
                  </w:r>
                </w:p>
              </w:tc>
              <w:tc>
                <w:tcPr>
                  <w:tcW w:w="856" w:type="dxa"/>
                  <w:vAlign w:val="center"/>
                </w:tcPr>
                <w:p>
                  <w:pPr>
                    <w:pStyle w:val="46"/>
                    <w:rPr>
                      <w:rFonts w:cs="Times New Roman"/>
                      <w:sz w:val="21"/>
                      <w:szCs w:val="21"/>
                    </w:rPr>
                  </w:pPr>
                  <w:r>
                    <w:rPr>
                      <w:rFonts w:cs="Times New Roman"/>
                      <w:sz w:val="21"/>
                      <w:szCs w:val="21"/>
                    </w:rPr>
                    <w:t>2</w:t>
                  </w:r>
                </w:p>
              </w:tc>
              <w:tc>
                <w:tcPr>
                  <w:tcW w:w="1463" w:type="dxa"/>
                  <w:vAlign w:val="center"/>
                </w:tcPr>
                <w:p>
                  <w:pPr>
                    <w:pStyle w:val="46"/>
                    <w:rPr>
                      <w:rFonts w:cs="Times New Roman"/>
                      <w:sz w:val="21"/>
                      <w:szCs w:val="21"/>
                    </w:rPr>
                  </w:pPr>
                  <w:r>
                    <w:rPr>
                      <w:rFonts w:cs="Times New Roman"/>
                      <w:sz w:val="21"/>
                      <w:szCs w:val="21"/>
                    </w:rPr>
                    <w:t>一用一备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continue"/>
                  <w:vAlign w:val="center"/>
                </w:tcPr>
                <w:p>
                  <w:pPr>
                    <w:pStyle w:val="46"/>
                    <w:rPr>
                      <w:rFonts w:cs="Times New Roman"/>
                      <w:sz w:val="21"/>
                      <w:szCs w:val="21"/>
                    </w:rPr>
                  </w:pPr>
                </w:p>
              </w:tc>
              <w:tc>
                <w:tcPr>
                  <w:tcW w:w="1383" w:type="dxa"/>
                  <w:vAlign w:val="center"/>
                </w:tcPr>
                <w:p>
                  <w:pPr>
                    <w:pStyle w:val="46"/>
                    <w:rPr>
                      <w:rFonts w:cs="Times New Roman"/>
                      <w:sz w:val="21"/>
                      <w:szCs w:val="21"/>
                    </w:rPr>
                  </w:pPr>
                  <w:r>
                    <w:rPr>
                      <w:rFonts w:cs="Times New Roman"/>
                      <w:sz w:val="21"/>
                      <w:szCs w:val="21"/>
                    </w:rPr>
                    <w:t>流量计</w:t>
                  </w:r>
                </w:p>
              </w:tc>
              <w:tc>
                <w:tcPr>
                  <w:tcW w:w="2426" w:type="dxa"/>
                  <w:vAlign w:val="center"/>
                </w:tcPr>
                <w:p>
                  <w:pPr>
                    <w:pStyle w:val="46"/>
                    <w:rPr>
                      <w:rFonts w:cs="Times New Roman"/>
                      <w:sz w:val="21"/>
                      <w:szCs w:val="21"/>
                    </w:rPr>
                  </w:pPr>
                  <w:r>
                    <w:rPr>
                      <w:rFonts w:cs="Times New Roman"/>
                      <w:sz w:val="21"/>
                      <w:szCs w:val="21"/>
                    </w:rPr>
                    <w:t>量程0~6.25m</w:t>
                  </w:r>
                  <w:r>
                    <w:rPr>
                      <w:rFonts w:cs="Times New Roman"/>
                      <w:sz w:val="21"/>
                      <w:szCs w:val="21"/>
                      <w:vertAlign w:val="superscript"/>
                    </w:rPr>
                    <w:t>3</w:t>
                  </w:r>
                  <w:r>
                    <w:rPr>
                      <w:rFonts w:cs="Times New Roman"/>
                      <w:sz w:val="21"/>
                      <w:szCs w:val="21"/>
                    </w:rPr>
                    <w:t>/h</w:t>
                  </w:r>
                </w:p>
              </w:tc>
              <w:tc>
                <w:tcPr>
                  <w:tcW w:w="856" w:type="dxa"/>
                  <w:vAlign w:val="center"/>
                </w:tcPr>
                <w:p>
                  <w:pPr>
                    <w:pStyle w:val="46"/>
                    <w:rPr>
                      <w:rFonts w:cs="Times New Roman"/>
                      <w:sz w:val="21"/>
                      <w:szCs w:val="21"/>
                    </w:rPr>
                  </w:pPr>
                  <w:r>
                    <w:rPr>
                      <w:rFonts w:cs="Times New Roman"/>
                      <w:sz w:val="21"/>
                      <w:szCs w:val="21"/>
                    </w:rPr>
                    <w:t>套</w:t>
                  </w:r>
                </w:p>
              </w:tc>
              <w:tc>
                <w:tcPr>
                  <w:tcW w:w="856" w:type="dxa"/>
                  <w:vAlign w:val="center"/>
                </w:tcPr>
                <w:p>
                  <w:pPr>
                    <w:pStyle w:val="46"/>
                    <w:rPr>
                      <w:rFonts w:cs="Times New Roman"/>
                      <w:sz w:val="21"/>
                      <w:szCs w:val="21"/>
                    </w:rPr>
                  </w:pPr>
                  <w:r>
                    <w:rPr>
                      <w:rFonts w:cs="Times New Roman"/>
                      <w:sz w:val="21"/>
                      <w:szCs w:val="21"/>
                    </w:rPr>
                    <w:t>1</w:t>
                  </w:r>
                </w:p>
              </w:tc>
              <w:tc>
                <w:tcPr>
                  <w:tcW w:w="1463" w:type="dxa"/>
                  <w:vAlign w:val="center"/>
                </w:tcPr>
                <w:p>
                  <w:pPr>
                    <w:pStyle w:val="46"/>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continue"/>
                  <w:vAlign w:val="center"/>
                </w:tcPr>
                <w:p>
                  <w:pPr>
                    <w:pStyle w:val="46"/>
                    <w:rPr>
                      <w:rFonts w:cs="Times New Roman"/>
                      <w:sz w:val="21"/>
                      <w:szCs w:val="21"/>
                    </w:rPr>
                  </w:pPr>
                </w:p>
              </w:tc>
              <w:tc>
                <w:tcPr>
                  <w:tcW w:w="1383" w:type="dxa"/>
                  <w:vAlign w:val="center"/>
                </w:tcPr>
                <w:p>
                  <w:pPr>
                    <w:pStyle w:val="46"/>
                    <w:rPr>
                      <w:rFonts w:cs="Times New Roman"/>
                      <w:sz w:val="21"/>
                      <w:szCs w:val="21"/>
                    </w:rPr>
                  </w:pPr>
                  <w:r>
                    <w:rPr>
                      <w:rFonts w:cs="Times New Roman"/>
                      <w:sz w:val="21"/>
                      <w:szCs w:val="21"/>
                    </w:rPr>
                    <w:t>电气柜</w:t>
                  </w:r>
                </w:p>
              </w:tc>
              <w:tc>
                <w:tcPr>
                  <w:tcW w:w="2426" w:type="dxa"/>
                  <w:vAlign w:val="center"/>
                </w:tcPr>
                <w:p>
                  <w:pPr>
                    <w:pStyle w:val="46"/>
                    <w:rPr>
                      <w:rFonts w:cs="Times New Roman"/>
                      <w:sz w:val="21"/>
                      <w:szCs w:val="21"/>
                    </w:rPr>
                  </w:pPr>
                  <w:r>
                    <w:rPr>
                      <w:rFonts w:cs="Times New Roman"/>
                      <w:sz w:val="21"/>
                      <w:szCs w:val="21"/>
                    </w:rPr>
                    <w:t>XL21</w:t>
                  </w:r>
                </w:p>
              </w:tc>
              <w:tc>
                <w:tcPr>
                  <w:tcW w:w="856" w:type="dxa"/>
                  <w:vAlign w:val="center"/>
                </w:tcPr>
                <w:p>
                  <w:pPr>
                    <w:pStyle w:val="46"/>
                    <w:rPr>
                      <w:rFonts w:cs="Times New Roman"/>
                      <w:sz w:val="21"/>
                      <w:szCs w:val="21"/>
                    </w:rPr>
                  </w:pPr>
                  <w:r>
                    <w:rPr>
                      <w:rFonts w:cs="Times New Roman"/>
                      <w:sz w:val="21"/>
                      <w:szCs w:val="21"/>
                    </w:rPr>
                    <w:t>套</w:t>
                  </w:r>
                </w:p>
              </w:tc>
              <w:tc>
                <w:tcPr>
                  <w:tcW w:w="856" w:type="dxa"/>
                  <w:vAlign w:val="center"/>
                </w:tcPr>
                <w:p>
                  <w:pPr>
                    <w:pStyle w:val="46"/>
                    <w:rPr>
                      <w:rFonts w:cs="Times New Roman"/>
                      <w:sz w:val="21"/>
                      <w:szCs w:val="21"/>
                    </w:rPr>
                  </w:pPr>
                  <w:r>
                    <w:rPr>
                      <w:rFonts w:cs="Times New Roman"/>
                      <w:sz w:val="21"/>
                      <w:szCs w:val="21"/>
                    </w:rPr>
                    <w:t>1</w:t>
                  </w:r>
                </w:p>
              </w:tc>
              <w:tc>
                <w:tcPr>
                  <w:tcW w:w="1463" w:type="dxa"/>
                  <w:vAlign w:val="center"/>
                </w:tcPr>
                <w:p>
                  <w:pPr>
                    <w:pStyle w:val="46"/>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continue"/>
                  <w:vAlign w:val="center"/>
                </w:tcPr>
                <w:p>
                  <w:pPr>
                    <w:pStyle w:val="46"/>
                    <w:rPr>
                      <w:rFonts w:cs="Times New Roman"/>
                      <w:sz w:val="21"/>
                      <w:szCs w:val="21"/>
                    </w:rPr>
                  </w:pPr>
                </w:p>
              </w:tc>
              <w:tc>
                <w:tcPr>
                  <w:tcW w:w="1383" w:type="dxa"/>
                  <w:vAlign w:val="center"/>
                </w:tcPr>
                <w:p>
                  <w:pPr>
                    <w:pStyle w:val="46"/>
                    <w:rPr>
                      <w:rFonts w:cs="Times New Roman"/>
                      <w:sz w:val="21"/>
                      <w:szCs w:val="21"/>
                    </w:rPr>
                  </w:pPr>
                  <w:r>
                    <w:rPr>
                      <w:rFonts w:cs="Times New Roman"/>
                      <w:sz w:val="21"/>
                      <w:szCs w:val="21"/>
                    </w:rPr>
                    <w:t>一体化设备</w:t>
                  </w:r>
                </w:p>
              </w:tc>
              <w:tc>
                <w:tcPr>
                  <w:tcW w:w="2426" w:type="dxa"/>
                  <w:vAlign w:val="center"/>
                </w:tcPr>
                <w:p>
                  <w:pPr>
                    <w:pStyle w:val="46"/>
                    <w:rPr>
                      <w:rFonts w:cs="Times New Roman"/>
                      <w:sz w:val="21"/>
                      <w:szCs w:val="21"/>
                    </w:rPr>
                  </w:pPr>
                  <w:r>
                    <w:rPr>
                      <w:rFonts w:cs="Times New Roman"/>
                      <w:sz w:val="21"/>
                      <w:szCs w:val="21"/>
                    </w:rPr>
                    <w:t>处理能力100m</w:t>
                  </w:r>
                  <w:r>
                    <w:rPr>
                      <w:rFonts w:cs="Times New Roman"/>
                      <w:sz w:val="21"/>
                      <w:szCs w:val="21"/>
                      <w:vertAlign w:val="superscript"/>
                    </w:rPr>
                    <w:t>3</w:t>
                  </w:r>
                  <w:r>
                    <w:rPr>
                      <w:rFonts w:cs="Times New Roman"/>
                      <w:sz w:val="21"/>
                      <w:szCs w:val="21"/>
                    </w:rPr>
                    <w:t>/d</w:t>
                  </w:r>
                </w:p>
              </w:tc>
              <w:tc>
                <w:tcPr>
                  <w:tcW w:w="856" w:type="dxa"/>
                  <w:vAlign w:val="center"/>
                </w:tcPr>
                <w:p>
                  <w:pPr>
                    <w:pStyle w:val="46"/>
                    <w:rPr>
                      <w:rFonts w:cs="Times New Roman"/>
                      <w:sz w:val="21"/>
                      <w:szCs w:val="21"/>
                    </w:rPr>
                  </w:pPr>
                  <w:r>
                    <w:rPr>
                      <w:rFonts w:cs="Times New Roman"/>
                      <w:sz w:val="21"/>
                      <w:szCs w:val="21"/>
                    </w:rPr>
                    <w:t>台</w:t>
                  </w:r>
                </w:p>
              </w:tc>
              <w:tc>
                <w:tcPr>
                  <w:tcW w:w="856" w:type="dxa"/>
                  <w:vAlign w:val="center"/>
                </w:tcPr>
                <w:p>
                  <w:pPr>
                    <w:pStyle w:val="46"/>
                    <w:rPr>
                      <w:rFonts w:cs="Times New Roman"/>
                      <w:sz w:val="21"/>
                      <w:szCs w:val="21"/>
                    </w:rPr>
                  </w:pPr>
                  <w:r>
                    <w:rPr>
                      <w:rFonts w:cs="Times New Roman"/>
                      <w:sz w:val="21"/>
                      <w:szCs w:val="21"/>
                    </w:rPr>
                    <w:t>1</w:t>
                  </w:r>
                </w:p>
              </w:tc>
              <w:tc>
                <w:tcPr>
                  <w:tcW w:w="1463" w:type="dxa"/>
                  <w:vAlign w:val="center"/>
                </w:tcPr>
                <w:p>
                  <w:pPr>
                    <w:pStyle w:val="46"/>
                    <w:rPr>
                      <w:rFonts w:cs="Times New Roman"/>
                      <w:sz w:val="21"/>
                      <w:szCs w:val="21"/>
                    </w:rPr>
                  </w:pPr>
                  <w:r>
                    <w:rPr>
                      <w:rFonts w:cs="Times New Roman"/>
                      <w:sz w:val="21"/>
                      <w:szCs w:val="21"/>
                    </w:rPr>
                    <w:t>地埋式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14" w:type="dxa"/>
                  <w:vMerge w:val="continue"/>
                  <w:vAlign w:val="center"/>
                </w:tcPr>
                <w:p>
                  <w:pPr>
                    <w:pStyle w:val="46"/>
                    <w:rPr>
                      <w:rFonts w:cs="Times New Roman"/>
                      <w:sz w:val="21"/>
                      <w:szCs w:val="21"/>
                    </w:rPr>
                  </w:pPr>
                </w:p>
              </w:tc>
              <w:tc>
                <w:tcPr>
                  <w:tcW w:w="1383" w:type="dxa"/>
                  <w:vAlign w:val="center"/>
                </w:tcPr>
                <w:p>
                  <w:pPr>
                    <w:pStyle w:val="46"/>
                    <w:rPr>
                      <w:rFonts w:cs="Times New Roman"/>
                      <w:sz w:val="21"/>
                      <w:szCs w:val="21"/>
                    </w:rPr>
                  </w:pPr>
                  <w:r>
                    <w:rPr>
                      <w:rFonts w:hint="eastAsia" w:cs="Times New Roman"/>
                      <w:sz w:val="21"/>
                      <w:szCs w:val="21"/>
                    </w:rPr>
                    <w:t>紫外线消毒设备</w:t>
                  </w:r>
                </w:p>
              </w:tc>
              <w:tc>
                <w:tcPr>
                  <w:tcW w:w="2426" w:type="dxa"/>
                  <w:vAlign w:val="center"/>
                </w:tcPr>
                <w:p>
                  <w:pPr>
                    <w:pStyle w:val="46"/>
                    <w:rPr>
                      <w:rFonts w:cs="Times New Roman"/>
                      <w:sz w:val="21"/>
                      <w:szCs w:val="21"/>
                    </w:rPr>
                  </w:pPr>
                  <w:r>
                    <w:rPr>
                      <w:rFonts w:hint="eastAsia" w:cs="Times New Roman"/>
                      <w:sz w:val="21"/>
                      <w:szCs w:val="21"/>
                    </w:rPr>
                    <w:t>/</w:t>
                  </w:r>
                </w:p>
              </w:tc>
              <w:tc>
                <w:tcPr>
                  <w:tcW w:w="856" w:type="dxa"/>
                  <w:vAlign w:val="center"/>
                </w:tcPr>
                <w:p>
                  <w:pPr>
                    <w:pStyle w:val="46"/>
                    <w:rPr>
                      <w:rFonts w:cs="Times New Roman"/>
                      <w:sz w:val="21"/>
                      <w:szCs w:val="21"/>
                    </w:rPr>
                  </w:pPr>
                  <w:r>
                    <w:rPr>
                      <w:rFonts w:cs="Times New Roman"/>
                      <w:sz w:val="21"/>
                      <w:szCs w:val="21"/>
                    </w:rPr>
                    <w:t>台</w:t>
                  </w:r>
                </w:p>
              </w:tc>
              <w:tc>
                <w:tcPr>
                  <w:tcW w:w="856" w:type="dxa"/>
                  <w:vAlign w:val="center"/>
                </w:tcPr>
                <w:p>
                  <w:pPr>
                    <w:pStyle w:val="46"/>
                    <w:rPr>
                      <w:rFonts w:cs="Times New Roman"/>
                      <w:sz w:val="21"/>
                      <w:szCs w:val="21"/>
                    </w:rPr>
                  </w:pPr>
                  <w:r>
                    <w:rPr>
                      <w:rFonts w:cs="Times New Roman"/>
                      <w:sz w:val="21"/>
                      <w:szCs w:val="21"/>
                    </w:rPr>
                    <w:t>1</w:t>
                  </w:r>
                </w:p>
              </w:tc>
              <w:tc>
                <w:tcPr>
                  <w:tcW w:w="1463" w:type="dxa"/>
                  <w:vAlign w:val="center"/>
                </w:tcPr>
                <w:p>
                  <w:pPr>
                    <w:pStyle w:val="46"/>
                    <w:rPr>
                      <w:rFonts w:cs="Times New Roman"/>
                      <w:sz w:val="21"/>
                      <w:szCs w:val="21"/>
                    </w:rPr>
                  </w:pPr>
                  <w:r>
                    <w:rPr>
                      <w:rFonts w:hint="eastAsia" w:cs="Times New Roman"/>
                      <w:sz w:val="21"/>
                      <w:szCs w:val="21"/>
                    </w:rPr>
                    <w:t>/</w:t>
                  </w:r>
                </w:p>
              </w:tc>
            </w:tr>
          </w:tbl>
          <w:p>
            <w:pPr>
              <w:pStyle w:val="190"/>
              <w:spacing w:line="360" w:lineRule="auto"/>
              <w:ind w:firstLine="480"/>
            </w:pPr>
            <w:r>
              <w:t>本项目三个片区污水站管网主要工程量表如下</w:t>
            </w:r>
            <w:r>
              <w:rPr>
                <w:rFonts w:hint="eastAsia"/>
              </w:rPr>
              <w:t>：</w:t>
            </w:r>
          </w:p>
          <w:p>
            <w:pPr>
              <w:pStyle w:val="192"/>
              <w:framePr w:hSpace="0" w:wrap="auto" w:vAnchor="margin" w:hAnchor="text" w:yAlign="inline"/>
              <w:spacing w:before="0" w:line="240" w:lineRule="auto"/>
              <w:ind w:firstLine="482"/>
              <w:rPr>
                <w:rFonts w:cs="Times New Roman"/>
                <w:szCs w:val="24"/>
              </w:rPr>
            </w:pPr>
            <w:r>
              <w:rPr>
                <w:rFonts w:cs="Times New Roman"/>
                <w:szCs w:val="24"/>
              </w:rPr>
              <w:t>表1-7  截污干管工程量</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0"/>
              <w:gridCol w:w="1192"/>
              <w:gridCol w:w="1986"/>
              <w:gridCol w:w="1269"/>
              <w:gridCol w:w="1150"/>
              <w:gridCol w:w="1228"/>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71" w:type="pct"/>
                  <w:tcMar>
                    <w:top w:w="15" w:type="dxa"/>
                    <w:left w:w="15" w:type="dxa"/>
                    <w:right w:w="15" w:type="dxa"/>
                  </w:tcMar>
                  <w:vAlign w:val="center"/>
                </w:tcPr>
                <w:p>
                  <w:pPr>
                    <w:pStyle w:val="46"/>
                    <w:rPr>
                      <w:rFonts w:cs="Times New Roman"/>
                      <w:sz w:val="21"/>
                      <w:szCs w:val="21"/>
                    </w:rPr>
                  </w:pPr>
                  <w:r>
                    <w:rPr>
                      <w:rFonts w:cs="Times New Roman"/>
                      <w:sz w:val="21"/>
                      <w:szCs w:val="21"/>
                    </w:rPr>
                    <w:t>序号</w:t>
                  </w:r>
                </w:p>
              </w:tc>
              <w:tc>
                <w:tcPr>
                  <w:tcW w:w="670" w:type="pct"/>
                  <w:tcMar>
                    <w:top w:w="15" w:type="dxa"/>
                    <w:left w:w="15" w:type="dxa"/>
                    <w:right w:w="15" w:type="dxa"/>
                  </w:tcMar>
                  <w:vAlign w:val="center"/>
                </w:tcPr>
                <w:p>
                  <w:pPr>
                    <w:pStyle w:val="46"/>
                    <w:rPr>
                      <w:rFonts w:cs="Times New Roman"/>
                      <w:sz w:val="21"/>
                      <w:szCs w:val="21"/>
                    </w:rPr>
                  </w:pPr>
                  <w:r>
                    <w:rPr>
                      <w:rFonts w:cs="Times New Roman"/>
                      <w:sz w:val="21"/>
                      <w:szCs w:val="21"/>
                    </w:rPr>
                    <w:t>片区</w:t>
                  </w: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名称</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规格</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单位</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数量</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71" w:type="pct"/>
                  <w:vMerge w:val="restart"/>
                  <w:tcMar>
                    <w:top w:w="15" w:type="dxa"/>
                    <w:left w:w="15" w:type="dxa"/>
                    <w:right w:w="15" w:type="dxa"/>
                  </w:tcMar>
                  <w:vAlign w:val="center"/>
                </w:tcPr>
                <w:p>
                  <w:pPr>
                    <w:pStyle w:val="46"/>
                    <w:rPr>
                      <w:rFonts w:cs="Times New Roman"/>
                      <w:sz w:val="21"/>
                      <w:szCs w:val="21"/>
                    </w:rPr>
                  </w:pPr>
                  <w:r>
                    <w:rPr>
                      <w:rFonts w:cs="Times New Roman"/>
                      <w:sz w:val="21"/>
                      <w:szCs w:val="21"/>
                    </w:rPr>
                    <w:t>1</w:t>
                  </w:r>
                </w:p>
              </w:tc>
              <w:tc>
                <w:tcPr>
                  <w:tcW w:w="670" w:type="pct"/>
                  <w:vMerge w:val="restart"/>
                  <w:tcMar>
                    <w:top w:w="15" w:type="dxa"/>
                    <w:left w:w="15" w:type="dxa"/>
                    <w:right w:w="15" w:type="dxa"/>
                  </w:tcMar>
                  <w:vAlign w:val="center"/>
                </w:tcPr>
                <w:p>
                  <w:pPr>
                    <w:pStyle w:val="46"/>
                    <w:rPr>
                      <w:rFonts w:cs="Times New Roman"/>
                      <w:sz w:val="21"/>
                      <w:szCs w:val="21"/>
                    </w:rPr>
                  </w:pPr>
                  <w:r>
                    <w:rPr>
                      <w:rFonts w:cs="Times New Roman"/>
                      <w:sz w:val="21"/>
                      <w:szCs w:val="21"/>
                    </w:rPr>
                    <w:t>马嘶溪火车站片区</w:t>
                  </w: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污水干管</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DN300</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m</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2395</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HDPE双壁波纹管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71" w:type="pct"/>
                  <w:vMerge w:val="continue"/>
                  <w:tcMar>
                    <w:top w:w="15" w:type="dxa"/>
                    <w:left w:w="15" w:type="dxa"/>
                    <w:right w:w="15" w:type="dxa"/>
                  </w:tcMar>
                  <w:vAlign w:val="center"/>
                </w:tcPr>
                <w:p>
                  <w:pPr>
                    <w:pStyle w:val="46"/>
                    <w:rPr>
                      <w:rFonts w:cs="Times New Roman"/>
                      <w:sz w:val="21"/>
                      <w:szCs w:val="21"/>
                    </w:rPr>
                  </w:pPr>
                </w:p>
              </w:tc>
              <w:tc>
                <w:tcPr>
                  <w:tcW w:w="670" w:type="pct"/>
                  <w:vMerge w:val="continue"/>
                  <w:tcMar>
                    <w:top w:w="15" w:type="dxa"/>
                    <w:left w:w="15" w:type="dxa"/>
                    <w:right w:w="15" w:type="dxa"/>
                  </w:tcMar>
                  <w:vAlign w:val="center"/>
                </w:tcPr>
                <w:p>
                  <w:pPr>
                    <w:pStyle w:val="46"/>
                    <w:rPr>
                      <w:rFonts w:cs="Times New Roman"/>
                      <w:sz w:val="21"/>
                      <w:szCs w:val="21"/>
                    </w:rPr>
                  </w:pP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污水干管</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DN160</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m</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700</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HDPE双壁波纹管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71" w:type="pct"/>
                  <w:vMerge w:val="continue"/>
                  <w:tcMar>
                    <w:top w:w="15" w:type="dxa"/>
                    <w:left w:w="15" w:type="dxa"/>
                    <w:right w:w="15" w:type="dxa"/>
                  </w:tcMar>
                  <w:vAlign w:val="center"/>
                </w:tcPr>
                <w:p>
                  <w:pPr>
                    <w:pStyle w:val="46"/>
                    <w:rPr>
                      <w:rFonts w:cs="Times New Roman"/>
                      <w:sz w:val="21"/>
                      <w:szCs w:val="21"/>
                    </w:rPr>
                  </w:pPr>
                </w:p>
              </w:tc>
              <w:tc>
                <w:tcPr>
                  <w:tcW w:w="670" w:type="pct"/>
                  <w:vMerge w:val="continue"/>
                  <w:tcMar>
                    <w:top w:w="15" w:type="dxa"/>
                    <w:left w:w="15" w:type="dxa"/>
                    <w:right w:w="15" w:type="dxa"/>
                  </w:tcMar>
                  <w:vAlign w:val="center"/>
                </w:tcPr>
                <w:p>
                  <w:pPr>
                    <w:pStyle w:val="46"/>
                    <w:rPr>
                      <w:rFonts w:cs="Times New Roman"/>
                      <w:sz w:val="21"/>
                      <w:szCs w:val="21"/>
                    </w:rPr>
                  </w:pP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污水检查井</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Φ1000</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座</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88</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PE材质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71" w:type="pct"/>
                  <w:vMerge w:val="restart"/>
                  <w:tcMar>
                    <w:top w:w="15" w:type="dxa"/>
                    <w:left w:w="15" w:type="dxa"/>
                    <w:right w:w="15" w:type="dxa"/>
                  </w:tcMar>
                  <w:vAlign w:val="center"/>
                </w:tcPr>
                <w:p>
                  <w:pPr>
                    <w:pStyle w:val="46"/>
                    <w:rPr>
                      <w:rFonts w:cs="Times New Roman"/>
                      <w:sz w:val="21"/>
                      <w:szCs w:val="21"/>
                    </w:rPr>
                  </w:pPr>
                  <w:r>
                    <w:rPr>
                      <w:rFonts w:cs="Times New Roman"/>
                      <w:sz w:val="21"/>
                      <w:szCs w:val="21"/>
                    </w:rPr>
                    <w:t>2</w:t>
                  </w:r>
                </w:p>
              </w:tc>
              <w:tc>
                <w:tcPr>
                  <w:tcW w:w="670" w:type="pct"/>
                  <w:vMerge w:val="restart"/>
                  <w:tcMar>
                    <w:top w:w="15" w:type="dxa"/>
                    <w:left w:w="15" w:type="dxa"/>
                    <w:right w:w="15" w:type="dxa"/>
                  </w:tcMar>
                  <w:vAlign w:val="center"/>
                </w:tcPr>
                <w:p>
                  <w:pPr>
                    <w:pStyle w:val="46"/>
                    <w:rPr>
                      <w:rFonts w:cs="Times New Roman"/>
                      <w:sz w:val="21"/>
                      <w:szCs w:val="21"/>
                    </w:rPr>
                  </w:pPr>
                  <w:r>
                    <w:rPr>
                      <w:rFonts w:cs="Times New Roman"/>
                      <w:sz w:val="21"/>
                      <w:szCs w:val="21"/>
                    </w:rPr>
                    <w:t>老人民医院片区</w:t>
                  </w: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污水干管</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DN300</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m</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284</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HDPE双壁波纹管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 w:hRule="atLeast"/>
              </w:trPr>
              <w:tc>
                <w:tcPr>
                  <w:tcW w:w="371" w:type="pct"/>
                  <w:vMerge w:val="continue"/>
                  <w:tcMar>
                    <w:top w:w="15" w:type="dxa"/>
                    <w:left w:w="15" w:type="dxa"/>
                    <w:right w:w="15" w:type="dxa"/>
                  </w:tcMar>
                  <w:vAlign w:val="center"/>
                </w:tcPr>
                <w:p>
                  <w:pPr>
                    <w:pStyle w:val="46"/>
                    <w:rPr>
                      <w:rFonts w:cs="Times New Roman"/>
                      <w:sz w:val="21"/>
                      <w:szCs w:val="21"/>
                    </w:rPr>
                  </w:pPr>
                </w:p>
              </w:tc>
              <w:tc>
                <w:tcPr>
                  <w:tcW w:w="670" w:type="pct"/>
                  <w:vMerge w:val="continue"/>
                  <w:tcMar>
                    <w:top w:w="15" w:type="dxa"/>
                    <w:left w:w="15" w:type="dxa"/>
                    <w:right w:w="15" w:type="dxa"/>
                  </w:tcMar>
                  <w:vAlign w:val="center"/>
                </w:tcPr>
                <w:p>
                  <w:pPr>
                    <w:pStyle w:val="46"/>
                    <w:rPr>
                      <w:rFonts w:cs="Times New Roman"/>
                      <w:sz w:val="21"/>
                      <w:szCs w:val="21"/>
                    </w:rPr>
                  </w:pP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污水干管</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DN150</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m</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201</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HDPE双壁波纹管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 w:hRule="atLeast"/>
              </w:trPr>
              <w:tc>
                <w:tcPr>
                  <w:tcW w:w="371" w:type="pct"/>
                  <w:vMerge w:val="continue"/>
                  <w:tcMar>
                    <w:top w:w="15" w:type="dxa"/>
                    <w:left w:w="15" w:type="dxa"/>
                    <w:right w:w="15" w:type="dxa"/>
                  </w:tcMar>
                  <w:vAlign w:val="center"/>
                </w:tcPr>
                <w:p>
                  <w:pPr>
                    <w:pStyle w:val="46"/>
                    <w:rPr>
                      <w:rFonts w:cs="Times New Roman"/>
                      <w:sz w:val="21"/>
                      <w:szCs w:val="21"/>
                    </w:rPr>
                  </w:pPr>
                </w:p>
              </w:tc>
              <w:tc>
                <w:tcPr>
                  <w:tcW w:w="670" w:type="pct"/>
                  <w:vMerge w:val="continue"/>
                  <w:tcMar>
                    <w:top w:w="15" w:type="dxa"/>
                    <w:left w:w="15" w:type="dxa"/>
                    <w:right w:w="15" w:type="dxa"/>
                  </w:tcMar>
                  <w:vAlign w:val="center"/>
                </w:tcPr>
                <w:p>
                  <w:pPr>
                    <w:pStyle w:val="46"/>
                    <w:rPr>
                      <w:rFonts w:cs="Times New Roman"/>
                      <w:sz w:val="21"/>
                      <w:szCs w:val="21"/>
                    </w:rPr>
                  </w:pP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污水干管</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DN200</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m</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154</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焊接钢管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71" w:type="pct"/>
                  <w:vMerge w:val="continue"/>
                  <w:tcMar>
                    <w:top w:w="15" w:type="dxa"/>
                    <w:left w:w="15" w:type="dxa"/>
                    <w:right w:w="15" w:type="dxa"/>
                  </w:tcMar>
                  <w:vAlign w:val="center"/>
                </w:tcPr>
                <w:p>
                  <w:pPr>
                    <w:pStyle w:val="46"/>
                    <w:rPr>
                      <w:rFonts w:cs="Times New Roman"/>
                      <w:sz w:val="21"/>
                      <w:szCs w:val="21"/>
                    </w:rPr>
                  </w:pPr>
                </w:p>
              </w:tc>
              <w:tc>
                <w:tcPr>
                  <w:tcW w:w="670" w:type="pct"/>
                  <w:vMerge w:val="continue"/>
                  <w:tcMar>
                    <w:top w:w="15" w:type="dxa"/>
                    <w:left w:w="15" w:type="dxa"/>
                    <w:right w:w="15" w:type="dxa"/>
                  </w:tcMar>
                  <w:vAlign w:val="center"/>
                </w:tcPr>
                <w:p>
                  <w:pPr>
                    <w:pStyle w:val="46"/>
                    <w:rPr>
                      <w:rFonts w:cs="Times New Roman"/>
                      <w:sz w:val="21"/>
                      <w:szCs w:val="21"/>
                    </w:rPr>
                  </w:pP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污水检查井</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Φ1000</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座</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30</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PE材质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71" w:type="pct"/>
                  <w:vMerge w:val="restart"/>
                  <w:tcMar>
                    <w:top w:w="15" w:type="dxa"/>
                    <w:left w:w="15" w:type="dxa"/>
                    <w:right w:w="15" w:type="dxa"/>
                  </w:tcMar>
                  <w:vAlign w:val="center"/>
                </w:tcPr>
                <w:p>
                  <w:pPr>
                    <w:pStyle w:val="46"/>
                    <w:rPr>
                      <w:rFonts w:cs="Times New Roman"/>
                      <w:sz w:val="21"/>
                      <w:szCs w:val="21"/>
                    </w:rPr>
                  </w:pPr>
                  <w:r>
                    <w:rPr>
                      <w:rFonts w:cs="Times New Roman"/>
                      <w:sz w:val="21"/>
                      <w:szCs w:val="21"/>
                    </w:rPr>
                    <w:t>3</w:t>
                  </w:r>
                </w:p>
              </w:tc>
              <w:tc>
                <w:tcPr>
                  <w:tcW w:w="670" w:type="pct"/>
                  <w:vMerge w:val="restart"/>
                  <w:tcMar>
                    <w:top w:w="15" w:type="dxa"/>
                    <w:left w:w="15" w:type="dxa"/>
                    <w:right w:w="15" w:type="dxa"/>
                  </w:tcMar>
                  <w:vAlign w:val="center"/>
                </w:tcPr>
                <w:p>
                  <w:pPr>
                    <w:pStyle w:val="46"/>
                    <w:rPr>
                      <w:rFonts w:cs="Times New Roman"/>
                      <w:sz w:val="21"/>
                      <w:szCs w:val="21"/>
                    </w:rPr>
                  </w:pPr>
                  <w:r>
                    <w:rPr>
                      <w:rFonts w:cs="Times New Roman"/>
                      <w:sz w:val="21"/>
                      <w:szCs w:val="21"/>
                    </w:rPr>
                    <w:t>经营所片区</w:t>
                  </w: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雨水干管</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DN400</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m</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126</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HDPE双壁波纹管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71" w:type="pct"/>
                  <w:vMerge w:val="continue"/>
                  <w:tcMar>
                    <w:top w:w="15" w:type="dxa"/>
                    <w:left w:w="15" w:type="dxa"/>
                    <w:right w:w="15" w:type="dxa"/>
                  </w:tcMar>
                  <w:vAlign w:val="center"/>
                </w:tcPr>
                <w:p>
                  <w:pPr>
                    <w:pStyle w:val="46"/>
                    <w:rPr>
                      <w:rFonts w:cs="Times New Roman"/>
                      <w:sz w:val="21"/>
                      <w:szCs w:val="21"/>
                    </w:rPr>
                  </w:pPr>
                </w:p>
              </w:tc>
              <w:tc>
                <w:tcPr>
                  <w:tcW w:w="670" w:type="pct"/>
                  <w:vMerge w:val="continue"/>
                  <w:tcMar>
                    <w:top w:w="15" w:type="dxa"/>
                    <w:left w:w="15" w:type="dxa"/>
                    <w:right w:w="15" w:type="dxa"/>
                  </w:tcMar>
                  <w:vAlign w:val="center"/>
                </w:tcPr>
                <w:p>
                  <w:pPr>
                    <w:pStyle w:val="46"/>
                    <w:rPr>
                      <w:rFonts w:cs="Times New Roman"/>
                      <w:sz w:val="21"/>
                      <w:szCs w:val="21"/>
                    </w:rPr>
                  </w:pPr>
                </w:p>
              </w:tc>
              <w:tc>
                <w:tcPr>
                  <w:tcW w:w="1116" w:type="pct"/>
                  <w:tcMar>
                    <w:top w:w="15" w:type="dxa"/>
                    <w:left w:w="15" w:type="dxa"/>
                    <w:right w:w="15" w:type="dxa"/>
                  </w:tcMar>
                  <w:vAlign w:val="center"/>
                </w:tcPr>
                <w:p>
                  <w:pPr>
                    <w:pStyle w:val="46"/>
                    <w:rPr>
                      <w:rFonts w:cs="Times New Roman"/>
                      <w:sz w:val="21"/>
                      <w:szCs w:val="21"/>
                    </w:rPr>
                  </w:pPr>
                  <w:r>
                    <w:rPr>
                      <w:rFonts w:cs="Times New Roman"/>
                      <w:sz w:val="21"/>
                      <w:szCs w:val="21"/>
                    </w:rPr>
                    <w:t>雨水检查井</w:t>
                  </w:r>
                </w:p>
              </w:tc>
              <w:tc>
                <w:tcPr>
                  <w:tcW w:w="713" w:type="pct"/>
                  <w:tcMar>
                    <w:top w:w="15" w:type="dxa"/>
                    <w:left w:w="15" w:type="dxa"/>
                    <w:right w:w="15" w:type="dxa"/>
                  </w:tcMar>
                  <w:vAlign w:val="center"/>
                </w:tcPr>
                <w:p>
                  <w:pPr>
                    <w:pStyle w:val="46"/>
                    <w:rPr>
                      <w:rFonts w:cs="Times New Roman"/>
                      <w:sz w:val="21"/>
                      <w:szCs w:val="21"/>
                    </w:rPr>
                  </w:pPr>
                  <w:r>
                    <w:rPr>
                      <w:rFonts w:cs="Times New Roman"/>
                      <w:sz w:val="21"/>
                      <w:szCs w:val="21"/>
                    </w:rPr>
                    <w:t>Φ700</w:t>
                  </w:r>
                </w:p>
              </w:tc>
              <w:tc>
                <w:tcPr>
                  <w:tcW w:w="646" w:type="pct"/>
                  <w:tcMar>
                    <w:top w:w="15" w:type="dxa"/>
                    <w:left w:w="15" w:type="dxa"/>
                    <w:right w:w="15" w:type="dxa"/>
                  </w:tcMar>
                  <w:vAlign w:val="center"/>
                </w:tcPr>
                <w:p>
                  <w:pPr>
                    <w:pStyle w:val="46"/>
                    <w:rPr>
                      <w:rFonts w:cs="Times New Roman"/>
                      <w:sz w:val="21"/>
                      <w:szCs w:val="21"/>
                    </w:rPr>
                  </w:pPr>
                  <w:r>
                    <w:rPr>
                      <w:rFonts w:cs="Times New Roman"/>
                      <w:sz w:val="21"/>
                      <w:szCs w:val="21"/>
                    </w:rPr>
                    <w:t>座</w:t>
                  </w:r>
                </w:p>
              </w:tc>
              <w:tc>
                <w:tcPr>
                  <w:tcW w:w="690" w:type="pct"/>
                  <w:tcMar>
                    <w:top w:w="15" w:type="dxa"/>
                    <w:left w:w="15" w:type="dxa"/>
                    <w:right w:w="15" w:type="dxa"/>
                  </w:tcMar>
                  <w:vAlign w:val="center"/>
                </w:tcPr>
                <w:p>
                  <w:pPr>
                    <w:pStyle w:val="46"/>
                    <w:rPr>
                      <w:rFonts w:cs="Times New Roman"/>
                      <w:sz w:val="21"/>
                      <w:szCs w:val="21"/>
                    </w:rPr>
                  </w:pPr>
                  <w:r>
                    <w:rPr>
                      <w:rFonts w:cs="Times New Roman"/>
                      <w:sz w:val="21"/>
                      <w:szCs w:val="21"/>
                    </w:rPr>
                    <w:t>7</w:t>
                  </w:r>
                </w:p>
              </w:tc>
              <w:tc>
                <w:tcPr>
                  <w:tcW w:w="794" w:type="pct"/>
                  <w:tcMar>
                    <w:top w:w="15" w:type="dxa"/>
                    <w:left w:w="15" w:type="dxa"/>
                    <w:right w:w="15" w:type="dxa"/>
                  </w:tcMar>
                  <w:vAlign w:val="center"/>
                </w:tcPr>
                <w:p>
                  <w:pPr>
                    <w:pStyle w:val="46"/>
                    <w:rPr>
                      <w:rFonts w:cs="Times New Roman"/>
                      <w:sz w:val="21"/>
                      <w:szCs w:val="21"/>
                    </w:rPr>
                  </w:pPr>
                  <w:r>
                    <w:rPr>
                      <w:rFonts w:cs="Times New Roman"/>
                      <w:sz w:val="21"/>
                      <w:szCs w:val="21"/>
                    </w:rPr>
                    <w:t>PE材质</w:t>
                  </w:r>
                </w:p>
              </w:tc>
            </w:tr>
          </w:tbl>
          <w:p>
            <w:pPr>
              <w:pStyle w:val="195"/>
              <w:spacing w:line="360" w:lineRule="auto"/>
              <w:ind w:firstLine="480"/>
              <w:rPr>
                <w:rFonts w:eastAsia="宋体"/>
                <w:bCs/>
              </w:rPr>
            </w:pPr>
            <w:r>
              <w:rPr>
                <w:rFonts w:eastAsia="宋体"/>
              </w:rPr>
              <w:t>（</w:t>
            </w:r>
            <w:r>
              <w:rPr>
                <w:rFonts w:hint="eastAsia" w:eastAsia="宋体"/>
              </w:rPr>
              <w:t>三</w:t>
            </w:r>
            <w:r>
              <w:rPr>
                <w:rFonts w:eastAsia="宋体"/>
              </w:rPr>
              <w:t>）项目</w:t>
            </w:r>
            <w:r>
              <w:rPr>
                <w:rFonts w:eastAsia="宋体"/>
                <w:bCs/>
              </w:rPr>
              <w:t>主要原辅材料及能耗</w:t>
            </w:r>
          </w:p>
          <w:p>
            <w:pPr>
              <w:pStyle w:val="190"/>
              <w:spacing w:line="360" w:lineRule="auto"/>
              <w:ind w:firstLine="480"/>
            </w:pPr>
            <w:r>
              <w:t>本项目主要</w:t>
            </w:r>
            <w:r>
              <w:rPr>
                <w:bCs/>
              </w:rPr>
              <w:t>原辅材料及能耗</w:t>
            </w:r>
            <w:r>
              <w:t>见表1-8。</w:t>
            </w:r>
          </w:p>
          <w:p>
            <w:pPr>
              <w:adjustRightInd w:val="0"/>
              <w:snapToGrid w:val="0"/>
              <w:spacing w:line="360" w:lineRule="auto"/>
              <w:ind w:firstLine="480" w:firstLineChars="200"/>
            </w:pPr>
            <w:r>
              <w:t>按照本项目污水处理站的处理规模，主要原辅材料种类、数量及项目能耗情况统计见下表。</w:t>
            </w:r>
          </w:p>
          <w:p>
            <w:pPr>
              <w:pStyle w:val="192"/>
              <w:framePr w:hSpace="0" w:wrap="auto" w:vAnchor="margin" w:hAnchor="text" w:yAlign="inline"/>
              <w:spacing w:before="0" w:line="240" w:lineRule="auto"/>
              <w:ind w:firstLine="482"/>
              <w:rPr>
                <w:rFonts w:cs="Times New Roman"/>
                <w:szCs w:val="24"/>
              </w:rPr>
            </w:pPr>
            <w:r>
              <w:rPr>
                <w:rFonts w:cs="Times New Roman"/>
                <w:szCs w:val="24"/>
              </w:rPr>
              <w:t>表1-8  主要原辅材料及能耗情况表</w:t>
            </w:r>
          </w:p>
          <w:tbl>
            <w:tblPr>
              <w:tblStyle w:val="3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097"/>
              <w:gridCol w:w="1340"/>
              <w:gridCol w:w="2102"/>
              <w:gridCol w:w="1571"/>
              <w:gridCol w:w="1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Align w:val="center"/>
                </w:tcPr>
                <w:p>
                  <w:pPr>
                    <w:adjustRightInd w:val="0"/>
                    <w:snapToGrid w:val="0"/>
                    <w:jc w:val="center"/>
                    <w:rPr>
                      <w:sz w:val="21"/>
                      <w:szCs w:val="21"/>
                    </w:rPr>
                  </w:pPr>
                  <w:r>
                    <w:rPr>
                      <w:sz w:val="21"/>
                      <w:szCs w:val="21"/>
                    </w:rPr>
                    <w:t>项目</w:t>
                  </w:r>
                </w:p>
              </w:tc>
              <w:tc>
                <w:tcPr>
                  <w:tcW w:w="2437" w:type="dxa"/>
                  <w:gridSpan w:val="2"/>
                  <w:vAlign w:val="center"/>
                </w:tcPr>
                <w:p>
                  <w:pPr>
                    <w:adjustRightInd w:val="0"/>
                    <w:snapToGrid w:val="0"/>
                    <w:jc w:val="center"/>
                    <w:rPr>
                      <w:sz w:val="21"/>
                      <w:szCs w:val="21"/>
                    </w:rPr>
                  </w:pPr>
                  <w:r>
                    <w:rPr>
                      <w:sz w:val="21"/>
                      <w:szCs w:val="21"/>
                    </w:rPr>
                    <w:t>名称</w:t>
                  </w:r>
                </w:p>
              </w:tc>
              <w:tc>
                <w:tcPr>
                  <w:tcW w:w="2102" w:type="dxa"/>
                  <w:vAlign w:val="center"/>
                </w:tcPr>
                <w:p>
                  <w:pPr>
                    <w:adjustRightInd w:val="0"/>
                    <w:snapToGrid w:val="0"/>
                    <w:jc w:val="center"/>
                    <w:rPr>
                      <w:sz w:val="21"/>
                      <w:szCs w:val="21"/>
                    </w:rPr>
                  </w:pPr>
                  <w:r>
                    <w:rPr>
                      <w:sz w:val="21"/>
                      <w:szCs w:val="21"/>
                    </w:rPr>
                    <w:t>用量</w:t>
                  </w:r>
                </w:p>
              </w:tc>
              <w:tc>
                <w:tcPr>
                  <w:tcW w:w="1571" w:type="dxa"/>
                  <w:vAlign w:val="center"/>
                </w:tcPr>
                <w:p>
                  <w:pPr>
                    <w:adjustRightInd w:val="0"/>
                    <w:snapToGrid w:val="0"/>
                    <w:jc w:val="center"/>
                    <w:rPr>
                      <w:sz w:val="21"/>
                      <w:szCs w:val="21"/>
                    </w:rPr>
                  </w:pPr>
                  <w:r>
                    <w:rPr>
                      <w:sz w:val="21"/>
                      <w:szCs w:val="21"/>
                    </w:rPr>
                    <w:t>来源</w:t>
                  </w:r>
                </w:p>
              </w:tc>
              <w:tc>
                <w:tcPr>
                  <w:tcW w:w="1446" w:type="dxa"/>
                  <w:vAlign w:val="center"/>
                </w:tcPr>
                <w:p>
                  <w:pPr>
                    <w:adjustRightInd w:val="0"/>
                    <w:snapToGrid w:val="0"/>
                    <w:jc w:val="center"/>
                    <w:rPr>
                      <w:sz w:val="21"/>
                      <w:szCs w:val="21"/>
                    </w:rPr>
                  </w:pPr>
                  <w:r>
                    <w:rPr>
                      <w:sz w:val="21"/>
                      <w:szCs w:val="21"/>
                    </w:rPr>
                    <w:t>主要化学成分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Merge w:val="restart"/>
                  <w:vAlign w:val="center"/>
                </w:tcPr>
                <w:p>
                  <w:pPr>
                    <w:adjustRightInd w:val="0"/>
                    <w:snapToGrid w:val="0"/>
                    <w:jc w:val="center"/>
                    <w:rPr>
                      <w:sz w:val="21"/>
                      <w:szCs w:val="21"/>
                    </w:rPr>
                  </w:pPr>
                  <w:r>
                    <w:rPr>
                      <w:sz w:val="21"/>
                      <w:szCs w:val="21"/>
                    </w:rPr>
                    <w:t>主辅料</w:t>
                  </w:r>
                </w:p>
              </w:tc>
              <w:tc>
                <w:tcPr>
                  <w:tcW w:w="1097" w:type="dxa"/>
                  <w:vMerge w:val="restart"/>
                  <w:vAlign w:val="center"/>
                </w:tcPr>
                <w:p>
                  <w:pPr>
                    <w:adjustRightInd w:val="0"/>
                    <w:snapToGrid w:val="0"/>
                    <w:jc w:val="center"/>
                    <w:rPr>
                      <w:sz w:val="21"/>
                      <w:szCs w:val="21"/>
                    </w:rPr>
                  </w:pPr>
                  <w:r>
                    <w:rPr>
                      <w:sz w:val="21"/>
                      <w:szCs w:val="21"/>
                    </w:rPr>
                    <w:t>施工期</w:t>
                  </w:r>
                </w:p>
              </w:tc>
              <w:tc>
                <w:tcPr>
                  <w:tcW w:w="1340" w:type="dxa"/>
                  <w:vAlign w:val="center"/>
                </w:tcPr>
                <w:p>
                  <w:pPr>
                    <w:adjustRightInd w:val="0"/>
                    <w:snapToGrid w:val="0"/>
                    <w:jc w:val="center"/>
                    <w:rPr>
                      <w:sz w:val="21"/>
                      <w:szCs w:val="21"/>
                    </w:rPr>
                  </w:pPr>
                  <w:r>
                    <w:rPr>
                      <w:sz w:val="21"/>
                      <w:szCs w:val="21"/>
                    </w:rPr>
                    <w:t>钢材</w:t>
                  </w:r>
                </w:p>
              </w:tc>
              <w:tc>
                <w:tcPr>
                  <w:tcW w:w="2102" w:type="dxa"/>
                  <w:vAlign w:val="center"/>
                </w:tcPr>
                <w:p>
                  <w:pPr>
                    <w:adjustRightInd w:val="0"/>
                    <w:snapToGrid w:val="0"/>
                    <w:jc w:val="center"/>
                    <w:rPr>
                      <w:sz w:val="21"/>
                      <w:szCs w:val="21"/>
                    </w:rPr>
                  </w:pPr>
                  <w:r>
                    <w:rPr>
                      <w:sz w:val="21"/>
                      <w:szCs w:val="21"/>
                    </w:rPr>
                    <w:t>23t</w:t>
                  </w:r>
                </w:p>
              </w:tc>
              <w:tc>
                <w:tcPr>
                  <w:tcW w:w="1571" w:type="dxa"/>
                  <w:vMerge w:val="restart"/>
                  <w:vAlign w:val="center"/>
                </w:tcPr>
                <w:p>
                  <w:pPr>
                    <w:pStyle w:val="27"/>
                    <w:widowControl w:val="0"/>
                    <w:adjustRightInd w:val="0"/>
                    <w:snapToGrid w:val="0"/>
                    <w:spacing w:before="0" w:beforeAutospacing="0" w:after="0" w:afterAutospacing="0"/>
                    <w:jc w:val="center"/>
                    <w:rPr>
                      <w:rFonts w:ascii="Times New Roman" w:hAnsi="Times New Roman" w:cs="Times New Roman"/>
                      <w:sz w:val="21"/>
                      <w:szCs w:val="21"/>
                    </w:rPr>
                  </w:pPr>
                  <w:r>
                    <w:rPr>
                      <w:rFonts w:ascii="Times New Roman" w:hAnsi="Times New Roman" w:cs="Times New Roman"/>
                      <w:sz w:val="21"/>
                      <w:szCs w:val="21"/>
                    </w:rPr>
                    <w:t>外购</w:t>
                  </w:r>
                </w:p>
              </w:tc>
              <w:tc>
                <w:tcPr>
                  <w:tcW w:w="1446" w:type="dxa"/>
                  <w:vAlign w:val="center"/>
                </w:tcPr>
                <w:p>
                  <w:pPr>
                    <w:adjustRightInd w:val="0"/>
                    <w:snapToGrid w:val="0"/>
                    <w:jc w:val="center"/>
                    <w:rPr>
                      <w:sz w:val="21"/>
                      <w:szCs w:val="21"/>
                    </w:rPr>
                  </w:pPr>
                  <w:r>
                    <w:rPr>
                      <w:sz w:val="21"/>
                      <w:szCs w:val="21"/>
                    </w:rPr>
                    <w:t>Fe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Merge w:val="continue"/>
                  <w:vAlign w:val="center"/>
                </w:tcPr>
                <w:p>
                  <w:pPr>
                    <w:adjustRightInd w:val="0"/>
                    <w:snapToGrid w:val="0"/>
                    <w:jc w:val="center"/>
                    <w:rPr>
                      <w:sz w:val="21"/>
                      <w:szCs w:val="21"/>
                    </w:rPr>
                  </w:pPr>
                </w:p>
              </w:tc>
              <w:tc>
                <w:tcPr>
                  <w:tcW w:w="1097" w:type="dxa"/>
                  <w:vMerge w:val="continue"/>
                  <w:vAlign w:val="center"/>
                </w:tcPr>
                <w:p>
                  <w:pPr>
                    <w:adjustRightInd w:val="0"/>
                    <w:snapToGrid w:val="0"/>
                    <w:jc w:val="center"/>
                    <w:rPr>
                      <w:sz w:val="21"/>
                      <w:szCs w:val="21"/>
                    </w:rPr>
                  </w:pPr>
                </w:p>
              </w:tc>
              <w:tc>
                <w:tcPr>
                  <w:tcW w:w="1340" w:type="dxa"/>
                  <w:vAlign w:val="center"/>
                </w:tcPr>
                <w:p>
                  <w:pPr>
                    <w:adjustRightInd w:val="0"/>
                    <w:snapToGrid w:val="0"/>
                    <w:jc w:val="center"/>
                    <w:rPr>
                      <w:sz w:val="21"/>
                      <w:szCs w:val="21"/>
                    </w:rPr>
                  </w:pPr>
                  <w:r>
                    <w:rPr>
                      <w:sz w:val="21"/>
                      <w:szCs w:val="21"/>
                    </w:rPr>
                    <w:t>混凝土</w:t>
                  </w:r>
                </w:p>
              </w:tc>
              <w:tc>
                <w:tcPr>
                  <w:tcW w:w="2102" w:type="dxa"/>
                  <w:vAlign w:val="center"/>
                </w:tcPr>
                <w:p>
                  <w:pPr>
                    <w:adjustRightInd w:val="0"/>
                    <w:snapToGrid w:val="0"/>
                    <w:jc w:val="center"/>
                    <w:rPr>
                      <w:sz w:val="21"/>
                      <w:szCs w:val="21"/>
                    </w:rPr>
                  </w:pPr>
                  <w:r>
                    <w:rPr>
                      <w:sz w:val="21"/>
                      <w:szCs w:val="21"/>
                    </w:rPr>
                    <w:t>510m</w:t>
                  </w:r>
                  <w:r>
                    <w:rPr>
                      <w:sz w:val="21"/>
                      <w:szCs w:val="21"/>
                      <w:vertAlign w:val="superscript"/>
                    </w:rPr>
                    <w:t>3</w:t>
                  </w:r>
                </w:p>
              </w:tc>
              <w:tc>
                <w:tcPr>
                  <w:tcW w:w="1571" w:type="dxa"/>
                  <w:vMerge w:val="continue"/>
                  <w:vAlign w:val="center"/>
                </w:tcPr>
                <w:p>
                  <w:pPr>
                    <w:adjustRightInd w:val="0"/>
                    <w:snapToGrid w:val="0"/>
                    <w:jc w:val="center"/>
                    <w:rPr>
                      <w:sz w:val="21"/>
                      <w:szCs w:val="21"/>
                    </w:rPr>
                  </w:pPr>
                </w:p>
              </w:tc>
              <w:tc>
                <w:tcPr>
                  <w:tcW w:w="1446" w:type="dxa"/>
                  <w:vAlign w:val="center"/>
                </w:tcPr>
                <w:p>
                  <w:pPr>
                    <w:adjustRightInd w:val="0"/>
                    <w:snapToGrid w:val="0"/>
                    <w:jc w:val="center"/>
                    <w:rPr>
                      <w:sz w:val="21"/>
                      <w:szCs w:val="21"/>
                    </w:rPr>
                  </w:pPr>
                  <w:r>
                    <w:rPr>
                      <w:sz w:val="21"/>
                      <w:szCs w:val="21"/>
                    </w:rPr>
                    <w:t>硅酸盐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Merge w:val="continue"/>
                  <w:vAlign w:val="center"/>
                </w:tcPr>
                <w:p>
                  <w:pPr>
                    <w:adjustRightInd w:val="0"/>
                    <w:snapToGrid w:val="0"/>
                    <w:jc w:val="center"/>
                    <w:rPr>
                      <w:sz w:val="21"/>
                      <w:szCs w:val="21"/>
                    </w:rPr>
                  </w:pPr>
                </w:p>
              </w:tc>
              <w:tc>
                <w:tcPr>
                  <w:tcW w:w="1097" w:type="dxa"/>
                  <w:vMerge w:val="continue"/>
                  <w:vAlign w:val="center"/>
                </w:tcPr>
                <w:p>
                  <w:pPr>
                    <w:adjustRightInd w:val="0"/>
                    <w:snapToGrid w:val="0"/>
                    <w:jc w:val="center"/>
                    <w:rPr>
                      <w:sz w:val="21"/>
                      <w:szCs w:val="21"/>
                    </w:rPr>
                  </w:pPr>
                </w:p>
              </w:tc>
              <w:tc>
                <w:tcPr>
                  <w:tcW w:w="1340" w:type="dxa"/>
                  <w:vAlign w:val="center"/>
                </w:tcPr>
                <w:p>
                  <w:pPr>
                    <w:adjustRightInd w:val="0"/>
                    <w:snapToGrid w:val="0"/>
                    <w:jc w:val="center"/>
                    <w:rPr>
                      <w:sz w:val="21"/>
                      <w:szCs w:val="21"/>
                    </w:rPr>
                  </w:pPr>
                  <w:r>
                    <w:rPr>
                      <w:sz w:val="21"/>
                      <w:szCs w:val="21"/>
                    </w:rPr>
                    <w:t>砖</w:t>
                  </w:r>
                </w:p>
              </w:tc>
              <w:tc>
                <w:tcPr>
                  <w:tcW w:w="2102" w:type="dxa"/>
                  <w:vAlign w:val="center"/>
                </w:tcPr>
                <w:p>
                  <w:pPr>
                    <w:adjustRightInd w:val="0"/>
                    <w:snapToGrid w:val="0"/>
                    <w:jc w:val="center"/>
                    <w:rPr>
                      <w:sz w:val="21"/>
                      <w:szCs w:val="21"/>
                    </w:rPr>
                  </w:pPr>
                  <w:r>
                    <w:rPr>
                      <w:sz w:val="21"/>
                      <w:szCs w:val="21"/>
                    </w:rPr>
                    <w:t>30m</w:t>
                  </w:r>
                  <w:r>
                    <w:rPr>
                      <w:sz w:val="21"/>
                      <w:szCs w:val="21"/>
                      <w:vertAlign w:val="superscript"/>
                    </w:rPr>
                    <w:t>3</w:t>
                  </w:r>
                </w:p>
              </w:tc>
              <w:tc>
                <w:tcPr>
                  <w:tcW w:w="1571" w:type="dxa"/>
                  <w:vMerge w:val="continue"/>
                  <w:vAlign w:val="center"/>
                </w:tcPr>
                <w:p>
                  <w:pPr>
                    <w:adjustRightInd w:val="0"/>
                    <w:snapToGrid w:val="0"/>
                    <w:jc w:val="center"/>
                    <w:rPr>
                      <w:sz w:val="21"/>
                      <w:szCs w:val="21"/>
                    </w:rPr>
                  </w:pPr>
                </w:p>
              </w:tc>
              <w:tc>
                <w:tcPr>
                  <w:tcW w:w="1446" w:type="dxa"/>
                  <w:vAlign w:val="center"/>
                </w:tcPr>
                <w:p>
                  <w:pPr>
                    <w:adjustRightInd w:val="0"/>
                    <w:snapToGrid w:val="0"/>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44" w:type="dxa"/>
                  <w:vMerge w:val="continue"/>
                  <w:vAlign w:val="center"/>
                </w:tcPr>
                <w:p>
                  <w:pPr>
                    <w:adjustRightInd w:val="0"/>
                    <w:snapToGrid w:val="0"/>
                    <w:jc w:val="center"/>
                    <w:rPr>
                      <w:sz w:val="21"/>
                      <w:szCs w:val="21"/>
                    </w:rPr>
                  </w:pPr>
                </w:p>
              </w:tc>
              <w:tc>
                <w:tcPr>
                  <w:tcW w:w="1097" w:type="dxa"/>
                  <w:vMerge w:val="continue"/>
                  <w:vAlign w:val="center"/>
                </w:tcPr>
                <w:p>
                  <w:pPr>
                    <w:adjustRightInd w:val="0"/>
                    <w:snapToGrid w:val="0"/>
                    <w:jc w:val="center"/>
                    <w:rPr>
                      <w:sz w:val="21"/>
                      <w:szCs w:val="21"/>
                    </w:rPr>
                  </w:pPr>
                </w:p>
              </w:tc>
              <w:tc>
                <w:tcPr>
                  <w:tcW w:w="1340" w:type="dxa"/>
                  <w:vAlign w:val="center"/>
                </w:tcPr>
                <w:p>
                  <w:pPr>
                    <w:adjustRightInd w:val="0"/>
                    <w:snapToGrid w:val="0"/>
                    <w:jc w:val="center"/>
                    <w:rPr>
                      <w:sz w:val="21"/>
                      <w:szCs w:val="21"/>
                    </w:rPr>
                  </w:pPr>
                  <w:r>
                    <w:rPr>
                      <w:sz w:val="21"/>
                      <w:szCs w:val="21"/>
                    </w:rPr>
                    <w:t>水泥</w:t>
                  </w:r>
                </w:p>
              </w:tc>
              <w:tc>
                <w:tcPr>
                  <w:tcW w:w="2102" w:type="dxa"/>
                  <w:vAlign w:val="center"/>
                </w:tcPr>
                <w:p>
                  <w:pPr>
                    <w:adjustRightInd w:val="0"/>
                    <w:snapToGrid w:val="0"/>
                    <w:jc w:val="center"/>
                    <w:rPr>
                      <w:sz w:val="21"/>
                      <w:szCs w:val="21"/>
                    </w:rPr>
                  </w:pPr>
                  <w:r>
                    <w:rPr>
                      <w:sz w:val="21"/>
                      <w:szCs w:val="21"/>
                    </w:rPr>
                    <w:t>25t</w:t>
                  </w:r>
                </w:p>
              </w:tc>
              <w:tc>
                <w:tcPr>
                  <w:tcW w:w="1571" w:type="dxa"/>
                  <w:vMerge w:val="continue"/>
                  <w:vAlign w:val="center"/>
                </w:tcPr>
                <w:p>
                  <w:pPr>
                    <w:adjustRightInd w:val="0"/>
                    <w:snapToGrid w:val="0"/>
                    <w:jc w:val="center"/>
                    <w:rPr>
                      <w:sz w:val="21"/>
                      <w:szCs w:val="21"/>
                    </w:rPr>
                  </w:pPr>
                </w:p>
              </w:tc>
              <w:tc>
                <w:tcPr>
                  <w:tcW w:w="1446" w:type="dxa"/>
                  <w:vAlign w:val="center"/>
                </w:tcPr>
                <w:p>
                  <w:pPr>
                    <w:adjustRightInd w:val="0"/>
                    <w:snapToGrid w:val="0"/>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Merge w:val="continue"/>
                  <w:vAlign w:val="center"/>
                </w:tcPr>
                <w:p>
                  <w:pPr>
                    <w:adjustRightInd w:val="0"/>
                    <w:snapToGrid w:val="0"/>
                    <w:jc w:val="center"/>
                    <w:rPr>
                      <w:sz w:val="21"/>
                      <w:szCs w:val="21"/>
                    </w:rPr>
                  </w:pPr>
                </w:p>
              </w:tc>
              <w:tc>
                <w:tcPr>
                  <w:tcW w:w="1097" w:type="dxa"/>
                  <w:vMerge w:val="continue"/>
                  <w:vAlign w:val="center"/>
                </w:tcPr>
                <w:p>
                  <w:pPr>
                    <w:adjustRightInd w:val="0"/>
                    <w:snapToGrid w:val="0"/>
                    <w:jc w:val="center"/>
                    <w:rPr>
                      <w:sz w:val="21"/>
                      <w:szCs w:val="21"/>
                    </w:rPr>
                  </w:pPr>
                </w:p>
              </w:tc>
              <w:tc>
                <w:tcPr>
                  <w:tcW w:w="1340" w:type="dxa"/>
                  <w:vAlign w:val="center"/>
                </w:tcPr>
                <w:p>
                  <w:pPr>
                    <w:adjustRightInd w:val="0"/>
                    <w:snapToGrid w:val="0"/>
                    <w:jc w:val="center"/>
                    <w:rPr>
                      <w:sz w:val="21"/>
                      <w:szCs w:val="21"/>
                    </w:rPr>
                  </w:pPr>
                  <w:r>
                    <w:rPr>
                      <w:sz w:val="21"/>
                      <w:szCs w:val="21"/>
                    </w:rPr>
                    <w:t>沙石</w:t>
                  </w:r>
                </w:p>
              </w:tc>
              <w:tc>
                <w:tcPr>
                  <w:tcW w:w="2102" w:type="dxa"/>
                  <w:vAlign w:val="center"/>
                </w:tcPr>
                <w:p>
                  <w:pPr>
                    <w:adjustRightInd w:val="0"/>
                    <w:snapToGrid w:val="0"/>
                    <w:jc w:val="center"/>
                    <w:rPr>
                      <w:sz w:val="21"/>
                      <w:szCs w:val="21"/>
                    </w:rPr>
                  </w:pPr>
                  <w:r>
                    <w:rPr>
                      <w:sz w:val="21"/>
                      <w:szCs w:val="21"/>
                    </w:rPr>
                    <w:t>44t</w:t>
                  </w:r>
                </w:p>
              </w:tc>
              <w:tc>
                <w:tcPr>
                  <w:tcW w:w="1571" w:type="dxa"/>
                  <w:vMerge w:val="continue"/>
                  <w:vAlign w:val="center"/>
                </w:tcPr>
                <w:p>
                  <w:pPr>
                    <w:adjustRightInd w:val="0"/>
                    <w:snapToGrid w:val="0"/>
                    <w:jc w:val="center"/>
                    <w:rPr>
                      <w:sz w:val="21"/>
                      <w:szCs w:val="21"/>
                    </w:rPr>
                  </w:pPr>
                </w:p>
              </w:tc>
              <w:tc>
                <w:tcPr>
                  <w:tcW w:w="1446" w:type="dxa"/>
                  <w:vAlign w:val="center"/>
                </w:tcPr>
                <w:p>
                  <w:pPr>
                    <w:adjustRightInd w:val="0"/>
                    <w:snapToGrid w:val="0"/>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Merge w:val="continue"/>
                  <w:vAlign w:val="center"/>
                </w:tcPr>
                <w:p>
                  <w:pPr>
                    <w:adjustRightInd w:val="0"/>
                    <w:snapToGrid w:val="0"/>
                    <w:jc w:val="center"/>
                    <w:rPr>
                      <w:sz w:val="21"/>
                      <w:szCs w:val="21"/>
                    </w:rPr>
                  </w:pPr>
                </w:p>
              </w:tc>
              <w:tc>
                <w:tcPr>
                  <w:tcW w:w="1097" w:type="dxa"/>
                  <w:vMerge w:val="continue"/>
                  <w:vAlign w:val="center"/>
                </w:tcPr>
                <w:p>
                  <w:pPr>
                    <w:adjustRightInd w:val="0"/>
                    <w:snapToGrid w:val="0"/>
                    <w:jc w:val="center"/>
                    <w:rPr>
                      <w:sz w:val="21"/>
                      <w:szCs w:val="21"/>
                    </w:rPr>
                  </w:pPr>
                </w:p>
              </w:tc>
              <w:tc>
                <w:tcPr>
                  <w:tcW w:w="1340" w:type="dxa"/>
                  <w:vAlign w:val="center"/>
                </w:tcPr>
                <w:p>
                  <w:pPr>
                    <w:adjustRightInd w:val="0"/>
                    <w:snapToGrid w:val="0"/>
                    <w:jc w:val="center"/>
                    <w:rPr>
                      <w:sz w:val="21"/>
                      <w:szCs w:val="21"/>
                    </w:rPr>
                  </w:pPr>
                  <w:r>
                    <w:rPr>
                      <w:sz w:val="21"/>
                      <w:szCs w:val="21"/>
                    </w:rPr>
                    <w:t>防渗材料</w:t>
                  </w:r>
                </w:p>
              </w:tc>
              <w:tc>
                <w:tcPr>
                  <w:tcW w:w="2102" w:type="dxa"/>
                  <w:vAlign w:val="center"/>
                </w:tcPr>
                <w:p>
                  <w:pPr>
                    <w:adjustRightInd w:val="0"/>
                    <w:snapToGrid w:val="0"/>
                    <w:jc w:val="center"/>
                    <w:rPr>
                      <w:sz w:val="21"/>
                      <w:szCs w:val="21"/>
                    </w:rPr>
                  </w:pPr>
                  <w:r>
                    <w:rPr>
                      <w:sz w:val="21"/>
                      <w:szCs w:val="21"/>
                    </w:rPr>
                    <w:t>1000m</w:t>
                  </w:r>
                  <w:r>
                    <w:rPr>
                      <w:sz w:val="21"/>
                      <w:szCs w:val="21"/>
                      <w:vertAlign w:val="superscript"/>
                    </w:rPr>
                    <w:t>2</w:t>
                  </w:r>
                </w:p>
              </w:tc>
              <w:tc>
                <w:tcPr>
                  <w:tcW w:w="1571" w:type="dxa"/>
                  <w:vMerge w:val="continue"/>
                  <w:vAlign w:val="center"/>
                </w:tcPr>
                <w:p>
                  <w:pPr>
                    <w:adjustRightInd w:val="0"/>
                    <w:snapToGrid w:val="0"/>
                    <w:jc w:val="center"/>
                    <w:rPr>
                      <w:sz w:val="21"/>
                      <w:szCs w:val="21"/>
                    </w:rPr>
                  </w:pPr>
                </w:p>
              </w:tc>
              <w:tc>
                <w:tcPr>
                  <w:tcW w:w="1446" w:type="dxa"/>
                  <w:vAlign w:val="center"/>
                </w:tcPr>
                <w:p>
                  <w:pPr>
                    <w:adjustRightInd w:val="0"/>
                    <w:snapToGrid w:val="0"/>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Merge w:val="continue"/>
                  <w:vAlign w:val="center"/>
                </w:tcPr>
                <w:p>
                  <w:pPr>
                    <w:adjustRightInd w:val="0"/>
                    <w:snapToGrid w:val="0"/>
                    <w:jc w:val="center"/>
                    <w:rPr>
                      <w:sz w:val="21"/>
                      <w:szCs w:val="21"/>
                    </w:rPr>
                  </w:pPr>
                </w:p>
              </w:tc>
              <w:tc>
                <w:tcPr>
                  <w:tcW w:w="1097" w:type="dxa"/>
                  <w:vMerge w:val="restart"/>
                  <w:vAlign w:val="center"/>
                </w:tcPr>
                <w:p>
                  <w:pPr>
                    <w:adjustRightInd w:val="0"/>
                    <w:snapToGrid w:val="0"/>
                    <w:jc w:val="center"/>
                    <w:rPr>
                      <w:sz w:val="21"/>
                      <w:szCs w:val="21"/>
                    </w:rPr>
                  </w:pPr>
                  <w:r>
                    <w:rPr>
                      <w:rFonts w:hint="eastAsia"/>
                      <w:sz w:val="21"/>
                      <w:szCs w:val="21"/>
                    </w:rPr>
                    <w:t>运营期</w:t>
                  </w:r>
                </w:p>
              </w:tc>
              <w:tc>
                <w:tcPr>
                  <w:tcW w:w="1340" w:type="dxa"/>
                  <w:vAlign w:val="center"/>
                </w:tcPr>
                <w:p>
                  <w:pPr>
                    <w:adjustRightInd w:val="0"/>
                    <w:snapToGrid w:val="0"/>
                    <w:jc w:val="center"/>
                    <w:rPr>
                      <w:sz w:val="21"/>
                      <w:szCs w:val="21"/>
                    </w:rPr>
                  </w:pPr>
                  <w:r>
                    <w:rPr>
                      <w:rFonts w:hint="eastAsia"/>
                      <w:sz w:val="21"/>
                      <w:szCs w:val="21"/>
                    </w:rPr>
                    <w:t>P</w:t>
                  </w:r>
                  <w:r>
                    <w:rPr>
                      <w:sz w:val="21"/>
                      <w:szCs w:val="21"/>
                    </w:rPr>
                    <w:t>AC</w:t>
                  </w:r>
                </w:p>
              </w:tc>
              <w:tc>
                <w:tcPr>
                  <w:tcW w:w="2102" w:type="dxa"/>
                  <w:vAlign w:val="center"/>
                </w:tcPr>
                <w:p>
                  <w:pPr>
                    <w:adjustRightInd w:val="0"/>
                    <w:snapToGrid w:val="0"/>
                    <w:jc w:val="center"/>
                    <w:rPr>
                      <w:sz w:val="21"/>
                      <w:szCs w:val="21"/>
                    </w:rPr>
                  </w:pPr>
                  <w:r>
                    <w:rPr>
                      <w:sz w:val="21"/>
                      <w:szCs w:val="21"/>
                    </w:rPr>
                    <w:t>1.8t</w:t>
                  </w:r>
                </w:p>
              </w:tc>
              <w:tc>
                <w:tcPr>
                  <w:tcW w:w="1571" w:type="dxa"/>
                  <w:vMerge w:val="continue"/>
                  <w:vAlign w:val="center"/>
                </w:tcPr>
                <w:p>
                  <w:pPr>
                    <w:adjustRightInd w:val="0"/>
                    <w:snapToGrid w:val="0"/>
                    <w:jc w:val="center"/>
                    <w:rPr>
                      <w:sz w:val="21"/>
                      <w:szCs w:val="21"/>
                    </w:rPr>
                  </w:pPr>
                </w:p>
              </w:tc>
              <w:tc>
                <w:tcPr>
                  <w:tcW w:w="1446" w:type="dxa"/>
                  <w:vAlign w:val="center"/>
                </w:tcPr>
                <w:p>
                  <w:pPr>
                    <w:adjustRightInd w:val="0"/>
                    <w:snapToGrid w:val="0"/>
                    <w:jc w:val="center"/>
                    <w:rPr>
                      <w:sz w:val="21"/>
                      <w:szCs w:val="21"/>
                    </w:rPr>
                  </w:pPr>
                  <w:r>
                    <w:rPr>
                      <w:sz w:val="21"/>
                      <w:szCs w:val="21"/>
                    </w:rPr>
                    <w:t>聚合氯化铝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Merge w:val="continue"/>
                  <w:vAlign w:val="center"/>
                </w:tcPr>
                <w:p>
                  <w:pPr>
                    <w:adjustRightInd w:val="0"/>
                    <w:snapToGrid w:val="0"/>
                    <w:jc w:val="center"/>
                    <w:rPr>
                      <w:sz w:val="21"/>
                      <w:szCs w:val="21"/>
                    </w:rPr>
                  </w:pPr>
                </w:p>
              </w:tc>
              <w:tc>
                <w:tcPr>
                  <w:tcW w:w="1097" w:type="dxa"/>
                  <w:vMerge w:val="continue"/>
                  <w:vAlign w:val="center"/>
                </w:tcPr>
                <w:p>
                  <w:pPr>
                    <w:adjustRightInd w:val="0"/>
                    <w:snapToGrid w:val="0"/>
                    <w:jc w:val="center"/>
                    <w:rPr>
                      <w:sz w:val="21"/>
                      <w:szCs w:val="21"/>
                    </w:rPr>
                  </w:pPr>
                </w:p>
              </w:tc>
              <w:tc>
                <w:tcPr>
                  <w:tcW w:w="1340" w:type="dxa"/>
                  <w:vAlign w:val="center"/>
                </w:tcPr>
                <w:p>
                  <w:pPr>
                    <w:adjustRightInd w:val="0"/>
                    <w:snapToGrid w:val="0"/>
                    <w:jc w:val="center"/>
                    <w:rPr>
                      <w:sz w:val="21"/>
                      <w:szCs w:val="21"/>
                    </w:rPr>
                  </w:pPr>
                  <w:r>
                    <w:rPr>
                      <w:rFonts w:hint="eastAsia"/>
                      <w:sz w:val="21"/>
                      <w:szCs w:val="21"/>
                    </w:rPr>
                    <w:t>P</w:t>
                  </w:r>
                  <w:r>
                    <w:rPr>
                      <w:sz w:val="21"/>
                      <w:szCs w:val="21"/>
                    </w:rPr>
                    <w:t>AM</w:t>
                  </w:r>
                </w:p>
              </w:tc>
              <w:tc>
                <w:tcPr>
                  <w:tcW w:w="2102" w:type="dxa"/>
                  <w:vAlign w:val="center"/>
                </w:tcPr>
                <w:p>
                  <w:pPr>
                    <w:adjustRightInd w:val="0"/>
                    <w:snapToGrid w:val="0"/>
                    <w:jc w:val="center"/>
                    <w:rPr>
                      <w:sz w:val="21"/>
                      <w:szCs w:val="21"/>
                    </w:rPr>
                  </w:pPr>
                  <w:r>
                    <w:rPr>
                      <w:sz w:val="21"/>
                      <w:szCs w:val="21"/>
                    </w:rPr>
                    <w:t>3.6t</w:t>
                  </w:r>
                </w:p>
              </w:tc>
              <w:tc>
                <w:tcPr>
                  <w:tcW w:w="1571" w:type="dxa"/>
                  <w:vMerge w:val="continue"/>
                  <w:vAlign w:val="center"/>
                </w:tcPr>
                <w:p>
                  <w:pPr>
                    <w:adjustRightInd w:val="0"/>
                    <w:snapToGrid w:val="0"/>
                    <w:jc w:val="center"/>
                    <w:rPr>
                      <w:sz w:val="21"/>
                      <w:szCs w:val="21"/>
                    </w:rPr>
                  </w:pPr>
                </w:p>
              </w:tc>
              <w:tc>
                <w:tcPr>
                  <w:tcW w:w="1446" w:type="dxa"/>
                  <w:vAlign w:val="center"/>
                </w:tcPr>
                <w:p>
                  <w:pPr>
                    <w:adjustRightInd w:val="0"/>
                    <w:snapToGrid w:val="0"/>
                    <w:jc w:val="center"/>
                    <w:rPr>
                      <w:sz w:val="21"/>
                      <w:szCs w:val="21"/>
                    </w:rPr>
                  </w:pPr>
                  <w:r>
                    <w:rPr>
                      <w:sz w:val="21"/>
                      <w:szCs w:val="21"/>
                    </w:rPr>
                    <w:t>聚丙烯酰胺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Merge w:val="continue"/>
                  <w:vAlign w:val="center"/>
                </w:tcPr>
                <w:p>
                  <w:pPr>
                    <w:adjustRightInd w:val="0"/>
                    <w:snapToGrid w:val="0"/>
                    <w:jc w:val="center"/>
                    <w:rPr>
                      <w:sz w:val="21"/>
                      <w:szCs w:val="21"/>
                    </w:rPr>
                  </w:pPr>
                </w:p>
              </w:tc>
              <w:tc>
                <w:tcPr>
                  <w:tcW w:w="1097" w:type="dxa"/>
                  <w:vMerge w:val="continue"/>
                  <w:vAlign w:val="center"/>
                </w:tcPr>
                <w:p>
                  <w:pPr>
                    <w:adjustRightInd w:val="0"/>
                    <w:snapToGrid w:val="0"/>
                    <w:jc w:val="center"/>
                    <w:rPr>
                      <w:sz w:val="21"/>
                      <w:szCs w:val="21"/>
                    </w:rPr>
                  </w:pPr>
                </w:p>
              </w:tc>
              <w:tc>
                <w:tcPr>
                  <w:tcW w:w="1340" w:type="dxa"/>
                  <w:vAlign w:val="center"/>
                </w:tcPr>
                <w:p>
                  <w:pPr>
                    <w:adjustRightInd w:val="0"/>
                    <w:snapToGrid w:val="0"/>
                    <w:jc w:val="center"/>
                    <w:rPr>
                      <w:sz w:val="21"/>
                      <w:szCs w:val="21"/>
                    </w:rPr>
                  </w:pPr>
                  <w:r>
                    <w:rPr>
                      <w:sz w:val="21"/>
                      <w:szCs w:val="21"/>
                    </w:rPr>
                    <w:t>MBR</w:t>
                  </w:r>
                  <w:r>
                    <w:rPr>
                      <w:rFonts w:hint="eastAsia"/>
                      <w:sz w:val="21"/>
                      <w:szCs w:val="21"/>
                    </w:rPr>
                    <w:t>膜</w:t>
                  </w:r>
                </w:p>
              </w:tc>
              <w:tc>
                <w:tcPr>
                  <w:tcW w:w="2102" w:type="dxa"/>
                  <w:vAlign w:val="center"/>
                </w:tcPr>
                <w:p>
                  <w:pPr>
                    <w:adjustRightInd w:val="0"/>
                    <w:snapToGrid w:val="0"/>
                    <w:jc w:val="center"/>
                    <w:rPr>
                      <w:sz w:val="21"/>
                      <w:szCs w:val="21"/>
                    </w:rPr>
                  </w:pPr>
                  <w:r>
                    <w:rPr>
                      <w:rFonts w:hint="eastAsia"/>
                      <w:sz w:val="21"/>
                      <w:szCs w:val="21"/>
                    </w:rPr>
                    <w:t>0</w:t>
                  </w:r>
                  <w:r>
                    <w:rPr>
                      <w:sz w:val="21"/>
                      <w:szCs w:val="21"/>
                    </w:rPr>
                    <w:t>.05t</w:t>
                  </w:r>
                </w:p>
              </w:tc>
              <w:tc>
                <w:tcPr>
                  <w:tcW w:w="1571" w:type="dxa"/>
                  <w:vMerge w:val="continue"/>
                  <w:vAlign w:val="center"/>
                </w:tcPr>
                <w:p>
                  <w:pPr>
                    <w:adjustRightInd w:val="0"/>
                    <w:snapToGrid w:val="0"/>
                    <w:jc w:val="center"/>
                    <w:rPr>
                      <w:sz w:val="21"/>
                      <w:szCs w:val="21"/>
                    </w:rPr>
                  </w:pPr>
                </w:p>
              </w:tc>
              <w:tc>
                <w:tcPr>
                  <w:tcW w:w="1446" w:type="dxa"/>
                  <w:vAlign w:val="center"/>
                </w:tcPr>
                <w:p>
                  <w:pPr>
                    <w:adjustRightInd w:val="0"/>
                    <w:snapToGrid w:val="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Align w:val="center"/>
                </w:tcPr>
                <w:p>
                  <w:pPr>
                    <w:adjustRightInd w:val="0"/>
                    <w:snapToGrid w:val="0"/>
                    <w:jc w:val="center"/>
                    <w:rPr>
                      <w:sz w:val="21"/>
                      <w:szCs w:val="21"/>
                    </w:rPr>
                  </w:pPr>
                  <w:r>
                    <w:rPr>
                      <w:sz w:val="21"/>
                      <w:szCs w:val="21"/>
                    </w:rPr>
                    <w:t>能源</w:t>
                  </w:r>
                </w:p>
              </w:tc>
              <w:tc>
                <w:tcPr>
                  <w:tcW w:w="2437" w:type="dxa"/>
                  <w:gridSpan w:val="2"/>
                  <w:vAlign w:val="center"/>
                </w:tcPr>
                <w:p>
                  <w:pPr>
                    <w:adjustRightInd w:val="0"/>
                    <w:snapToGrid w:val="0"/>
                    <w:jc w:val="center"/>
                    <w:rPr>
                      <w:sz w:val="21"/>
                      <w:szCs w:val="21"/>
                    </w:rPr>
                  </w:pPr>
                  <w:r>
                    <w:rPr>
                      <w:sz w:val="21"/>
                      <w:szCs w:val="21"/>
                    </w:rPr>
                    <w:t>电</w:t>
                  </w:r>
                </w:p>
              </w:tc>
              <w:tc>
                <w:tcPr>
                  <w:tcW w:w="2102" w:type="dxa"/>
                  <w:vAlign w:val="center"/>
                </w:tcPr>
                <w:p>
                  <w:pPr>
                    <w:adjustRightInd w:val="0"/>
                    <w:snapToGrid w:val="0"/>
                    <w:jc w:val="center"/>
                    <w:rPr>
                      <w:sz w:val="21"/>
                      <w:szCs w:val="21"/>
                    </w:rPr>
                  </w:pPr>
                  <w:r>
                    <w:rPr>
                      <w:rFonts w:eastAsia="仿宋"/>
                      <w:sz w:val="21"/>
                      <w:szCs w:val="21"/>
                    </w:rPr>
                    <w:t>8089.33</w:t>
                  </w:r>
                  <w:r>
                    <w:rPr>
                      <w:sz w:val="21"/>
                      <w:szCs w:val="21"/>
                    </w:rPr>
                    <w:t>kW·h/a</w:t>
                  </w:r>
                </w:p>
              </w:tc>
              <w:tc>
                <w:tcPr>
                  <w:tcW w:w="1571" w:type="dxa"/>
                  <w:vAlign w:val="center"/>
                </w:tcPr>
                <w:p>
                  <w:pPr>
                    <w:adjustRightInd w:val="0"/>
                    <w:snapToGrid w:val="0"/>
                    <w:jc w:val="center"/>
                    <w:rPr>
                      <w:sz w:val="21"/>
                      <w:szCs w:val="21"/>
                    </w:rPr>
                  </w:pPr>
                  <w:r>
                    <w:rPr>
                      <w:sz w:val="21"/>
                      <w:szCs w:val="21"/>
                    </w:rPr>
                    <w:t>市政电网</w:t>
                  </w:r>
                </w:p>
              </w:tc>
              <w:tc>
                <w:tcPr>
                  <w:tcW w:w="1446" w:type="dxa"/>
                  <w:vAlign w:val="center"/>
                </w:tcPr>
                <w:p>
                  <w:pPr>
                    <w:adjustRightInd w:val="0"/>
                    <w:snapToGrid w:val="0"/>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dxa"/>
                  <w:vAlign w:val="center"/>
                </w:tcPr>
                <w:p>
                  <w:pPr>
                    <w:adjustRightInd w:val="0"/>
                    <w:snapToGrid w:val="0"/>
                    <w:jc w:val="center"/>
                    <w:rPr>
                      <w:sz w:val="21"/>
                      <w:szCs w:val="21"/>
                    </w:rPr>
                  </w:pPr>
                  <w:r>
                    <w:rPr>
                      <w:sz w:val="21"/>
                      <w:szCs w:val="21"/>
                    </w:rPr>
                    <w:t>水量</w:t>
                  </w:r>
                </w:p>
              </w:tc>
              <w:tc>
                <w:tcPr>
                  <w:tcW w:w="2437" w:type="dxa"/>
                  <w:gridSpan w:val="2"/>
                  <w:vAlign w:val="center"/>
                </w:tcPr>
                <w:p>
                  <w:pPr>
                    <w:adjustRightInd w:val="0"/>
                    <w:snapToGrid w:val="0"/>
                    <w:jc w:val="center"/>
                    <w:rPr>
                      <w:sz w:val="21"/>
                      <w:szCs w:val="21"/>
                    </w:rPr>
                  </w:pPr>
                  <w:r>
                    <w:rPr>
                      <w:sz w:val="21"/>
                      <w:szCs w:val="21"/>
                    </w:rPr>
                    <w:t>水</w:t>
                  </w:r>
                </w:p>
              </w:tc>
              <w:tc>
                <w:tcPr>
                  <w:tcW w:w="2102" w:type="dxa"/>
                  <w:vAlign w:val="center"/>
                </w:tcPr>
                <w:p>
                  <w:pPr>
                    <w:adjustRightInd w:val="0"/>
                    <w:snapToGrid w:val="0"/>
                    <w:jc w:val="center"/>
                    <w:rPr>
                      <w:sz w:val="21"/>
                      <w:szCs w:val="21"/>
                    </w:rPr>
                  </w:pPr>
                  <w:r>
                    <w:rPr>
                      <w:rFonts w:eastAsia="仿宋"/>
                      <w:sz w:val="21"/>
                      <w:szCs w:val="21"/>
                    </w:rPr>
                    <w:t>365</w:t>
                  </w:r>
                  <w:r>
                    <w:rPr>
                      <w:sz w:val="21"/>
                      <w:szCs w:val="21"/>
                    </w:rPr>
                    <w:t>m</w:t>
                  </w:r>
                  <w:r>
                    <w:rPr>
                      <w:sz w:val="21"/>
                      <w:szCs w:val="21"/>
                      <w:vertAlign w:val="superscript"/>
                    </w:rPr>
                    <w:t>3</w:t>
                  </w:r>
                  <w:r>
                    <w:rPr>
                      <w:sz w:val="21"/>
                      <w:szCs w:val="21"/>
                    </w:rPr>
                    <w:t>/a</w:t>
                  </w:r>
                </w:p>
              </w:tc>
              <w:tc>
                <w:tcPr>
                  <w:tcW w:w="1571" w:type="dxa"/>
                  <w:vAlign w:val="center"/>
                </w:tcPr>
                <w:p>
                  <w:pPr>
                    <w:adjustRightInd w:val="0"/>
                    <w:snapToGrid w:val="0"/>
                    <w:jc w:val="center"/>
                    <w:rPr>
                      <w:sz w:val="21"/>
                      <w:szCs w:val="21"/>
                    </w:rPr>
                  </w:pPr>
                  <w:r>
                    <w:rPr>
                      <w:rFonts w:cs="Times New Roman"/>
                      <w:sz w:val="21"/>
                      <w:szCs w:val="21"/>
                    </w:rPr>
                    <w:t>市政供水</w:t>
                  </w:r>
                </w:p>
              </w:tc>
              <w:tc>
                <w:tcPr>
                  <w:tcW w:w="1446" w:type="dxa"/>
                  <w:vAlign w:val="center"/>
                </w:tcPr>
                <w:p>
                  <w:pPr>
                    <w:adjustRightInd w:val="0"/>
                    <w:snapToGrid w:val="0"/>
                    <w:jc w:val="center"/>
                    <w:rPr>
                      <w:sz w:val="21"/>
                      <w:szCs w:val="21"/>
                    </w:rPr>
                  </w:pPr>
                  <w:r>
                    <w:rPr>
                      <w:sz w:val="21"/>
                      <w:szCs w:val="21"/>
                    </w:rPr>
                    <w:t>－</w:t>
                  </w:r>
                </w:p>
              </w:tc>
            </w:tr>
          </w:tbl>
          <w:p>
            <w:pPr>
              <w:pStyle w:val="157"/>
              <w:spacing w:after="0" w:line="360" w:lineRule="auto"/>
              <w:ind w:left="0" w:leftChars="0" w:firstLine="480" w:firstLineChars="200"/>
              <w:rPr>
                <w:rFonts w:cs="Times New Roman"/>
              </w:rPr>
            </w:pPr>
            <w:r>
              <w:rPr>
                <w:rFonts w:cs="Times New Roman"/>
              </w:rPr>
              <w:t>聚合氯化铝：是一种净水材料，无机高分子混凝剂，又被简称为聚铝，英文缩写为</w:t>
            </w:r>
            <w:r>
              <w:fldChar w:fldCharType="begin"/>
            </w:r>
            <w:r>
              <w:instrText xml:space="preserve"> HYPERLINK "https://baike.so.com/doc/2090402-2211374.html" \t "https://baike.so.com/doc/_blank" </w:instrText>
            </w:r>
            <w:r>
              <w:fldChar w:fldCharType="separate"/>
            </w:r>
            <w:r>
              <w:rPr>
                <w:rFonts w:cs="Times New Roman"/>
              </w:rPr>
              <w:t>PAC</w:t>
            </w:r>
            <w:r>
              <w:rPr>
                <w:rFonts w:cs="Times New Roman"/>
              </w:rPr>
              <w:fldChar w:fldCharType="end"/>
            </w:r>
            <w:r>
              <w:rPr>
                <w:rFonts w:cs="Times New Roman"/>
              </w:rPr>
              <w:t>，由于氢氧根离子的架桥作用和多价阴离子的聚合作用而生产的分子量较大、电荷较高的无机高分子水处理药剂。在形态上又可以分为固体和液体两种。固体按颜色不同又分为棕褐色、米黄色、金黄色和白色，液体可以呈现为无色透明、微黄色、浅黄色至黄褐色。</w:t>
            </w:r>
          </w:p>
          <w:p>
            <w:pPr>
              <w:adjustRightInd w:val="0"/>
              <w:snapToGrid w:val="0"/>
              <w:spacing w:line="360" w:lineRule="auto"/>
              <w:ind w:firstLine="480" w:firstLineChars="200"/>
              <w:rPr>
                <w:rFonts w:cs="Times New Roman"/>
                <w:szCs w:val="24"/>
              </w:rPr>
            </w:pPr>
            <w:r>
              <w:rPr>
                <w:rFonts w:cs="Times New Roman"/>
                <w:szCs w:val="24"/>
              </w:rPr>
              <w:t>聚丙烯酰胺：是一种线状的有机高分子聚合物，同时也是一种高分子水处理絮凝剂产品，专门可以吸附水中的悬浮颗粒，在颗粒之间起链接架桥作用，使细颗粒形成比较大的絮团，并且加快了沉淀的速度。</w:t>
            </w:r>
          </w:p>
          <w:p>
            <w:pPr>
              <w:adjustRightInd w:val="0"/>
              <w:snapToGrid w:val="0"/>
              <w:spacing w:line="360" w:lineRule="auto"/>
              <w:ind w:firstLine="560" w:firstLineChars="200"/>
              <w:rPr>
                <w:rFonts w:eastAsia="黑体"/>
                <w:bCs/>
                <w:sz w:val="28"/>
                <w:szCs w:val="28"/>
              </w:rPr>
            </w:pPr>
            <w:r>
              <w:rPr>
                <w:rFonts w:eastAsia="黑体"/>
                <w:bCs/>
                <w:sz w:val="28"/>
                <w:szCs w:val="28"/>
              </w:rPr>
              <w:t>十</w:t>
            </w:r>
            <w:r>
              <w:rPr>
                <w:rFonts w:hint="eastAsia" w:eastAsia="黑体"/>
                <w:bCs/>
                <w:sz w:val="28"/>
                <w:szCs w:val="28"/>
              </w:rPr>
              <w:t>一</w:t>
            </w:r>
            <w:r>
              <w:rPr>
                <w:rFonts w:eastAsia="黑体"/>
                <w:bCs/>
                <w:sz w:val="28"/>
                <w:szCs w:val="28"/>
              </w:rPr>
              <w:t>、厂区总平面布置</w:t>
            </w:r>
          </w:p>
          <w:p>
            <w:pPr>
              <w:adjustRightInd w:val="0"/>
              <w:snapToGrid w:val="0"/>
              <w:spacing w:line="360" w:lineRule="auto"/>
              <w:ind w:firstLine="482" w:firstLineChars="200"/>
              <w:rPr>
                <w:b/>
                <w:bCs/>
                <w:lang w:bidi="ar"/>
              </w:rPr>
            </w:pPr>
            <w:r>
              <w:rPr>
                <w:b/>
                <w:bCs/>
                <w:lang w:bidi="ar"/>
              </w:rPr>
              <w:t>1.总平面布置原则</w:t>
            </w:r>
          </w:p>
          <w:p>
            <w:pPr>
              <w:adjustRightInd w:val="0"/>
              <w:snapToGrid w:val="0"/>
              <w:spacing w:line="360" w:lineRule="auto"/>
              <w:ind w:firstLine="480" w:firstLineChars="200"/>
            </w:pPr>
            <w:r>
              <w:t>（1）在满足工艺流程顺畅、简洁、合理的前提下，力求布局紧凑，管线短捷，尽量少交叉，并充分注意节省占地。</w:t>
            </w:r>
          </w:p>
          <w:p>
            <w:pPr>
              <w:adjustRightInd w:val="0"/>
              <w:snapToGrid w:val="0"/>
              <w:spacing w:line="360" w:lineRule="auto"/>
              <w:ind w:firstLine="480" w:firstLineChars="200"/>
            </w:pPr>
            <w:r>
              <w:t>（2）辅助生产建筑物应集中布置，以提高全厂统一管理及生产的可靠性和方便性。</w:t>
            </w:r>
          </w:p>
          <w:p>
            <w:pPr>
              <w:adjustRightInd w:val="0"/>
              <w:snapToGrid w:val="0"/>
              <w:spacing w:line="360" w:lineRule="auto"/>
              <w:ind w:firstLine="480" w:firstLineChars="200"/>
            </w:pPr>
            <w:r>
              <w:t>（3）交通顺畅，便于施工与管理。</w:t>
            </w:r>
          </w:p>
          <w:p>
            <w:pPr>
              <w:adjustRightInd w:val="0"/>
              <w:snapToGrid w:val="0"/>
              <w:spacing w:line="360" w:lineRule="auto"/>
              <w:ind w:firstLine="480" w:firstLineChars="200"/>
            </w:pPr>
            <w:r>
              <w:t>（4）功能分区明确，构筑物布置紧凑，减少占地面积。</w:t>
            </w:r>
          </w:p>
          <w:p>
            <w:pPr>
              <w:adjustRightInd w:val="0"/>
              <w:snapToGrid w:val="0"/>
              <w:spacing w:line="360" w:lineRule="auto"/>
              <w:ind w:firstLine="482" w:firstLineChars="200"/>
              <w:rPr>
                <w:b/>
                <w:bCs/>
              </w:rPr>
            </w:pPr>
            <w:r>
              <w:rPr>
                <w:b/>
                <w:bCs/>
              </w:rPr>
              <w:t>2.总平面布置合理性分析</w:t>
            </w:r>
          </w:p>
          <w:p>
            <w:pPr>
              <w:adjustRightInd w:val="0"/>
              <w:snapToGrid w:val="0"/>
              <w:spacing w:line="360" w:lineRule="auto"/>
              <w:ind w:firstLine="480" w:firstLineChars="200"/>
            </w:pPr>
            <w:r>
              <w:t>整个污水处理站按照生产工艺流程合理布置。</w:t>
            </w:r>
            <w:r>
              <w:rPr>
                <w:rFonts w:hint="eastAsia"/>
              </w:rPr>
              <w:t>居民</w:t>
            </w:r>
            <w:r>
              <w:t>生活污水经管道进入处理区，分别从格栅</w:t>
            </w:r>
            <w:r>
              <w:rPr>
                <w:rFonts w:hint="eastAsia"/>
              </w:rPr>
              <w:t>调节池</w:t>
            </w:r>
            <w:r>
              <w:t>、MBR一体化设备的流程依次布置。同时，在满足工艺、建筑的前提下，构筑物布置紧凑，减少占地面积。</w:t>
            </w:r>
          </w:p>
          <w:p>
            <w:pPr>
              <w:adjustRightInd w:val="0"/>
              <w:snapToGrid w:val="0"/>
              <w:spacing w:line="360" w:lineRule="auto"/>
              <w:ind w:firstLine="480" w:firstLineChars="200"/>
            </w:pPr>
            <w:r>
              <w:t>项目厂址地势较为平坦，靠近受纳水体下游，便于处理后污水排放。新建污水处理站与厂外道路联通，实现污水处理站对外交通便利，便于施工和今后的运行管理。</w:t>
            </w:r>
          </w:p>
          <w:p>
            <w:pPr>
              <w:adjustRightInd w:val="0"/>
              <w:snapToGrid w:val="0"/>
              <w:spacing w:line="360" w:lineRule="auto"/>
              <w:ind w:firstLine="480" w:firstLineChars="200"/>
            </w:pPr>
            <w:r>
              <w:t>总体来说，本项目的总体布置较为合理。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9124" w:type="dxa"/>
            <w:gridSpan w:val="10"/>
            <w:tcBorders>
              <w:top w:val="single" w:color="auto" w:sz="4" w:space="0"/>
              <w:bottom w:val="single" w:color="auto" w:sz="4" w:space="0"/>
            </w:tcBorders>
            <w:vAlign w:val="center"/>
          </w:tcPr>
          <w:p>
            <w:pPr>
              <w:spacing w:line="360" w:lineRule="auto"/>
              <w:rPr>
                <w:rFonts w:cs="Times New Roman"/>
                <w:b/>
                <w:sz w:val="30"/>
                <w:szCs w:val="30"/>
              </w:rPr>
            </w:pPr>
            <w:r>
              <w:rPr>
                <w:rFonts w:cs="Times New Roman"/>
                <w:b/>
                <w:sz w:val="30"/>
                <w:szCs w:val="30"/>
              </w:rPr>
              <w:t>与本项目有关的原有污染情况及主要环境问题：</w:t>
            </w:r>
          </w:p>
          <w:p>
            <w:pPr>
              <w:spacing w:line="360" w:lineRule="auto"/>
              <w:ind w:firstLine="480" w:firstLineChars="200"/>
              <w:rPr>
                <w:rFonts w:cs="Times New Roman"/>
                <w:b/>
                <w:sz w:val="30"/>
                <w:szCs w:val="30"/>
              </w:rPr>
            </w:pPr>
            <w:r>
              <w:rPr>
                <w:rFonts w:hint="eastAsia" w:cs="Times New Roman"/>
                <w:bCs/>
                <w:szCs w:val="24"/>
              </w:rPr>
              <w:t>目前老人民医院片区有未纳入原有污水管网的居民的生活污水直接排入小溪沟；经营所片区未进行雨污分流，大量雨水进入污水管网。峨边彝族自治县马嘶溪火车站片区（位于马嘶溪村）无污水处理设施，也没有完整的污水收集系统，居民生活污水未经处理直接排入周边地表水，对水体污染严重。随着峨边彝族自治县城镇化水平、居民生活标准提高，生活用水量及污水的排放量将不断攀升，会进一步加大对地表水及地下水的污染</w:t>
            </w:r>
            <w:r>
              <w:rPr>
                <w:rFonts w:cs="Times New Roman"/>
                <w:bCs/>
                <w:szCs w:val="24"/>
              </w:rPr>
              <w:t>。</w:t>
            </w:r>
            <w:r>
              <w:rPr>
                <w:rFonts w:hint="eastAsia" w:cs="Times New Roman"/>
                <w:bCs/>
              </w:rPr>
              <w:t>本项目建成后，将在较大程度上改善当地地表水水质</w:t>
            </w:r>
            <w:r>
              <w:rPr>
                <w:rFonts w:cs="Times New Roman"/>
                <w:bCs/>
                <w:szCs w:val="24"/>
              </w:rPr>
              <w:t>。</w:t>
            </w:r>
          </w:p>
        </w:tc>
      </w:tr>
    </w:tbl>
    <w:p>
      <w:pPr>
        <w:spacing w:line="20" w:lineRule="exact"/>
        <w:rPr>
          <w:rFonts w:cs="Times New Roman"/>
        </w:rPr>
      </w:pPr>
    </w:p>
    <w:p>
      <w:pPr>
        <w:outlineLvl w:val="0"/>
        <w:rPr>
          <w:rFonts w:cs="Times New Roman"/>
          <w:b/>
          <w:sz w:val="30"/>
          <w:szCs w:val="30"/>
        </w:rPr>
      </w:pPr>
      <w:r>
        <w:rPr>
          <w:rFonts w:cs="Times New Roman"/>
          <w:b/>
          <w:sz w:val="30"/>
          <w:szCs w:val="30"/>
        </w:rPr>
        <w:br w:type="page"/>
      </w:r>
      <w:r>
        <w:rPr>
          <w:rFonts w:cs="Times New Roman"/>
          <w:b/>
          <w:sz w:val="30"/>
          <w:szCs w:val="30"/>
        </w:rPr>
        <w:t>建设项目所在地自然环境简况（表二）</w:t>
      </w:r>
    </w:p>
    <w:tbl>
      <w:tblPr>
        <w:tblStyle w:val="30"/>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174" w:type="dxa"/>
            <w:vAlign w:val="center"/>
          </w:tcPr>
          <w:p>
            <w:pPr>
              <w:spacing w:line="360" w:lineRule="auto"/>
              <w:rPr>
                <w:rFonts w:cs="Times New Roman"/>
                <w:b/>
                <w:sz w:val="28"/>
                <w:szCs w:val="28"/>
              </w:rPr>
            </w:pPr>
            <w:r>
              <w:rPr>
                <w:rFonts w:cs="Times New Roman"/>
                <w:b/>
                <w:sz w:val="28"/>
                <w:szCs w:val="28"/>
              </w:rPr>
              <w:t>自然环境简况(地形、地貌、地质、气候、气象、水文、植被、生物多样性等)：</w:t>
            </w:r>
          </w:p>
          <w:p>
            <w:pPr>
              <w:spacing w:line="360" w:lineRule="auto"/>
              <w:rPr>
                <w:rFonts w:cs="Times New Roman"/>
                <w:b/>
                <w:sz w:val="28"/>
                <w:szCs w:val="28"/>
              </w:rPr>
            </w:pPr>
            <w:r>
              <w:rPr>
                <w:rFonts w:cs="Times New Roman"/>
                <w:b/>
                <w:sz w:val="28"/>
                <w:szCs w:val="28"/>
              </w:rPr>
              <w:t>一、地理位置</w:t>
            </w:r>
          </w:p>
          <w:p>
            <w:pPr>
              <w:spacing w:line="360" w:lineRule="auto"/>
              <w:ind w:firstLine="480" w:firstLineChars="200"/>
              <w:rPr>
                <w:rFonts w:cs="Times New Roman"/>
                <w:szCs w:val="24"/>
                <w:lang w:val="zh-CN"/>
              </w:rPr>
            </w:pPr>
            <w:r>
              <w:rPr>
                <w:rFonts w:cs="Times New Roman"/>
                <w:szCs w:val="24"/>
                <w:lang w:val="zh-CN"/>
              </w:rPr>
              <w:t>峨边位于四川省西南部的小凉山区，与佛教圣地峨眉山毗邻。县城沙坪镇介于东经103°15′至103°33′，北纬29°15′之间。东西宽56千米，南北长73千米，全县幅员面积2395.5平方千米。成（都）昆（明）铁路横越县城，省道306线穿过县境，距乐山大佛108千米，是通往大凉山的门户。</w:t>
            </w:r>
          </w:p>
          <w:p>
            <w:pPr>
              <w:spacing w:line="360" w:lineRule="auto"/>
              <w:ind w:firstLine="480" w:firstLineChars="200"/>
              <w:rPr>
                <w:rFonts w:cs="Times New Roman"/>
                <w:szCs w:val="24"/>
              </w:rPr>
            </w:pPr>
            <w:r>
              <w:rPr>
                <w:rFonts w:cs="Times New Roman"/>
                <w:szCs w:val="24"/>
              </w:rPr>
              <w:t>本项目位于</w:t>
            </w:r>
            <w:r>
              <w:rPr>
                <w:rFonts w:hint="eastAsia" w:cs="Times New Roman"/>
                <w:szCs w:val="24"/>
              </w:rPr>
              <w:t>峨边彝族自治县老人民医院片区、经营所片区、马嘶溪火车站片区（</w:t>
            </w:r>
            <w:r>
              <w:rPr>
                <w:rFonts w:cs="Times New Roman"/>
                <w:szCs w:val="24"/>
              </w:rPr>
              <w:t>E</w:t>
            </w:r>
            <w:r>
              <w:rPr>
                <w:rFonts w:hint="eastAsia" w:cs="Times New Roman"/>
                <w:szCs w:val="24"/>
              </w:rPr>
              <w:t>1</w:t>
            </w:r>
            <w:r>
              <w:rPr>
                <w:rFonts w:cs="Times New Roman"/>
                <w:szCs w:val="24"/>
              </w:rPr>
              <w:t>03.2788°</w:t>
            </w:r>
            <w:r>
              <w:rPr>
                <w:rFonts w:hint="eastAsia" w:cs="Times New Roman"/>
                <w:szCs w:val="24"/>
              </w:rPr>
              <w:t>；N2</w:t>
            </w:r>
            <w:r>
              <w:rPr>
                <w:rFonts w:cs="Times New Roman"/>
                <w:szCs w:val="24"/>
              </w:rPr>
              <w:t>9.2591°</w:t>
            </w:r>
            <w:r>
              <w:rPr>
                <w:rFonts w:hint="eastAsia" w:cs="Times New Roman"/>
                <w:szCs w:val="24"/>
              </w:rPr>
              <w:t>），</w:t>
            </w:r>
            <w:r>
              <w:rPr>
                <w:rFonts w:cs="Times New Roman"/>
                <w:szCs w:val="24"/>
              </w:rPr>
              <w:t>项目地理位置见附图1。</w:t>
            </w:r>
          </w:p>
          <w:p>
            <w:pPr>
              <w:spacing w:line="360" w:lineRule="auto"/>
              <w:rPr>
                <w:rFonts w:cs="Times New Roman"/>
                <w:b/>
                <w:sz w:val="28"/>
                <w:szCs w:val="28"/>
              </w:rPr>
            </w:pPr>
            <w:r>
              <w:rPr>
                <w:rFonts w:cs="Times New Roman"/>
                <w:b/>
                <w:sz w:val="28"/>
                <w:szCs w:val="28"/>
              </w:rPr>
              <w:t>二、地质、地形、地貌</w:t>
            </w:r>
          </w:p>
          <w:p>
            <w:pPr>
              <w:adjustRightInd w:val="0"/>
              <w:snapToGrid w:val="0"/>
              <w:spacing w:line="360" w:lineRule="auto"/>
              <w:ind w:firstLine="480" w:firstLineChars="200"/>
              <w:rPr>
                <w:rFonts w:cs="Times New Roman"/>
                <w:szCs w:val="24"/>
              </w:rPr>
            </w:pPr>
            <w:r>
              <w:rPr>
                <w:rFonts w:hint="eastAsia" w:cs="Times New Roman"/>
                <w:szCs w:val="24"/>
              </w:rPr>
              <w:t>峨边彝族</w:t>
            </w:r>
            <w:r>
              <w:rPr>
                <w:rFonts w:cs="Times New Roman"/>
                <w:szCs w:val="24"/>
              </w:rPr>
              <w:t>自治县地处四川盆地与云贵高原的过渡地带，属亚热带湿润季风气候，境内群山耸峙、山峦重叠、沟壑纵横、高差悬殊，最高马鞍山主峰海拔4288米，最低海拔469米。相对高差悬殊达3800米，形成西南高东北低逐渐倾斜地势。由于高差悬殊，使得地貌、气候、植被、土壤及农业利用方式，都呈现出明显的垂直分布规律。</w:t>
            </w:r>
          </w:p>
          <w:p>
            <w:pPr>
              <w:adjustRightInd w:val="0"/>
              <w:snapToGrid w:val="0"/>
              <w:spacing w:line="360" w:lineRule="auto"/>
              <w:ind w:firstLine="480" w:firstLineChars="200"/>
              <w:rPr>
                <w:rFonts w:cs="Times New Roman"/>
                <w:szCs w:val="24"/>
              </w:rPr>
            </w:pPr>
            <w:r>
              <w:rPr>
                <w:rFonts w:cs="Times New Roman"/>
                <w:szCs w:val="24"/>
              </w:rPr>
              <w:t>厂区属四川盆地西南边缘大渡河北岸中、高山，中深切割区，总体地势西部较高，南、北、东三边皆为沟谷。最高海拔1410m，最低海拔940m，相对高差470m。区内多圆顶山，馒头山，因出露地层以碳酸盐岩石为主，岩溶地貌较为发育，溶蚀漏斗、溶蚀洼地、溶洞和溶丘较发育。</w:t>
            </w:r>
          </w:p>
          <w:p>
            <w:pPr>
              <w:adjustRightInd w:val="0"/>
              <w:snapToGrid w:val="0"/>
              <w:spacing w:line="360" w:lineRule="auto"/>
              <w:ind w:firstLine="480" w:firstLineChars="200"/>
              <w:rPr>
                <w:rFonts w:cs="Times New Roman"/>
                <w:szCs w:val="24"/>
              </w:rPr>
            </w:pPr>
            <w:r>
              <w:rPr>
                <w:rFonts w:cs="Times New Roman"/>
                <w:szCs w:val="24"/>
              </w:rPr>
              <w:t>按《四川省工程地质分区图》划分，厂区属玉龙复式向斜次级褶皱为子岗鼻状宽缓向斜南东翼，区内断裂构造不发育。受2008年 “5.12汶川”大地震及2013年“4.20芦山”地震影响，本区均有十分明显的震感，且使部份房屋产生裂缝，因此，本区为地震波及区。按《建筑抗震设计规范》（GB50011—2010）规定，乐山市峨边县抗震设防烈度为7度，设计基本地震加速度值为0.10g，属设计地震第二组，区域上处于不稳定区。目前该区域岩层结构相对较完整稳定，除局部地段有小规模的崩塌外，其余地段均无大面积崩塌、滑坡、泥石流等地质灾害现象。</w:t>
            </w:r>
          </w:p>
          <w:p>
            <w:pPr>
              <w:spacing w:line="360" w:lineRule="auto"/>
              <w:rPr>
                <w:rFonts w:cs="Times New Roman"/>
                <w:b/>
                <w:sz w:val="28"/>
                <w:szCs w:val="28"/>
              </w:rPr>
            </w:pPr>
            <w:r>
              <w:rPr>
                <w:rFonts w:cs="Times New Roman"/>
                <w:b/>
                <w:sz w:val="28"/>
                <w:szCs w:val="28"/>
              </w:rPr>
              <w:t>三、气候特征</w:t>
            </w:r>
          </w:p>
          <w:p>
            <w:pPr>
              <w:adjustRightInd w:val="0"/>
              <w:snapToGrid w:val="0"/>
              <w:spacing w:line="360" w:lineRule="auto"/>
              <w:ind w:firstLine="480" w:firstLineChars="200"/>
              <w:rPr>
                <w:rFonts w:cs="Times New Roman"/>
                <w:szCs w:val="24"/>
              </w:rPr>
            </w:pPr>
            <w:r>
              <w:rPr>
                <w:rFonts w:cs="Times New Roman"/>
              </w:rPr>
              <w:t>峨边属亚热带湿润季风气候，由于地形高差悬殊，气温随海拔高度而异，垂直差异明显，形成“一山分四季，十里不同天；山顶戴雪帽，山脚百花鲜”的小凉山区气象景观。具有气</w:t>
            </w:r>
            <w:r>
              <w:rPr>
                <w:rFonts w:cs="Times New Roman"/>
                <w:szCs w:val="24"/>
              </w:rPr>
              <w:t>候温和，雨量充沛，云雾多，湿度大，光照少，无霜期长，农业气候四季分明，有春迟、夏短、秋早、冬长的特点。</w:t>
            </w:r>
          </w:p>
          <w:p>
            <w:pPr>
              <w:adjustRightInd w:val="0"/>
              <w:snapToGrid w:val="0"/>
              <w:spacing w:line="360" w:lineRule="auto"/>
              <w:ind w:firstLine="480" w:firstLineChars="200"/>
              <w:rPr>
                <w:rFonts w:cs="Times New Roman"/>
                <w:szCs w:val="24"/>
              </w:rPr>
            </w:pPr>
            <w:r>
              <w:rPr>
                <w:rFonts w:cs="Times New Roman"/>
                <w:szCs w:val="24"/>
              </w:rPr>
              <w:t>县境内气温年平均为16.6</w:t>
            </w:r>
            <w:r>
              <w:rPr>
                <w:rFonts w:hint="eastAsia" w:ascii="宋体" w:hAnsi="宋体" w:cs="宋体"/>
                <w:szCs w:val="24"/>
              </w:rPr>
              <w:t>℃</w:t>
            </w:r>
            <w:r>
              <w:rPr>
                <w:rFonts w:cs="Times New Roman"/>
                <w:szCs w:val="24"/>
              </w:rPr>
              <w:t>，极端高温为35.7</w:t>
            </w:r>
            <w:r>
              <w:rPr>
                <w:rFonts w:hint="eastAsia" w:ascii="宋体" w:hAnsi="宋体" w:cs="宋体"/>
                <w:szCs w:val="24"/>
              </w:rPr>
              <w:t>℃</w:t>
            </w:r>
            <w:r>
              <w:rPr>
                <w:rFonts w:cs="Times New Roman"/>
                <w:szCs w:val="24"/>
              </w:rPr>
              <w:t>，极端低温为－3.2</w:t>
            </w:r>
            <w:r>
              <w:rPr>
                <w:rFonts w:hint="eastAsia" w:ascii="宋体" w:hAnsi="宋体" w:cs="宋体"/>
                <w:szCs w:val="24"/>
              </w:rPr>
              <w:t>℃</w:t>
            </w:r>
            <w:r>
              <w:rPr>
                <w:rFonts w:cs="Times New Roman"/>
                <w:szCs w:val="24"/>
              </w:rPr>
              <w:t>。7月最热，月平均为25.3</w:t>
            </w:r>
            <w:r>
              <w:rPr>
                <w:rFonts w:hint="eastAsia" w:ascii="宋体" w:hAnsi="宋体" w:cs="宋体"/>
                <w:szCs w:val="24"/>
              </w:rPr>
              <w:t>℃</w:t>
            </w:r>
            <w:r>
              <w:rPr>
                <w:rFonts w:cs="Times New Roman"/>
                <w:szCs w:val="24"/>
              </w:rPr>
              <w:t>；1月最冷，月平均为6.5</w:t>
            </w:r>
            <w:r>
              <w:rPr>
                <w:rFonts w:hint="eastAsia" w:ascii="宋体" w:hAnsi="宋体" w:cs="宋体"/>
                <w:szCs w:val="24"/>
              </w:rPr>
              <w:t>℃</w:t>
            </w:r>
            <w:r>
              <w:rPr>
                <w:rFonts w:cs="Times New Roman"/>
                <w:szCs w:val="24"/>
              </w:rPr>
              <w:t>。年极变化微小，高低相差1</w:t>
            </w:r>
            <w:r>
              <w:rPr>
                <w:rFonts w:hint="eastAsia" w:ascii="宋体" w:hAnsi="宋体" w:cs="宋体"/>
                <w:szCs w:val="24"/>
              </w:rPr>
              <w:t>℃</w:t>
            </w:r>
            <w:r>
              <w:rPr>
                <w:rFonts w:cs="Times New Roman"/>
                <w:szCs w:val="24"/>
              </w:rPr>
              <w:t>。历年日照平均总时数为1049.3时，日平均近6小时，实照时数占全年可照时数的24％。日照时数随海拔高度不同而变化各异。</w:t>
            </w:r>
          </w:p>
          <w:p>
            <w:pPr>
              <w:adjustRightInd w:val="0"/>
              <w:snapToGrid w:val="0"/>
              <w:spacing w:line="360" w:lineRule="auto"/>
              <w:ind w:firstLine="480" w:firstLineChars="200"/>
              <w:rPr>
                <w:rFonts w:cs="Times New Roman"/>
              </w:rPr>
            </w:pPr>
            <w:r>
              <w:rPr>
                <w:rFonts w:cs="Times New Roman"/>
                <w:szCs w:val="24"/>
              </w:rPr>
              <w:t>降水：在县境内随着海拔高低而分布不均。低山河谷区历年平均降水量为831.9毫米，中山区降水量年均</w:t>
            </w:r>
            <w:r>
              <w:rPr>
                <w:rFonts w:cs="Times New Roman"/>
              </w:rPr>
              <w:t>为1000毫米左右，高山区年均降水量为1000－1500毫米，海拔在2250米以上的原始森林区，年降水量在1500－2000毫米。降水分配不均，降水量从东北向西南逐渐递减，年度变化率在23－16％左右，例如东部的五渡镇龚嘴地带，年均降水量1275.5毫米，在西南部的勒乌乡地区，年均降水量则为725.5毫米，并形成冬干、春旱、夏洪、秋涝的气象特点。</w:t>
            </w:r>
          </w:p>
          <w:p>
            <w:pPr>
              <w:spacing w:line="360" w:lineRule="auto"/>
              <w:rPr>
                <w:rFonts w:cs="Times New Roman"/>
                <w:b/>
                <w:sz w:val="28"/>
                <w:szCs w:val="28"/>
              </w:rPr>
            </w:pPr>
            <w:r>
              <w:rPr>
                <w:rFonts w:cs="Times New Roman"/>
                <w:b/>
                <w:sz w:val="28"/>
                <w:szCs w:val="28"/>
              </w:rPr>
              <w:t>四、水文特征</w:t>
            </w:r>
          </w:p>
          <w:p>
            <w:pPr>
              <w:adjustRightInd w:val="0"/>
              <w:snapToGrid w:val="0"/>
              <w:spacing w:line="360" w:lineRule="auto"/>
              <w:ind w:firstLine="480" w:firstLineChars="200"/>
              <w:rPr>
                <w:rFonts w:cs="Times New Roman"/>
                <w:szCs w:val="24"/>
              </w:rPr>
            </w:pPr>
            <w:r>
              <w:rPr>
                <w:rFonts w:cs="Times New Roman"/>
                <w:szCs w:val="24"/>
              </w:rPr>
              <w:t>县境内河流众多，均属大渡河水系，水源丰富，水质优良。最大河流为大渡河，是全国重点治理开发的河流之一。大渡河从西北的金口河流入境内，而后转为东西向，流经本县的宜坪、沙坪、新场、共和、毛坪、龚嘴电站至五渡等六个乡镇，流入沙湾区，县境流程68公里。</w:t>
            </w:r>
          </w:p>
          <w:p>
            <w:pPr>
              <w:widowControl/>
              <w:shd w:val="clear" w:color="auto" w:fill="FFFFFF"/>
              <w:spacing w:line="360" w:lineRule="auto"/>
              <w:ind w:firstLine="480" w:firstLineChars="200"/>
              <w:rPr>
                <w:rFonts w:cs="Times New Roman"/>
                <w:szCs w:val="24"/>
              </w:rPr>
            </w:pPr>
            <w:r>
              <w:rPr>
                <w:rFonts w:cs="Times New Roman"/>
                <w:szCs w:val="24"/>
              </w:rPr>
              <w:t>流域上游上段为冬冷夏凉，全年少雨的高原山地气候，年降水量500-750毫米，以降雪为主，积雪期可达5个月。其余地区属季风气候，一般具冬暖、夏热、湿润多雨的特征，年降水量1000毫米，泸定、石棉右岸地区1200-1500毫米，下游部分地区可到1400-1900毫米。暴雨多集中于中、下游地区的5-9月，7、8两月尤为突出。</w:t>
            </w:r>
          </w:p>
          <w:p>
            <w:pPr>
              <w:widowControl/>
              <w:shd w:val="clear" w:color="auto" w:fill="FFFFFF"/>
              <w:spacing w:line="360" w:lineRule="auto"/>
              <w:ind w:firstLine="480" w:firstLineChars="200"/>
              <w:rPr>
                <w:rFonts w:cs="Times New Roman"/>
                <w:szCs w:val="24"/>
              </w:rPr>
            </w:pPr>
            <w:r>
              <w:rPr>
                <w:rFonts w:cs="Times New Roman"/>
                <w:szCs w:val="24"/>
              </w:rPr>
              <w:t>河川径流主要来自降水。下游福禄镇水文站45年统计，多年平均流量1500立方米/秒。有较丰富的地下水和冰雪融水补给(约占总量的20%)调节，径流变化较小。福禄镇，年内最大月(7月)水量为最小月(2月)水量的8.8倍，年径流的变差系数不足0.10，最大年平均流量1820立方米/秒(1938)为最小年平均流量1170立方米/秒(1973)的1.5倍。</w:t>
            </w:r>
          </w:p>
          <w:p>
            <w:pPr>
              <w:widowControl/>
              <w:shd w:val="clear" w:color="auto" w:fill="FFFFFF"/>
              <w:spacing w:line="360" w:lineRule="auto"/>
              <w:ind w:firstLine="480" w:firstLineChars="200"/>
              <w:rPr>
                <w:rFonts w:cs="Times New Roman"/>
                <w:szCs w:val="24"/>
              </w:rPr>
            </w:pPr>
            <w:r>
              <w:rPr>
                <w:rFonts w:cs="Times New Roman"/>
                <w:szCs w:val="24"/>
              </w:rPr>
              <w:t>大渡河水系呈羽毛状分布，径流主要由降雨形成，部分为融雪补给。由于流域面积大，植被良好，上游第四纪覆盖层利于下渗和滞流，径流年际变化不大，年内分配比较均匀，洪枯水量差别不大。据下游福禄镇，水文站观测资料统计，多年平均流量1500立方米/秒，多年平均径流量473亿立方米，径梳模数相当于黄河的十倍，年平均径流量也超过黄河。丰水年的年水量达627亿立方米，为多年平均的1.32倍，最枯年份的水量也有356亿立方米，占多年平均值的0.75%。</w:t>
            </w:r>
          </w:p>
          <w:p>
            <w:pPr>
              <w:spacing w:line="360" w:lineRule="auto"/>
              <w:rPr>
                <w:rFonts w:cs="Times New Roman"/>
                <w:b/>
                <w:sz w:val="28"/>
                <w:szCs w:val="28"/>
              </w:rPr>
            </w:pPr>
            <w:r>
              <w:rPr>
                <w:rFonts w:cs="Times New Roman"/>
                <w:b/>
                <w:sz w:val="28"/>
                <w:szCs w:val="28"/>
              </w:rPr>
              <w:t>五、矿产资源概况</w:t>
            </w:r>
          </w:p>
          <w:p>
            <w:pPr>
              <w:spacing w:line="360" w:lineRule="auto"/>
              <w:ind w:firstLine="480" w:firstLineChars="200"/>
              <w:rPr>
                <w:rFonts w:cs="Times New Roman"/>
                <w:szCs w:val="24"/>
              </w:rPr>
            </w:pPr>
            <w:r>
              <w:rPr>
                <w:rFonts w:cs="Times New Roman"/>
                <w:szCs w:val="24"/>
              </w:rPr>
              <w:t>峨边彝族自治县境内已发现矿产种类有：可燃有机岩、黑色金属、有色金属、贵金属、非金属和食用微墨元素补充剂六大类，主要矿种有：煤、铁、铜、铅、锌、铝、砂、金、硬质耐火粘土、熔剂石灰岩、硫铁、重晶石、磷块岩、伊利石、水泥原料石灰岩、钾长石、脉石英、石膏、石棉、水晶、大理岩、花岗岩、方解石、石墨、玄武岩、砖瓦粘土及饮用矿泉水和医疗温泉等28个矿种。</w:t>
            </w:r>
          </w:p>
          <w:p>
            <w:pPr>
              <w:spacing w:line="360" w:lineRule="auto"/>
              <w:ind w:firstLine="480" w:firstLineChars="200"/>
              <w:rPr>
                <w:rFonts w:cs="Times New Roman"/>
              </w:rPr>
            </w:pPr>
            <w:r>
              <w:rPr>
                <w:rFonts w:cs="Times New Roman"/>
              </w:rPr>
              <w:t>根据现场调查，项目评价范围内无珍稀、濒危动植物，无生态保护物种和自然保护区等生态敏感点，不在拟定的生态红线区内。</w:t>
            </w:r>
          </w:p>
          <w:p>
            <w:pPr>
              <w:spacing w:line="360" w:lineRule="auto"/>
              <w:ind w:firstLine="562" w:firstLineChars="200"/>
              <w:rPr>
                <w:rFonts w:cs="Times New Roman"/>
                <w:b/>
                <w:sz w:val="28"/>
                <w:szCs w:val="28"/>
              </w:rPr>
            </w:pPr>
            <w:r>
              <w:rPr>
                <w:rFonts w:cs="Times New Roman"/>
                <w:b/>
                <w:sz w:val="28"/>
                <w:szCs w:val="28"/>
              </w:rPr>
              <w:t>六、主要植被及动物资源</w:t>
            </w:r>
          </w:p>
          <w:p>
            <w:pPr>
              <w:spacing w:line="360" w:lineRule="auto"/>
              <w:ind w:firstLine="480" w:firstLineChars="200"/>
              <w:rPr>
                <w:rFonts w:cs="Times New Roman"/>
                <w:szCs w:val="24"/>
              </w:rPr>
            </w:pPr>
            <w:r>
              <w:rPr>
                <w:rFonts w:cs="Times New Roman"/>
                <w:szCs w:val="24"/>
              </w:rPr>
              <w:t>峨边彝族自治县森林植被属于亚热带常绿阔叶林区，川东盆地偏湿性常绿阔叶林亚带，全县森林覆盖率为42%，河源地区森林覆盖率达62.2%。由于受山地地形制约，形成了相应的山地生物垂直带，植被垂直带谱明显，由低到高依次为：</w:t>
            </w:r>
          </w:p>
          <w:p>
            <w:pPr>
              <w:spacing w:line="360" w:lineRule="auto"/>
              <w:ind w:firstLine="480" w:firstLineChars="200"/>
              <w:rPr>
                <w:rFonts w:cs="Times New Roman"/>
                <w:szCs w:val="24"/>
              </w:rPr>
            </w:pPr>
            <w:r>
              <w:rPr>
                <w:rFonts w:cs="Times New Roman"/>
                <w:szCs w:val="24"/>
              </w:rPr>
              <w:t>海拔1300～2000m，为亚热带常绿阔叶林带；海拔2000～2400m，为针阔叶林混交林带；海拔2400～3700m，为暗针叶林带；海拔3700以上，为高山灌丛和草甸带。</w:t>
            </w:r>
          </w:p>
          <w:p>
            <w:pPr>
              <w:spacing w:line="360" w:lineRule="auto"/>
              <w:ind w:firstLine="480" w:firstLineChars="200"/>
              <w:rPr>
                <w:rFonts w:cs="Times New Roman"/>
                <w:szCs w:val="24"/>
              </w:rPr>
            </w:pPr>
            <w:r>
              <w:rPr>
                <w:rFonts w:cs="Times New Roman"/>
                <w:szCs w:val="24"/>
              </w:rPr>
              <w:t>峨边彝族自治县有林草地面积25.09万hm</w:t>
            </w:r>
            <w:r>
              <w:rPr>
                <w:rFonts w:cs="Times New Roman"/>
                <w:szCs w:val="24"/>
                <w:vertAlign w:val="superscript"/>
              </w:rPr>
              <w:t>2</w:t>
            </w:r>
            <w:r>
              <w:rPr>
                <w:rFonts w:cs="Times New Roman"/>
                <w:szCs w:val="24"/>
              </w:rPr>
              <w:t>，占全县总面积的37.1%，天然草场面积33.44万hm</w:t>
            </w:r>
            <w:r>
              <w:rPr>
                <w:rFonts w:cs="Times New Roman"/>
                <w:szCs w:val="24"/>
                <w:vertAlign w:val="superscript"/>
              </w:rPr>
              <w:t>2</w:t>
            </w:r>
            <w:r>
              <w:rPr>
                <w:rFonts w:cs="Times New Roman"/>
                <w:szCs w:val="24"/>
              </w:rPr>
              <w:t>，占全县总面积的49.4%。</w:t>
            </w:r>
          </w:p>
          <w:p>
            <w:pPr>
              <w:spacing w:line="360" w:lineRule="auto"/>
              <w:ind w:firstLine="480" w:firstLineChars="200"/>
              <w:rPr>
                <w:rFonts w:cs="Times New Roman"/>
                <w:szCs w:val="24"/>
              </w:rPr>
            </w:pPr>
            <w:r>
              <w:rPr>
                <w:rFonts w:cs="Times New Roman"/>
                <w:szCs w:val="24"/>
              </w:rPr>
              <w:t>据调查，峨边彝族自治县树种包括针叶树种、阔叶树种、灌木树种及经济树种。其中针叶树种主要包括松科的云杉树、冷杉树、铁杉树、落叶松树、松树，柏科的侧柏树，树种有云杉、巴山冷杉、苍山冷杉、云南铁杉、红杉、云南松、高山松和侧柏等；阔叶乔木树种主要包括杨柳科、壳斗科、桦木科的山杨、川杨、青杨、刺叶栎、细叶青冈和红桦等；灌木树种主要有枸子木、三颗针、野蔷薇和杜鹃等。全县主要草种有高山寒草、高山早熟禾、珠牙蓼、黑花苔草、羊茅、披碱草等，主要分布在海拔3700m以上的高山宽谷、缓坡和小型台地。</w:t>
            </w:r>
          </w:p>
          <w:p>
            <w:pPr>
              <w:pStyle w:val="12"/>
              <w:ind w:firstLine="480"/>
              <w:jc w:val="left"/>
              <w:rPr>
                <w:rFonts w:cs="Times New Roman"/>
                <w:b/>
                <w:bCs/>
                <w:szCs w:val="24"/>
              </w:rPr>
            </w:pPr>
            <w:r>
              <w:rPr>
                <w:rFonts w:cs="Times New Roman"/>
                <w:szCs w:val="24"/>
              </w:rPr>
              <w:t>国家珍稀保护的野生动物如大熊猫、羚羊、豹、小熊猫、黑熊、岩羊等均分布在黑竹沟自然保护区、黑竹沟风景名胜区和黑竹沟森林公园内的高海拔林区，不受工程建设的影响。</w:t>
            </w:r>
            <w:r>
              <w:rPr>
                <w:rFonts w:cs="Times New Roman"/>
                <w:b/>
                <w:bCs/>
                <w:szCs w:val="24"/>
                <w:u w:val="single"/>
              </w:rPr>
              <w:t>项目拟建于</w:t>
            </w:r>
            <w:r>
              <w:rPr>
                <w:rFonts w:hint="eastAsia" w:cs="Times New Roman"/>
                <w:b/>
                <w:bCs/>
                <w:szCs w:val="24"/>
                <w:u w:val="single"/>
              </w:rPr>
              <w:t>峨边彝族自治县老人民医院片区、经营所片区、马嘶溪火车站片区</w:t>
            </w:r>
            <w:r>
              <w:rPr>
                <w:rFonts w:cs="Times New Roman"/>
                <w:b/>
                <w:bCs/>
                <w:szCs w:val="24"/>
                <w:u w:val="single"/>
              </w:rPr>
              <w:t>，该区域人类活动频繁，受人类活动的干扰，区内无珍稀保护动物。无重点保护的历史遗迹和文物古迹。工程所在地无风景名胜和文物保护单位。</w:t>
            </w: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p>
            <w:pPr>
              <w:pStyle w:val="12"/>
              <w:ind w:firstLine="480"/>
              <w:jc w:val="left"/>
              <w:rPr>
                <w:rFonts w:cs="Times New Roman"/>
                <w:szCs w:val="24"/>
              </w:rPr>
            </w:pPr>
          </w:p>
        </w:tc>
      </w:tr>
    </w:tbl>
    <w:p>
      <w:pPr>
        <w:outlineLvl w:val="0"/>
        <w:rPr>
          <w:rFonts w:cs="Times New Roman"/>
          <w:b/>
          <w:sz w:val="30"/>
          <w:szCs w:val="30"/>
        </w:rPr>
      </w:pPr>
      <w:r>
        <w:rPr>
          <w:rFonts w:cs="Times New Roman"/>
          <w:b/>
          <w:sz w:val="30"/>
          <w:szCs w:val="30"/>
        </w:rPr>
        <w:br w:type="page"/>
      </w:r>
      <w:r>
        <w:rPr>
          <w:rFonts w:cs="Times New Roman"/>
          <w:b/>
          <w:sz w:val="30"/>
          <w:szCs w:val="30"/>
        </w:rPr>
        <w:t>环境质量状况（表三）</w:t>
      </w:r>
    </w:p>
    <w:tbl>
      <w:tblPr>
        <w:tblStyle w:val="30"/>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9399" w:type="dxa"/>
          </w:tcPr>
          <w:p>
            <w:pPr>
              <w:spacing w:before="180" w:after="180" w:line="480" w:lineRule="exact"/>
              <w:rPr>
                <w:rFonts w:cs="Times New Roman"/>
                <w:b/>
                <w:sz w:val="28"/>
                <w:szCs w:val="28"/>
              </w:rPr>
            </w:pPr>
            <w:r>
              <w:rPr>
                <w:rFonts w:cs="Times New Roman"/>
                <w:b/>
                <w:sz w:val="28"/>
                <w:szCs w:val="28"/>
              </w:rPr>
              <w:t>建设项目所在地区域环境质量现状</w:t>
            </w:r>
          </w:p>
          <w:p>
            <w:pPr>
              <w:spacing w:before="120" w:after="120" w:line="480" w:lineRule="exact"/>
              <w:rPr>
                <w:rFonts w:cs="Times New Roman"/>
                <w:b/>
                <w:szCs w:val="24"/>
              </w:rPr>
            </w:pPr>
            <w:r>
              <w:rPr>
                <w:rFonts w:cs="Times New Roman"/>
                <w:b/>
                <w:szCs w:val="24"/>
              </w:rPr>
              <w:t>一、环境空气质量</w:t>
            </w:r>
          </w:p>
          <w:p>
            <w:pPr>
              <w:adjustRightInd w:val="0"/>
              <w:spacing w:line="360" w:lineRule="auto"/>
              <w:ind w:firstLine="480"/>
              <w:rPr>
                <w:rFonts w:cs="Times New Roman"/>
                <w:b/>
                <w:szCs w:val="24"/>
              </w:rPr>
            </w:pPr>
            <w:r>
              <w:rPr>
                <w:rFonts w:cs="Times New Roman"/>
                <w:b/>
                <w:szCs w:val="24"/>
              </w:rPr>
              <w:t>1、基本污染物的环境质量现状</w:t>
            </w:r>
          </w:p>
          <w:p>
            <w:pPr>
              <w:adjustRightInd w:val="0"/>
              <w:snapToGrid w:val="0"/>
              <w:spacing w:line="480" w:lineRule="exact"/>
              <w:ind w:right="89" w:rightChars="37" w:firstLine="480" w:firstLineChars="200"/>
              <w:jc w:val="left"/>
              <w:rPr>
                <w:rFonts w:cs="Times New Roman"/>
              </w:rPr>
            </w:pPr>
            <w:r>
              <w:rPr>
                <w:rFonts w:cs="Times New Roman"/>
              </w:rPr>
              <w:fldChar w:fldCharType="begin"/>
            </w:r>
            <w:r>
              <w:rPr>
                <w:rFonts w:cs="Times New Roman"/>
              </w:rPr>
              <w:instrText xml:space="preserve"> = 1 \* GB3 </w:instrText>
            </w:r>
            <w:r>
              <w:rPr>
                <w:rFonts w:cs="Times New Roman"/>
              </w:rPr>
              <w:fldChar w:fldCharType="separate"/>
            </w:r>
            <w:r>
              <w:rPr>
                <w:rFonts w:hint="eastAsia" w:ascii="宋体" w:hAnsi="宋体" w:cs="宋体"/>
              </w:rPr>
              <w:t>①</w:t>
            </w:r>
            <w:r>
              <w:rPr>
                <w:rFonts w:cs="Times New Roman"/>
              </w:rPr>
              <w:fldChar w:fldCharType="end"/>
            </w:r>
            <w:r>
              <w:rPr>
                <w:rFonts w:cs="Times New Roman"/>
              </w:rPr>
              <w:t>环境空气数据来源</w:t>
            </w:r>
          </w:p>
          <w:p>
            <w:pPr>
              <w:adjustRightInd w:val="0"/>
              <w:snapToGrid w:val="0"/>
              <w:spacing w:line="480" w:lineRule="exact"/>
              <w:ind w:right="89" w:rightChars="37" w:firstLine="480" w:firstLineChars="200"/>
              <w:jc w:val="left"/>
              <w:rPr>
                <w:rFonts w:cs="Times New Roman"/>
              </w:rPr>
            </w:pPr>
            <w:r>
              <w:rPr>
                <w:rFonts w:cs="Times New Roman"/>
              </w:rPr>
              <w:t>本次环境空气质量引用乐山市2019年环境质量公报中的监测数据，符合《环境影响评价技术导则 大气环境》（HJ2.2-2018）中“6.2数据来源”的要求。</w:t>
            </w:r>
          </w:p>
          <w:p>
            <w:pPr>
              <w:adjustRightInd w:val="0"/>
              <w:snapToGrid w:val="0"/>
              <w:spacing w:line="480" w:lineRule="exact"/>
              <w:ind w:right="89" w:rightChars="37" w:firstLine="480" w:firstLineChars="200"/>
              <w:jc w:val="left"/>
              <w:rPr>
                <w:rFonts w:cs="Times New Roman"/>
              </w:rPr>
            </w:pPr>
            <w:r>
              <w:rPr>
                <w:rFonts w:cs="Times New Roman"/>
              </w:rPr>
              <w:t>根据《乐山市2019年环境质量公报》，本项目所在区域大气环境质量现状情况见表3-1。</w:t>
            </w:r>
          </w:p>
          <w:p>
            <w:pPr>
              <w:pStyle w:val="65"/>
              <w:ind w:firstLine="0" w:firstLineChars="0"/>
              <w:jc w:val="center"/>
              <w:rPr>
                <w:rFonts w:ascii="Times New Roman" w:hAnsi="Times New Roman" w:eastAsia="宋体" w:cs="Times New Roman"/>
              </w:rPr>
            </w:pPr>
            <w:r>
              <w:rPr>
                <w:rFonts w:ascii="Times New Roman" w:hAnsi="Times New Roman" w:eastAsia="宋体" w:cs="Times New Roman"/>
                <w:b/>
                <w:szCs w:val="24"/>
              </w:rPr>
              <w:t>表3-1  2019年乐山市空气质量数据统计表</w:t>
            </w:r>
            <w:r>
              <w:rPr>
                <w:rFonts w:ascii="Times New Roman" w:hAnsi="Times New Roman" w:eastAsia="宋体" w:cs="Times New Roman"/>
                <w:snapToGrid w:val="0"/>
                <w:kern w:val="0"/>
                <w:szCs w:val="24"/>
              </w:rPr>
              <w:t xml:space="preserve">    </w:t>
            </w:r>
            <w:r>
              <w:rPr>
                <w:rFonts w:ascii="Times New Roman" w:hAnsi="Times New Roman" w:eastAsia="宋体" w:cs="Times New Roman"/>
              </w:rPr>
              <w:t>单位：μg/m</w:t>
            </w:r>
            <w:r>
              <w:rPr>
                <w:rFonts w:ascii="Times New Roman" w:hAnsi="Times New Roman" w:eastAsia="宋体" w:cs="Times New Roman"/>
                <w:vertAlign w:val="superscript"/>
              </w:rPr>
              <w:t>3</w:t>
            </w:r>
            <w:r>
              <w:rPr>
                <w:rFonts w:ascii="Times New Roman" w:hAnsi="Times New Roman" w:eastAsia="宋体" w:cs="Times New Roman"/>
              </w:rPr>
              <w:t>，CO：mg/m</w:t>
            </w:r>
            <w:r>
              <w:rPr>
                <w:rFonts w:ascii="Times New Roman" w:hAnsi="Times New Roman" w:eastAsia="宋体" w:cs="Times New Roman"/>
                <w:vertAlign w:val="superscript"/>
              </w:rPr>
              <w:t>3</w:t>
            </w:r>
          </w:p>
          <w:tbl>
            <w:tblPr>
              <w:tblStyle w:val="30"/>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7"/>
              <w:gridCol w:w="1018"/>
              <w:gridCol w:w="1165"/>
              <w:gridCol w:w="1165"/>
              <w:gridCol w:w="1165"/>
              <w:gridCol w:w="1165"/>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187" w:type="dxa"/>
                  <w:vAlign w:val="center"/>
                </w:tcPr>
                <w:p>
                  <w:pPr>
                    <w:spacing w:line="360" w:lineRule="exact"/>
                    <w:jc w:val="center"/>
                    <w:rPr>
                      <w:rFonts w:cs="Times New Roman"/>
                      <w:sz w:val="21"/>
                      <w:szCs w:val="21"/>
                    </w:rPr>
                  </w:pPr>
                  <w:r>
                    <w:rPr>
                      <w:rFonts w:cs="Times New Roman"/>
                      <w:sz w:val="21"/>
                      <w:szCs w:val="21"/>
                    </w:rPr>
                    <w:t>项目</w:t>
                  </w:r>
                </w:p>
              </w:tc>
              <w:tc>
                <w:tcPr>
                  <w:tcW w:w="1018" w:type="dxa"/>
                  <w:vAlign w:val="center"/>
                </w:tcPr>
                <w:p>
                  <w:pPr>
                    <w:spacing w:line="360" w:lineRule="exact"/>
                    <w:jc w:val="center"/>
                    <w:rPr>
                      <w:rFonts w:cs="Times New Roman"/>
                      <w:sz w:val="21"/>
                      <w:szCs w:val="21"/>
                    </w:rPr>
                  </w:pPr>
                  <w:r>
                    <w:rPr>
                      <w:rFonts w:cs="Times New Roman"/>
                      <w:sz w:val="21"/>
                      <w:szCs w:val="21"/>
                    </w:rPr>
                    <w:t>SO</w:t>
                  </w:r>
                  <w:r>
                    <w:rPr>
                      <w:rFonts w:cs="Times New Roman"/>
                      <w:sz w:val="21"/>
                      <w:szCs w:val="21"/>
                      <w:vertAlign w:val="subscript"/>
                    </w:rPr>
                    <w:t>2</w:t>
                  </w:r>
                </w:p>
              </w:tc>
              <w:tc>
                <w:tcPr>
                  <w:tcW w:w="1165" w:type="dxa"/>
                  <w:vAlign w:val="center"/>
                </w:tcPr>
                <w:p>
                  <w:pPr>
                    <w:spacing w:line="360" w:lineRule="exact"/>
                    <w:jc w:val="center"/>
                    <w:rPr>
                      <w:rFonts w:cs="Times New Roman"/>
                      <w:sz w:val="21"/>
                      <w:szCs w:val="21"/>
                    </w:rPr>
                  </w:pPr>
                  <w:r>
                    <w:rPr>
                      <w:rFonts w:cs="Times New Roman"/>
                      <w:sz w:val="21"/>
                      <w:szCs w:val="21"/>
                    </w:rPr>
                    <w:t>NO</w:t>
                  </w:r>
                  <w:r>
                    <w:rPr>
                      <w:rFonts w:cs="Times New Roman"/>
                      <w:sz w:val="21"/>
                      <w:szCs w:val="21"/>
                      <w:vertAlign w:val="subscript"/>
                    </w:rPr>
                    <w:t>2</w:t>
                  </w:r>
                </w:p>
              </w:tc>
              <w:tc>
                <w:tcPr>
                  <w:tcW w:w="1165" w:type="dxa"/>
                  <w:vAlign w:val="center"/>
                </w:tcPr>
                <w:p>
                  <w:pPr>
                    <w:spacing w:line="360" w:lineRule="exact"/>
                    <w:jc w:val="center"/>
                    <w:rPr>
                      <w:rFonts w:cs="Times New Roman"/>
                      <w:sz w:val="21"/>
                      <w:szCs w:val="21"/>
                    </w:rPr>
                  </w:pPr>
                  <w:r>
                    <w:rPr>
                      <w:rFonts w:cs="Times New Roman"/>
                      <w:sz w:val="21"/>
                      <w:szCs w:val="21"/>
                    </w:rPr>
                    <w:t>CO</w:t>
                  </w:r>
                </w:p>
              </w:tc>
              <w:tc>
                <w:tcPr>
                  <w:tcW w:w="1165" w:type="dxa"/>
                  <w:vAlign w:val="center"/>
                </w:tcPr>
                <w:p>
                  <w:pPr>
                    <w:spacing w:line="360" w:lineRule="exact"/>
                    <w:jc w:val="center"/>
                    <w:rPr>
                      <w:rFonts w:cs="Times New Roman"/>
                      <w:sz w:val="21"/>
                      <w:szCs w:val="21"/>
                    </w:rPr>
                  </w:pPr>
                  <w:r>
                    <w:rPr>
                      <w:rFonts w:cs="Times New Roman"/>
                      <w:sz w:val="21"/>
                      <w:szCs w:val="21"/>
                    </w:rPr>
                    <w:t>O</w:t>
                  </w:r>
                  <w:r>
                    <w:rPr>
                      <w:rFonts w:cs="Times New Roman"/>
                      <w:sz w:val="21"/>
                      <w:szCs w:val="21"/>
                      <w:vertAlign w:val="subscript"/>
                    </w:rPr>
                    <w:t>3</w:t>
                  </w:r>
                </w:p>
              </w:tc>
              <w:tc>
                <w:tcPr>
                  <w:tcW w:w="1165" w:type="dxa"/>
                  <w:vAlign w:val="center"/>
                </w:tcPr>
                <w:p>
                  <w:pPr>
                    <w:spacing w:line="360" w:lineRule="exact"/>
                    <w:jc w:val="center"/>
                    <w:rPr>
                      <w:rFonts w:cs="Times New Roman"/>
                      <w:sz w:val="21"/>
                      <w:szCs w:val="21"/>
                    </w:rPr>
                  </w:pPr>
                  <w:r>
                    <w:rPr>
                      <w:rFonts w:cs="Times New Roman"/>
                      <w:sz w:val="21"/>
                      <w:szCs w:val="21"/>
                    </w:rPr>
                    <w:t>PM</w:t>
                  </w:r>
                  <w:r>
                    <w:rPr>
                      <w:rFonts w:cs="Times New Roman"/>
                      <w:sz w:val="21"/>
                      <w:szCs w:val="21"/>
                      <w:vertAlign w:val="subscript"/>
                    </w:rPr>
                    <w:t>2.5</w:t>
                  </w:r>
                </w:p>
              </w:tc>
              <w:tc>
                <w:tcPr>
                  <w:tcW w:w="1308" w:type="dxa"/>
                  <w:vAlign w:val="center"/>
                </w:tcPr>
                <w:p>
                  <w:pPr>
                    <w:spacing w:line="360" w:lineRule="exact"/>
                    <w:jc w:val="center"/>
                    <w:rPr>
                      <w:rFonts w:cs="Times New Roman"/>
                      <w:sz w:val="21"/>
                      <w:szCs w:val="21"/>
                    </w:rPr>
                  </w:pPr>
                  <w:r>
                    <w:rPr>
                      <w:rFonts w:cs="Times New Roman"/>
                      <w:sz w:val="21"/>
                      <w:szCs w:val="21"/>
                    </w:rPr>
                    <w:t>PM</w:t>
                  </w:r>
                  <w:r>
                    <w:rPr>
                      <w:rFonts w:cs="Times New Roman"/>
                      <w:sz w:val="21"/>
                      <w:szCs w:val="21"/>
                      <w:vertAlign w:val="subscript"/>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187" w:type="dxa"/>
                  <w:vAlign w:val="center"/>
                </w:tcPr>
                <w:p>
                  <w:pPr>
                    <w:spacing w:line="360" w:lineRule="exact"/>
                    <w:jc w:val="center"/>
                    <w:rPr>
                      <w:rFonts w:cs="Times New Roman"/>
                      <w:sz w:val="21"/>
                      <w:szCs w:val="21"/>
                    </w:rPr>
                  </w:pPr>
                  <w:r>
                    <w:rPr>
                      <w:rFonts w:cs="Times New Roman"/>
                      <w:sz w:val="21"/>
                      <w:szCs w:val="21"/>
                    </w:rPr>
                    <w:t>平均浓度</w:t>
                  </w:r>
                </w:p>
              </w:tc>
              <w:tc>
                <w:tcPr>
                  <w:tcW w:w="1018" w:type="dxa"/>
                  <w:vAlign w:val="center"/>
                </w:tcPr>
                <w:p>
                  <w:pPr>
                    <w:spacing w:line="360" w:lineRule="exact"/>
                    <w:jc w:val="center"/>
                    <w:rPr>
                      <w:rFonts w:cs="Times New Roman"/>
                      <w:sz w:val="21"/>
                      <w:szCs w:val="21"/>
                    </w:rPr>
                  </w:pPr>
                  <w:r>
                    <w:rPr>
                      <w:rFonts w:cs="Times New Roman"/>
                      <w:sz w:val="21"/>
                      <w:szCs w:val="21"/>
                    </w:rPr>
                    <w:t>12.9</w:t>
                  </w:r>
                </w:p>
              </w:tc>
              <w:tc>
                <w:tcPr>
                  <w:tcW w:w="1165" w:type="dxa"/>
                  <w:vAlign w:val="center"/>
                </w:tcPr>
                <w:p>
                  <w:pPr>
                    <w:spacing w:line="360" w:lineRule="exact"/>
                    <w:jc w:val="center"/>
                    <w:rPr>
                      <w:rFonts w:cs="Times New Roman"/>
                      <w:sz w:val="21"/>
                      <w:szCs w:val="21"/>
                    </w:rPr>
                  </w:pPr>
                  <w:r>
                    <w:rPr>
                      <w:rFonts w:cs="Times New Roman"/>
                      <w:sz w:val="21"/>
                      <w:szCs w:val="21"/>
                    </w:rPr>
                    <w:t>24.0</w:t>
                  </w:r>
                </w:p>
              </w:tc>
              <w:tc>
                <w:tcPr>
                  <w:tcW w:w="1165" w:type="dxa"/>
                  <w:vAlign w:val="center"/>
                </w:tcPr>
                <w:p>
                  <w:pPr>
                    <w:spacing w:line="360" w:lineRule="exact"/>
                    <w:jc w:val="center"/>
                    <w:rPr>
                      <w:rFonts w:cs="Times New Roman"/>
                      <w:sz w:val="21"/>
                      <w:szCs w:val="21"/>
                    </w:rPr>
                  </w:pPr>
                  <w:r>
                    <w:rPr>
                      <w:rFonts w:cs="Times New Roman"/>
                      <w:sz w:val="21"/>
                      <w:szCs w:val="21"/>
                    </w:rPr>
                    <w:t>1.4</w:t>
                  </w:r>
                </w:p>
              </w:tc>
              <w:tc>
                <w:tcPr>
                  <w:tcW w:w="1165" w:type="dxa"/>
                  <w:vAlign w:val="center"/>
                </w:tcPr>
                <w:p>
                  <w:pPr>
                    <w:spacing w:line="360" w:lineRule="exact"/>
                    <w:jc w:val="center"/>
                    <w:rPr>
                      <w:rFonts w:cs="Times New Roman"/>
                      <w:sz w:val="21"/>
                      <w:szCs w:val="21"/>
                    </w:rPr>
                  </w:pPr>
                  <w:r>
                    <w:rPr>
                      <w:rFonts w:cs="Times New Roman"/>
                      <w:sz w:val="21"/>
                      <w:szCs w:val="21"/>
                    </w:rPr>
                    <w:t>121.4</w:t>
                  </w:r>
                </w:p>
              </w:tc>
              <w:tc>
                <w:tcPr>
                  <w:tcW w:w="1165" w:type="dxa"/>
                  <w:vAlign w:val="center"/>
                </w:tcPr>
                <w:p>
                  <w:pPr>
                    <w:spacing w:line="360" w:lineRule="exact"/>
                    <w:jc w:val="center"/>
                    <w:rPr>
                      <w:rFonts w:cs="Times New Roman"/>
                      <w:sz w:val="21"/>
                      <w:szCs w:val="21"/>
                    </w:rPr>
                  </w:pPr>
                  <w:r>
                    <w:rPr>
                      <w:rFonts w:cs="Times New Roman"/>
                      <w:sz w:val="21"/>
                      <w:szCs w:val="21"/>
                    </w:rPr>
                    <w:t>39.1</w:t>
                  </w:r>
                </w:p>
              </w:tc>
              <w:tc>
                <w:tcPr>
                  <w:tcW w:w="1308" w:type="dxa"/>
                  <w:vAlign w:val="center"/>
                </w:tcPr>
                <w:p>
                  <w:pPr>
                    <w:spacing w:line="360" w:lineRule="exact"/>
                    <w:jc w:val="center"/>
                    <w:rPr>
                      <w:rFonts w:cs="Times New Roman"/>
                      <w:sz w:val="21"/>
                      <w:szCs w:val="21"/>
                    </w:rPr>
                  </w:pPr>
                  <w:r>
                    <w:rPr>
                      <w:rFonts w:cs="Times New Roman"/>
                      <w:sz w:val="21"/>
                      <w:szCs w:val="21"/>
                    </w:rPr>
                    <w:t>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187" w:type="dxa"/>
                  <w:vAlign w:val="center"/>
                </w:tcPr>
                <w:p>
                  <w:pPr>
                    <w:spacing w:line="360" w:lineRule="exact"/>
                    <w:jc w:val="center"/>
                    <w:rPr>
                      <w:rFonts w:cs="Times New Roman"/>
                      <w:sz w:val="21"/>
                      <w:szCs w:val="21"/>
                    </w:rPr>
                  </w:pPr>
                  <w:r>
                    <w:rPr>
                      <w:rFonts w:cs="Times New Roman"/>
                      <w:sz w:val="21"/>
                      <w:szCs w:val="21"/>
                    </w:rPr>
                    <w:t>质量标准（年平均）</w:t>
                  </w:r>
                </w:p>
              </w:tc>
              <w:tc>
                <w:tcPr>
                  <w:tcW w:w="1018" w:type="dxa"/>
                  <w:vAlign w:val="center"/>
                </w:tcPr>
                <w:p>
                  <w:pPr>
                    <w:spacing w:line="360" w:lineRule="exact"/>
                    <w:jc w:val="center"/>
                    <w:rPr>
                      <w:rFonts w:cs="Times New Roman"/>
                      <w:sz w:val="21"/>
                      <w:szCs w:val="21"/>
                    </w:rPr>
                  </w:pPr>
                  <w:r>
                    <w:rPr>
                      <w:rFonts w:cs="Times New Roman"/>
                      <w:sz w:val="21"/>
                      <w:szCs w:val="21"/>
                    </w:rPr>
                    <w:t>60</w:t>
                  </w:r>
                </w:p>
              </w:tc>
              <w:tc>
                <w:tcPr>
                  <w:tcW w:w="1165" w:type="dxa"/>
                  <w:vAlign w:val="center"/>
                </w:tcPr>
                <w:p>
                  <w:pPr>
                    <w:spacing w:line="360" w:lineRule="exact"/>
                    <w:jc w:val="center"/>
                    <w:rPr>
                      <w:rFonts w:cs="Times New Roman"/>
                      <w:sz w:val="21"/>
                      <w:szCs w:val="21"/>
                    </w:rPr>
                  </w:pPr>
                  <w:r>
                    <w:rPr>
                      <w:rFonts w:cs="Times New Roman"/>
                      <w:sz w:val="21"/>
                      <w:szCs w:val="21"/>
                    </w:rPr>
                    <w:t>40</w:t>
                  </w:r>
                </w:p>
              </w:tc>
              <w:tc>
                <w:tcPr>
                  <w:tcW w:w="1165" w:type="dxa"/>
                  <w:vAlign w:val="center"/>
                </w:tcPr>
                <w:p>
                  <w:pPr>
                    <w:spacing w:line="360" w:lineRule="exact"/>
                    <w:jc w:val="center"/>
                    <w:rPr>
                      <w:rFonts w:cs="Times New Roman"/>
                      <w:sz w:val="21"/>
                      <w:szCs w:val="21"/>
                    </w:rPr>
                  </w:pPr>
                  <w:r>
                    <w:rPr>
                      <w:rFonts w:cs="Times New Roman"/>
                      <w:sz w:val="21"/>
                      <w:szCs w:val="21"/>
                    </w:rPr>
                    <w:t>4</w:t>
                  </w:r>
                </w:p>
              </w:tc>
              <w:tc>
                <w:tcPr>
                  <w:tcW w:w="1165" w:type="dxa"/>
                  <w:vAlign w:val="center"/>
                </w:tcPr>
                <w:p>
                  <w:pPr>
                    <w:spacing w:line="360" w:lineRule="exact"/>
                    <w:jc w:val="center"/>
                    <w:rPr>
                      <w:rFonts w:cs="Times New Roman"/>
                      <w:sz w:val="21"/>
                      <w:szCs w:val="21"/>
                    </w:rPr>
                  </w:pPr>
                  <w:r>
                    <w:rPr>
                      <w:rFonts w:cs="Times New Roman"/>
                      <w:sz w:val="21"/>
                      <w:szCs w:val="21"/>
                    </w:rPr>
                    <w:t>160</w:t>
                  </w:r>
                </w:p>
              </w:tc>
              <w:tc>
                <w:tcPr>
                  <w:tcW w:w="1165" w:type="dxa"/>
                  <w:vAlign w:val="center"/>
                </w:tcPr>
                <w:p>
                  <w:pPr>
                    <w:spacing w:line="360" w:lineRule="exact"/>
                    <w:jc w:val="center"/>
                    <w:rPr>
                      <w:rFonts w:cs="Times New Roman"/>
                      <w:sz w:val="21"/>
                      <w:szCs w:val="21"/>
                    </w:rPr>
                  </w:pPr>
                  <w:r>
                    <w:rPr>
                      <w:rFonts w:cs="Times New Roman"/>
                      <w:sz w:val="21"/>
                      <w:szCs w:val="21"/>
                    </w:rPr>
                    <w:t>35</w:t>
                  </w:r>
                </w:p>
              </w:tc>
              <w:tc>
                <w:tcPr>
                  <w:tcW w:w="1308" w:type="dxa"/>
                  <w:vAlign w:val="center"/>
                </w:tcPr>
                <w:p>
                  <w:pPr>
                    <w:spacing w:line="360" w:lineRule="exact"/>
                    <w:jc w:val="center"/>
                    <w:rPr>
                      <w:rFonts w:cs="Times New Roman"/>
                      <w:sz w:val="21"/>
                      <w:szCs w:val="21"/>
                    </w:rPr>
                  </w:pPr>
                  <w:r>
                    <w:rPr>
                      <w:rFonts w:cs="Times New Roman"/>
                      <w:sz w:val="21"/>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9173" w:type="dxa"/>
                  <w:gridSpan w:val="7"/>
                  <w:vAlign w:val="center"/>
                </w:tcPr>
                <w:p>
                  <w:pPr>
                    <w:spacing w:line="360" w:lineRule="exact"/>
                    <w:jc w:val="left"/>
                    <w:rPr>
                      <w:rFonts w:cs="Times New Roman"/>
                      <w:sz w:val="21"/>
                      <w:szCs w:val="21"/>
                    </w:rPr>
                  </w:pPr>
                  <w:r>
                    <w:rPr>
                      <w:rFonts w:cs="Times New Roman"/>
                      <w:sz w:val="21"/>
                      <w:szCs w:val="21"/>
                    </w:rPr>
                    <w:t>备注：一氧化碳年均值为24小时平均第95百分位数，臭氧年均值为日最大8小时滑动平均第90百分位数。</w:t>
                  </w:r>
                </w:p>
              </w:tc>
            </w:tr>
          </w:tbl>
          <w:p>
            <w:pPr>
              <w:adjustRightInd w:val="0"/>
              <w:snapToGrid w:val="0"/>
              <w:spacing w:line="480" w:lineRule="exact"/>
              <w:ind w:right="89" w:rightChars="37" w:firstLine="480" w:firstLineChars="200"/>
              <w:jc w:val="left"/>
              <w:rPr>
                <w:rFonts w:cs="Times New Roman"/>
              </w:rPr>
            </w:pPr>
            <w:r>
              <w:rPr>
                <w:rFonts w:cs="Times New Roman"/>
              </w:rPr>
              <w:fldChar w:fldCharType="begin"/>
            </w:r>
            <w:r>
              <w:rPr>
                <w:rFonts w:cs="Times New Roman"/>
              </w:rPr>
              <w:instrText xml:space="preserve"> = 2 \* GB3 </w:instrText>
            </w:r>
            <w:r>
              <w:rPr>
                <w:rFonts w:cs="Times New Roman"/>
              </w:rPr>
              <w:fldChar w:fldCharType="separate"/>
            </w:r>
            <w:r>
              <w:rPr>
                <w:rFonts w:hint="eastAsia" w:ascii="宋体" w:hAnsi="宋体" w:cs="宋体"/>
              </w:rPr>
              <w:t>②</w:t>
            </w:r>
            <w:r>
              <w:rPr>
                <w:rFonts w:cs="Times New Roman"/>
              </w:rPr>
              <w:fldChar w:fldCharType="end"/>
            </w:r>
            <w:r>
              <w:rPr>
                <w:rFonts w:cs="Times New Roman"/>
              </w:rPr>
              <w:t>评价方法和评价标准</w:t>
            </w:r>
          </w:p>
          <w:p>
            <w:pPr>
              <w:adjustRightInd w:val="0"/>
              <w:snapToGrid w:val="0"/>
              <w:spacing w:line="480" w:lineRule="exact"/>
              <w:ind w:right="89" w:rightChars="37" w:firstLine="480" w:firstLineChars="200"/>
              <w:jc w:val="left"/>
              <w:rPr>
                <w:rFonts w:cs="Times New Roman"/>
              </w:rPr>
            </w:pPr>
            <w:r>
              <w:rPr>
                <w:rFonts w:cs="Times New Roman"/>
                <w:kern w:val="0"/>
              </w:rPr>
              <w:t>依据《环境空气质量标准》（GB 3095-2012）对乐山市2019年二氧化硫(SO</w:t>
            </w:r>
            <w:r>
              <w:rPr>
                <w:rFonts w:cs="Times New Roman"/>
                <w:kern w:val="0"/>
                <w:vertAlign w:val="subscript"/>
              </w:rPr>
              <w:t>2</w:t>
            </w:r>
            <w:r>
              <w:rPr>
                <w:rFonts w:cs="Times New Roman"/>
                <w:kern w:val="0"/>
              </w:rPr>
              <w:t>)、二氧化氮(NO</w:t>
            </w:r>
            <w:r>
              <w:rPr>
                <w:rFonts w:cs="Times New Roman"/>
                <w:kern w:val="0"/>
                <w:vertAlign w:val="subscript"/>
              </w:rPr>
              <w:t>2</w:t>
            </w:r>
            <w:r>
              <w:rPr>
                <w:rFonts w:cs="Times New Roman"/>
                <w:kern w:val="0"/>
              </w:rPr>
              <w:t>)、可吸入颗粒物(PM</w:t>
            </w:r>
            <w:r>
              <w:rPr>
                <w:rFonts w:cs="Times New Roman"/>
                <w:kern w:val="0"/>
                <w:vertAlign w:val="subscript"/>
              </w:rPr>
              <w:t>10</w:t>
            </w:r>
            <w:r>
              <w:rPr>
                <w:rFonts w:cs="Times New Roman"/>
                <w:kern w:val="0"/>
              </w:rPr>
              <w:t>)、细颗粒物(PM</w:t>
            </w:r>
            <w:r>
              <w:rPr>
                <w:rFonts w:cs="Times New Roman"/>
                <w:kern w:val="0"/>
                <w:vertAlign w:val="subscript"/>
              </w:rPr>
              <w:t>2.5</w:t>
            </w:r>
            <w:r>
              <w:rPr>
                <w:rFonts w:cs="Times New Roman"/>
                <w:kern w:val="0"/>
              </w:rPr>
              <w:t>)、一氧化碳(CO)、臭氧(O</w:t>
            </w:r>
            <w:r>
              <w:rPr>
                <w:rFonts w:cs="Times New Roman"/>
                <w:kern w:val="0"/>
                <w:vertAlign w:val="subscript"/>
              </w:rPr>
              <w:t>3</w:t>
            </w:r>
            <w:r>
              <w:rPr>
                <w:rFonts w:cs="Times New Roman"/>
                <w:kern w:val="0"/>
              </w:rPr>
              <w:t>)六项污染物进行评价，六项污染物全部达标即为城市环境空气质量达标。SO</w:t>
            </w:r>
            <w:r>
              <w:rPr>
                <w:rFonts w:cs="Times New Roman"/>
                <w:kern w:val="0"/>
                <w:vertAlign w:val="subscript"/>
              </w:rPr>
              <w:t>2</w:t>
            </w:r>
            <w:r>
              <w:rPr>
                <w:rFonts w:cs="Times New Roman"/>
                <w:kern w:val="0"/>
              </w:rPr>
              <w:t>、NO</w:t>
            </w:r>
            <w:r>
              <w:rPr>
                <w:rFonts w:cs="Times New Roman"/>
                <w:kern w:val="0"/>
                <w:vertAlign w:val="subscript"/>
              </w:rPr>
              <w:t>2</w:t>
            </w:r>
            <w:r>
              <w:rPr>
                <w:rFonts w:cs="Times New Roman"/>
                <w:kern w:val="0"/>
              </w:rPr>
              <w:t>、PM</w:t>
            </w:r>
            <w:r>
              <w:rPr>
                <w:rFonts w:cs="Times New Roman"/>
                <w:kern w:val="0"/>
                <w:vertAlign w:val="subscript"/>
              </w:rPr>
              <w:t>10</w:t>
            </w:r>
            <w:r>
              <w:rPr>
                <w:rFonts w:cs="Times New Roman"/>
                <w:kern w:val="0"/>
              </w:rPr>
              <w:t>和PM</w:t>
            </w:r>
            <w:r>
              <w:rPr>
                <w:rFonts w:cs="Times New Roman"/>
                <w:kern w:val="0"/>
                <w:vertAlign w:val="subscript"/>
              </w:rPr>
              <w:t>2.5</w:t>
            </w:r>
            <w:r>
              <w:rPr>
                <w:rFonts w:cs="Times New Roman"/>
                <w:kern w:val="0"/>
              </w:rPr>
              <w:t>年度达标情况由该项污染物年平均浓度对照年平均标准确定，CO年度达标情况由CO日</w:t>
            </w:r>
            <w:r>
              <w:rPr>
                <w:rFonts w:cs="Times New Roman"/>
              </w:rPr>
              <w:t>均值第95百分位数浓度对照24小时平均标准确定，O</w:t>
            </w:r>
            <w:r>
              <w:rPr>
                <w:rFonts w:cs="Times New Roman"/>
                <w:vertAlign w:val="subscript"/>
              </w:rPr>
              <w:t>3</w:t>
            </w:r>
            <w:r>
              <w:rPr>
                <w:rFonts w:cs="Times New Roman"/>
              </w:rPr>
              <w:t>年度达标情况由O</w:t>
            </w:r>
            <w:r>
              <w:rPr>
                <w:rFonts w:cs="Times New Roman"/>
                <w:vertAlign w:val="subscript"/>
              </w:rPr>
              <w:t>3</w:t>
            </w:r>
            <w:r>
              <w:rPr>
                <w:rFonts w:cs="Times New Roman"/>
              </w:rPr>
              <w:t>日最大8小时平均第90百分位数浓度对照8小时平均标准确定。达到或好于国家环境空气质量二级标准为达标，超过二级标准为超标。</w:t>
            </w:r>
          </w:p>
          <w:p>
            <w:pPr>
              <w:adjustRightInd w:val="0"/>
              <w:snapToGrid w:val="0"/>
              <w:spacing w:line="480" w:lineRule="exact"/>
              <w:ind w:right="89" w:rightChars="37" w:firstLine="482" w:firstLineChars="200"/>
              <w:rPr>
                <w:rFonts w:cs="Times New Roman"/>
                <w:szCs w:val="24"/>
              </w:rPr>
            </w:pPr>
            <w:r>
              <w:rPr>
                <w:rFonts w:cs="Times New Roman"/>
                <w:b/>
                <w:bCs/>
              </w:rPr>
              <w:t>报告数据显示</w:t>
            </w:r>
            <w:r>
              <w:rPr>
                <w:rFonts w:cs="Times New Roman"/>
              </w:rPr>
              <w:t>：全市11个县（区、市）环境空气中二氧化硫、二氧化氮、臭氧、一氧化碳和可吸入颗粒物年均浓</w:t>
            </w:r>
            <w:r>
              <w:rPr>
                <w:rFonts w:cs="Times New Roman"/>
                <w:szCs w:val="24"/>
              </w:rPr>
              <w:t>度分别为12.9μg/m</w:t>
            </w:r>
            <w:r>
              <w:rPr>
                <w:rFonts w:cs="Times New Roman"/>
                <w:szCs w:val="24"/>
                <w:vertAlign w:val="superscript"/>
              </w:rPr>
              <w:t>3</w:t>
            </w:r>
            <w:r>
              <w:rPr>
                <w:rFonts w:cs="Times New Roman"/>
                <w:szCs w:val="24"/>
              </w:rPr>
              <w:t>、24.0μg/m</w:t>
            </w:r>
            <w:r>
              <w:rPr>
                <w:rFonts w:cs="Times New Roman"/>
                <w:szCs w:val="24"/>
                <w:vertAlign w:val="superscript"/>
              </w:rPr>
              <w:t>3</w:t>
            </w:r>
            <w:r>
              <w:rPr>
                <w:rFonts w:cs="Times New Roman"/>
                <w:szCs w:val="24"/>
              </w:rPr>
              <w:t>、121.4μg/m</w:t>
            </w:r>
            <w:r>
              <w:rPr>
                <w:rFonts w:cs="Times New Roman"/>
                <w:szCs w:val="24"/>
                <w:vertAlign w:val="superscript"/>
              </w:rPr>
              <w:t>3</w:t>
            </w:r>
            <w:r>
              <w:rPr>
                <w:rFonts w:cs="Times New Roman"/>
                <w:szCs w:val="24"/>
              </w:rPr>
              <w:t>、1.4mg/m</w:t>
            </w:r>
            <w:r>
              <w:rPr>
                <w:rFonts w:cs="Times New Roman"/>
                <w:szCs w:val="24"/>
                <w:vertAlign w:val="superscript"/>
              </w:rPr>
              <w:t>3</w:t>
            </w:r>
            <w:r>
              <w:rPr>
                <w:rFonts w:cs="Times New Roman"/>
                <w:szCs w:val="24"/>
              </w:rPr>
              <w:t>和61.7mg/m</w:t>
            </w:r>
            <w:r>
              <w:rPr>
                <w:rFonts w:cs="Times New Roman"/>
                <w:szCs w:val="24"/>
                <w:vertAlign w:val="superscript"/>
              </w:rPr>
              <w:t>3</w:t>
            </w:r>
            <w:r>
              <w:rPr>
                <w:rFonts w:cs="Times New Roman"/>
                <w:szCs w:val="24"/>
              </w:rPr>
              <w:t>，均优于国家环境空气二级标准；细颗粒物平均浓度为39.1μg/m</w:t>
            </w:r>
            <w:r>
              <w:rPr>
                <w:rFonts w:cs="Times New Roman"/>
                <w:szCs w:val="24"/>
                <w:vertAlign w:val="superscript"/>
              </w:rPr>
              <w:t>3</w:t>
            </w:r>
            <w:r>
              <w:rPr>
                <w:rFonts w:cs="Times New Roman"/>
                <w:szCs w:val="24"/>
              </w:rPr>
              <w:t>，超过国家环境空气二级标准。</w:t>
            </w:r>
          </w:p>
          <w:p>
            <w:pPr>
              <w:adjustRightInd w:val="0"/>
              <w:snapToGrid w:val="0"/>
              <w:spacing w:line="360" w:lineRule="auto"/>
              <w:ind w:right="89" w:rightChars="37" w:firstLine="482" w:firstLineChars="200"/>
              <w:jc w:val="left"/>
              <w:rPr>
                <w:rFonts w:cs="Times New Roman"/>
                <w:b/>
              </w:rPr>
            </w:pPr>
            <w:r>
              <w:rPr>
                <w:rFonts w:cs="Times New Roman"/>
                <w:b/>
              </w:rPr>
              <w:t>根据以上分析，项目所在区域环境空气质量不达标，属于不达标区。</w:t>
            </w:r>
          </w:p>
          <w:p>
            <w:pPr>
              <w:adjustRightInd w:val="0"/>
              <w:snapToGrid w:val="0"/>
              <w:spacing w:line="360" w:lineRule="auto"/>
              <w:ind w:right="89" w:rightChars="37" w:firstLine="480" w:firstLineChars="200"/>
              <w:jc w:val="left"/>
              <w:rPr>
                <w:rFonts w:cs="Times New Roman"/>
              </w:rPr>
            </w:pPr>
            <w:r>
              <w:rPr>
                <w:rFonts w:cs="Times New Roman"/>
              </w:rPr>
              <w:fldChar w:fldCharType="begin"/>
            </w:r>
            <w:r>
              <w:rPr>
                <w:rFonts w:cs="Times New Roman"/>
              </w:rPr>
              <w:instrText xml:space="preserve"> = 3 \* GB3 </w:instrText>
            </w:r>
            <w:r>
              <w:rPr>
                <w:rFonts w:cs="Times New Roman"/>
              </w:rPr>
              <w:fldChar w:fldCharType="separate"/>
            </w:r>
            <w:r>
              <w:rPr>
                <w:rFonts w:hint="eastAsia" w:ascii="宋体" w:hAnsi="宋体" w:cs="宋体"/>
              </w:rPr>
              <w:t>③</w:t>
            </w:r>
            <w:r>
              <w:rPr>
                <w:rFonts w:cs="Times New Roman"/>
              </w:rPr>
              <w:fldChar w:fldCharType="end"/>
            </w:r>
            <w:r>
              <w:rPr>
                <w:rFonts w:cs="Times New Roman"/>
              </w:rPr>
              <w:t>峨边彝族自治县</w:t>
            </w:r>
            <w:r>
              <w:rPr>
                <w:rFonts w:cs="Times New Roman"/>
                <w:szCs w:val="24"/>
                <w:shd w:val="clear" w:color="auto" w:fill="FFFFFF"/>
              </w:rPr>
              <w:t>空气质量限期达标规划</w:t>
            </w:r>
          </w:p>
          <w:p>
            <w:pPr>
              <w:adjustRightInd w:val="0"/>
              <w:snapToGrid w:val="0"/>
              <w:spacing w:line="360" w:lineRule="auto"/>
              <w:ind w:right="89" w:rightChars="37" w:firstLine="480" w:firstLineChars="200"/>
              <w:rPr>
                <w:rFonts w:cs="Times New Roman"/>
              </w:rPr>
            </w:pPr>
            <w:r>
              <w:rPr>
                <w:rFonts w:cs="Times New Roman"/>
              </w:rPr>
              <w:t>《峨边彝族自治县环境空气质量限期达标规划（2018年-2025年）》规划目标与阶段性目标：近期目标：到2020年，全县PM</w:t>
            </w:r>
            <w:r>
              <w:rPr>
                <w:rFonts w:cs="Times New Roman"/>
                <w:vertAlign w:val="subscript"/>
              </w:rPr>
              <w:t>2.5</w:t>
            </w:r>
            <w:r>
              <w:rPr>
                <w:rFonts w:cs="Times New Roman"/>
              </w:rPr>
              <w:t>年均浓度控制在45μg/m</w:t>
            </w:r>
            <w:r>
              <w:rPr>
                <w:rFonts w:cs="Times New Roman"/>
                <w:vertAlign w:val="superscript"/>
              </w:rPr>
              <w:t>3</w:t>
            </w:r>
            <w:r>
              <w:rPr>
                <w:rFonts w:cs="Times New Roman"/>
              </w:rPr>
              <w:t>以内，大气环境优良天数率比例达到85%以上。远期目标：力争到2025年，PM</w:t>
            </w:r>
            <w:r>
              <w:rPr>
                <w:rFonts w:cs="Times New Roman"/>
                <w:vertAlign w:val="subscript"/>
              </w:rPr>
              <w:t>10</w:t>
            </w:r>
            <w:r>
              <w:rPr>
                <w:rFonts w:cs="Times New Roman"/>
              </w:rPr>
              <w:t>控制在70μg/m</w:t>
            </w:r>
            <w:r>
              <w:rPr>
                <w:rFonts w:cs="Times New Roman"/>
                <w:vertAlign w:val="superscript"/>
              </w:rPr>
              <w:t>3</w:t>
            </w:r>
            <w:r>
              <w:rPr>
                <w:rFonts w:cs="Times New Roman"/>
              </w:rPr>
              <w:t>以内，PM</w:t>
            </w:r>
            <w:r>
              <w:rPr>
                <w:rFonts w:cs="Times New Roman"/>
                <w:vertAlign w:val="subscript"/>
              </w:rPr>
              <w:t>2.5</w:t>
            </w:r>
            <w:r>
              <w:rPr>
                <w:rFonts w:cs="Times New Roman"/>
              </w:rPr>
              <w:t>控制在35μg/m</w:t>
            </w:r>
            <w:r>
              <w:rPr>
                <w:rFonts w:cs="Times New Roman"/>
                <w:vertAlign w:val="superscript"/>
              </w:rPr>
              <w:t>3</w:t>
            </w:r>
            <w:r>
              <w:rPr>
                <w:rFonts w:cs="Times New Roman"/>
              </w:rPr>
              <w:t>以内，达到国家二级标准要求。阶段性目标：以基准年为基础，达标期限内实施阶段式滚动目标，分两个阶段逐步改善空气质量，第一阶段，近期2018-2020年，第二阶段，中长期2021-2025年。</w:t>
            </w:r>
          </w:p>
          <w:p>
            <w:pPr>
              <w:adjustRightInd w:val="0"/>
              <w:snapToGrid w:val="0"/>
              <w:spacing w:line="360" w:lineRule="auto"/>
              <w:ind w:right="89" w:rightChars="37" w:firstLine="480" w:firstLineChars="200"/>
              <w:jc w:val="left"/>
              <w:rPr>
                <w:rFonts w:cs="Times New Roman"/>
              </w:rPr>
            </w:pPr>
            <w:r>
              <w:rPr>
                <w:rFonts w:cs="Times New Roman"/>
              </w:rPr>
              <w:t>综合考虑峨边彝族自治县经济发展特点和大气污染状况，峨边彝族自治县空气质量达标战略主要包括以下内容：一是通过调整能源结构、升级产业结构、优化空间布局、强化污染减排等手段，逐步推进大气污染源头控制；二是以矿山、建材、铁合金、化工、扬尘、机动车、餐饮、秸秆燃烧为重点污染源，推进多污染源综合控制；三是针对SO</w:t>
            </w:r>
            <w:r>
              <w:rPr>
                <w:rFonts w:cs="Times New Roman"/>
                <w:vertAlign w:val="subscript"/>
              </w:rPr>
              <w:t>2</w:t>
            </w:r>
            <w:r>
              <w:rPr>
                <w:rFonts w:cs="Times New Roman"/>
              </w:rPr>
              <w:t>、NOx、PM</w:t>
            </w:r>
            <w:r>
              <w:rPr>
                <w:rFonts w:cs="Times New Roman"/>
                <w:vertAlign w:val="subscript"/>
              </w:rPr>
              <w:t>2.5</w:t>
            </w:r>
            <w:r>
              <w:rPr>
                <w:rFonts w:cs="Times New Roman"/>
              </w:rPr>
              <w:t>、VOCs等大气污染物，推进多污染物协同控制，同时把对NH</w:t>
            </w:r>
            <w:r>
              <w:rPr>
                <w:rFonts w:cs="Times New Roman"/>
                <w:vertAlign w:val="subscript"/>
              </w:rPr>
              <w:t>3</w:t>
            </w:r>
            <w:r>
              <w:rPr>
                <w:rFonts w:cs="Times New Roman"/>
              </w:rPr>
              <w:t>的排放控制纳入政策视野。在2020年、2022年、2024年对空气质量达标规划实施情况开展跟踪评价，查找不足，有针对性地提出改进措施，逐步实现城市空气质量达标。</w:t>
            </w:r>
          </w:p>
          <w:p>
            <w:pPr>
              <w:adjustRightInd w:val="0"/>
              <w:snapToGrid w:val="0"/>
              <w:spacing w:line="360" w:lineRule="auto"/>
              <w:ind w:right="89" w:rightChars="37" w:firstLine="480" w:firstLineChars="200"/>
              <w:rPr>
                <w:rFonts w:cs="Times New Roman"/>
              </w:rPr>
            </w:pPr>
            <w:r>
              <w:rPr>
                <w:rFonts w:cs="Times New Roman"/>
              </w:rPr>
              <w:t>综上，项目所在区域不达标指标PM</w:t>
            </w:r>
            <w:r>
              <w:rPr>
                <w:rFonts w:cs="Times New Roman"/>
                <w:vertAlign w:val="subscript"/>
              </w:rPr>
              <w:t>2.5</w:t>
            </w:r>
            <w:r>
              <w:rPr>
                <w:rFonts w:cs="Times New Roman"/>
              </w:rPr>
              <w:t>预期可满足《环境空气质量标准》（GB3095-2012）及其修改单中二级标准要求。</w:t>
            </w:r>
          </w:p>
          <w:p>
            <w:pPr>
              <w:adjustRightInd w:val="0"/>
              <w:snapToGrid w:val="0"/>
              <w:spacing w:line="360" w:lineRule="auto"/>
              <w:ind w:firstLine="482" w:firstLineChars="200"/>
              <w:rPr>
                <w:b/>
                <w:bCs/>
                <w:kern w:val="0"/>
              </w:rPr>
            </w:pPr>
            <w:r>
              <w:rPr>
                <w:b/>
                <w:bCs/>
                <w:kern w:val="0"/>
              </w:rPr>
              <w:t>2、其他污染物的环境质量现状</w:t>
            </w:r>
          </w:p>
          <w:p>
            <w:pPr>
              <w:widowControl/>
              <w:adjustRightInd w:val="0"/>
              <w:snapToGrid w:val="0"/>
              <w:spacing w:line="360" w:lineRule="auto"/>
              <w:ind w:firstLine="480" w:firstLineChars="200"/>
              <w:rPr>
                <w:kern w:val="0"/>
              </w:rPr>
            </w:pPr>
            <w:r>
              <w:rPr>
                <w:bCs/>
              </w:rPr>
              <w:t>为掌握项目区域大气环境其他污染物质量现状，本项目针对其他污染因子NH</w:t>
            </w:r>
            <w:r>
              <w:rPr>
                <w:bCs/>
                <w:vertAlign w:val="subscript"/>
              </w:rPr>
              <w:t>3</w:t>
            </w:r>
            <w:r>
              <w:rPr>
                <w:bCs/>
              </w:rPr>
              <w:t>、H</w:t>
            </w:r>
            <w:r>
              <w:rPr>
                <w:bCs/>
                <w:vertAlign w:val="subscript"/>
              </w:rPr>
              <w:t>2</w:t>
            </w:r>
            <w:r>
              <w:rPr>
                <w:bCs/>
              </w:rPr>
              <w:t>S</w:t>
            </w:r>
            <w:r>
              <w:rPr>
                <w:kern w:val="0"/>
              </w:rPr>
              <w:t>委托</w:t>
            </w:r>
            <w:r>
              <w:t>四川福德昌环保科技有限公司</w:t>
            </w:r>
            <w:r>
              <w:rPr>
                <w:kern w:val="0"/>
              </w:rPr>
              <w:t>对该项目的环境空气进行了现场采样。</w:t>
            </w:r>
          </w:p>
          <w:p>
            <w:pPr>
              <w:adjustRightInd w:val="0"/>
              <w:snapToGrid w:val="0"/>
              <w:spacing w:line="360" w:lineRule="auto"/>
              <w:ind w:firstLine="480" w:firstLineChars="200"/>
            </w:pPr>
            <w:r>
              <w:rPr>
                <w:rFonts w:hint="eastAsia"/>
              </w:rPr>
              <w:t>（1）</w:t>
            </w:r>
            <w:r>
              <w:t>监测因子</w:t>
            </w:r>
          </w:p>
          <w:p>
            <w:pPr>
              <w:adjustRightInd w:val="0"/>
              <w:snapToGrid w:val="0"/>
              <w:spacing w:line="360" w:lineRule="auto"/>
              <w:ind w:firstLine="480" w:firstLineChars="200"/>
              <w:rPr>
                <w:b/>
                <w:bCs/>
              </w:rPr>
            </w:pPr>
            <w:r>
              <w:rPr>
                <w:bCs/>
              </w:rPr>
              <w:t>NH</w:t>
            </w:r>
            <w:r>
              <w:rPr>
                <w:bCs/>
                <w:vertAlign w:val="subscript"/>
              </w:rPr>
              <w:t>3</w:t>
            </w:r>
            <w:r>
              <w:rPr>
                <w:bCs/>
              </w:rPr>
              <w:t>、H</w:t>
            </w:r>
            <w:r>
              <w:rPr>
                <w:bCs/>
                <w:vertAlign w:val="subscript"/>
              </w:rPr>
              <w:t>2</w:t>
            </w:r>
            <w:r>
              <w:rPr>
                <w:bCs/>
              </w:rPr>
              <w:t>S</w:t>
            </w:r>
            <w:r>
              <w:rPr>
                <w:rFonts w:hint="eastAsia"/>
                <w:bCs/>
              </w:rPr>
              <w:t>。</w:t>
            </w:r>
          </w:p>
          <w:p>
            <w:pPr>
              <w:adjustRightInd w:val="0"/>
              <w:snapToGrid w:val="0"/>
              <w:spacing w:line="360" w:lineRule="auto"/>
              <w:ind w:firstLine="480" w:firstLineChars="200"/>
            </w:pPr>
            <w:r>
              <w:rPr>
                <w:rFonts w:hint="eastAsia"/>
              </w:rPr>
              <w:t>（2）</w:t>
            </w:r>
            <w:r>
              <w:t>监测时间及点位</w:t>
            </w:r>
          </w:p>
          <w:p>
            <w:pPr>
              <w:adjustRightInd w:val="0"/>
              <w:snapToGrid w:val="0"/>
              <w:spacing w:line="360" w:lineRule="auto"/>
              <w:ind w:firstLine="480"/>
            </w:pPr>
            <w:r>
              <w:t>监测时间：2020年11月18日~11月24日</w:t>
            </w:r>
            <w:r>
              <w:rPr>
                <w:bCs/>
              </w:rPr>
              <w:t>连续监测7天</w:t>
            </w:r>
            <w:r>
              <w:t>，每天监测4次。</w:t>
            </w:r>
          </w:p>
          <w:p>
            <w:pPr>
              <w:pStyle w:val="29"/>
              <w:spacing w:line="360" w:lineRule="auto"/>
              <w:ind w:left="0" w:leftChars="0" w:firstLine="480"/>
              <w:rPr>
                <w:sz w:val="24"/>
              </w:rPr>
            </w:pPr>
            <w:r>
              <w:rPr>
                <w:sz w:val="24"/>
              </w:rPr>
              <w:t>监测点位：项目所在地中心处</w:t>
            </w:r>
            <w:r>
              <w:rPr>
                <w:rFonts w:hint="eastAsia"/>
                <w:sz w:val="24"/>
              </w:rPr>
              <w:t>、</w:t>
            </w:r>
            <w:r>
              <w:rPr>
                <w:sz w:val="24"/>
              </w:rPr>
              <w:t>项目所在地下风向</w:t>
            </w:r>
            <w:r>
              <w:rPr>
                <w:rFonts w:hint="eastAsia"/>
                <w:sz w:val="24"/>
              </w:rPr>
              <w:t>1</w:t>
            </w:r>
            <w:r>
              <w:rPr>
                <w:sz w:val="24"/>
              </w:rPr>
              <w:t>00m</w:t>
            </w:r>
            <w:r>
              <w:rPr>
                <w:rFonts w:hint="eastAsia"/>
                <w:sz w:val="24"/>
              </w:rPr>
              <w:t>处。</w:t>
            </w:r>
          </w:p>
          <w:p>
            <w:pPr>
              <w:spacing w:line="360" w:lineRule="auto"/>
              <w:ind w:firstLine="480"/>
              <w:rPr>
                <w:bCs/>
              </w:rPr>
            </w:pPr>
            <w:r>
              <w:rPr>
                <w:rFonts w:hint="eastAsia"/>
                <w:bCs/>
              </w:rPr>
              <w:t>（</w:t>
            </w:r>
            <w:r>
              <w:rPr>
                <w:bCs/>
              </w:rPr>
              <w:t>3</w:t>
            </w:r>
            <w:r>
              <w:rPr>
                <w:rFonts w:hint="eastAsia"/>
                <w:bCs/>
              </w:rPr>
              <w:t>）</w:t>
            </w:r>
            <w:r>
              <w:rPr>
                <w:bCs/>
              </w:rPr>
              <w:t>、评价标准</w:t>
            </w:r>
          </w:p>
          <w:p>
            <w:pPr>
              <w:spacing w:line="360" w:lineRule="auto"/>
              <w:ind w:firstLine="480"/>
            </w:pPr>
            <w:r>
              <w:t>本项目</w:t>
            </w:r>
            <w:r>
              <w:rPr>
                <w:bCs/>
              </w:rPr>
              <w:t>NH</w:t>
            </w:r>
            <w:r>
              <w:rPr>
                <w:bCs/>
                <w:vertAlign w:val="subscript"/>
              </w:rPr>
              <w:t>3</w:t>
            </w:r>
            <w:r>
              <w:rPr>
                <w:bCs/>
              </w:rPr>
              <w:t>、H</w:t>
            </w:r>
            <w:r>
              <w:rPr>
                <w:bCs/>
                <w:vertAlign w:val="subscript"/>
              </w:rPr>
              <w:t>2</w:t>
            </w:r>
            <w:r>
              <w:rPr>
                <w:bCs/>
              </w:rPr>
              <w:t>S标准采用</w:t>
            </w:r>
            <w:r>
              <w:rPr>
                <w:bCs/>
                <w:szCs w:val="22"/>
              </w:rPr>
              <w:t>《环境影响评价技术导则-大气环境》（HJ2.2-2018）附录D.1其他污染物空气质量浓度参考限值。</w:t>
            </w:r>
          </w:p>
          <w:p>
            <w:pPr>
              <w:adjustRightInd w:val="0"/>
              <w:snapToGrid w:val="0"/>
              <w:jc w:val="center"/>
              <w:rPr>
                <w:rFonts w:cs="Times New Roman"/>
                <w:b/>
                <w:szCs w:val="24"/>
              </w:rPr>
            </w:pPr>
            <w:r>
              <w:rPr>
                <w:rFonts w:cs="Times New Roman"/>
                <w:b/>
                <w:szCs w:val="24"/>
              </w:rPr>
              <w:t>表3-2  NH</w:t>
            </w:r>
            <w:r>
              <w:rPr>
                <w:rFonts w:cs="Times New Roman"/>
                <w:b/>
                <w:szCs w:val="24"/>
                <w:vertAlign w:val="subscript"/>
              </w:rPr>
              <w:t>3</w:t>
            </w:r>
            <w:r>
              <w:rPr>
                <w:rFonts w:cs="Times New Roman"/>
                <w:b/>
                <w:szCs w:val="24"/>
              </w:rPr>
              <w:t>、H</w:t>
            </w:r>
            <w:r>
              <w:rPr>
                <w:rFonts w:cs="Times New Roman"/>
                <w:b/>
                <w:szCs w:val="24"/>
                <w:vertAlign w:val="subscript"/>
              </w:rPr>
              <w:t>2</w:t>
            </w:r>
            <w:r>
              <w:rPr>
                <w:rFonts w:cs="Times New Roman"/>
                <w:b/>
                <w:szCs w:val="24"/>
              </w:rPr>
              <w:t>S空气质量标准</w:t>
            </w:r>
          </w:p>
          <w:p>
            <w:pPr>
              <w:widowControl/>
              <w:adjustRightInd w:val="0"/>
              <w:snapToGrid w:val="0"/>
              <w:jc w:val="right"/>
              <w:rPr>
                <w:rFonts w:eastAsia="黑体"/>
                <w:kern w:val="24"/>
                <w:sz w:val="21"/>
              </w:rPr>
            </w:pPr>
            <w:r>
              <w:rPr>
                <w:rFonts w:eastAsia="黑体"/>
                <w:kern w:val="24"/>
                <w:sz w:val="21"/>
              </w:rPr>
              <w:t>单位：mg/m</w:t>
            </w:r>
            <w:r>
              <w:rPr>
                <w:rFonts w:eastAsia="黑体"/>
                <w:kern w:val="24"/>
                <w:sz w:val="21"/>
                <w:vertAlign w:val="superscript"/>
              </w:rPr>
              <w:t>3</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3882"/>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vAlign w:val="center"/>
                </w:tcPr>
                <w:p>
                  <w:pPr>
                    <w:widowControl/>
                    <w:adjustRightInd w:val="0"/>
                    <w:snapToGrid w:val="0"/>
                    <w:jc w:val="center"/>
                    <w:rPr>
                      <w:sz w:val="21"/>
                      <w:szCs w:val="21"/>
                    </w:rPr>
                  </w:pPr>
                  <w:r>
                    <w:rPr>
                      <w:sz w:val="21"/>
                      <w:szCs w:val="21"/>
                    </w:rPr>
                    <w:t>项目</w:t>
                  </w:r>
                </w:p>
              </w:tc>
              <w:tc>
                <w:tcPr>
                  <w:tcW w:w="3882" w:type="dxa"/>
                  <w:vAlign w:val="center"/>
                </w:tcPr>
                <w:p>
                  <w:pPr>
                    <w:widowControl/>
                    <w:adjustRightInd w:val="0"/>
                    <w:snapToGrid w:val="0"/>
                    <w:jc w:val="center"/>
                    <w:rPr>
                      <w:sz w:val="21"/>
                      <w:szCs w:val="21"/>
                    </w:rPr>
                  </w:pPr>
                  <w:r>
                    <w:rPr>
                      <w:sz w:val="21"/>
                      <w:szCs w:val="21"/>
                    </w:rPr>
                    <w:t>标准限值</w:t>
                  </w:r>
                </w:p>
              </w:tc>
              <w:tc>
                <w:tcPr>
                  <w:tcW w:w="3450" w:type="dxa"/>
                  <w:vAlign w:val="center"/>
                </w:tcPr>
                <w:p>
                  <w:pPr>
                    <w:widowControl/>
                    <w:adjustRightInd w:val="0"/>
                    <w:snapToGrid w:val="0"/>
                    <w:jc w:val="center"/>
                    <w:rPr>
                      <w:sz w:val="21"/>
                      <w:szCs w:val="21"/>
                    </w:rPr>
                  </w:pPr>
                  <w:r>
                    <w:rPr>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728" w:type="dxa"/>
                  <w:vAlign w:val="center"/>
                </w:tcPr>
                <w:p>
                  <w:pPr>
                    <w:widowControl/>
                    <w:adjustRightInd w:val="0"/>
                    <w:snapToGrid w:val="0"/>
                    <w:jc w:val="center"/>
                    <w:rPr>
                      <w:sz w:val="21"/>
                      <w:szCs w:val="21"/>
                    </w:rPr>
                  </w:pPr>
                  <w:r>
                    <w:rPr>
                      <w:bCs/>
                      <w:sz w:val="21"/>
                      <w:szCs w:val="21"/>
                    </w:rPr>
                    <w:t>NH</w:t>
                  </w:r>
                  <w:r>
                    <w:rPr>
                      <w:bCs/>
                      <w:sz w:val="21"/>
                      <w:szCs w:val="21"/>
                      <w:vertAlign w:val="subscript"/>
                    </w:rPr>
                    <w:t>3</w:t>
                  </w:r>
                </w:p>
              </w:tc>
              <w:tc>
                <w:tcPr>
                  <w:tcW w:w="3882" w:type="dxa"/>
                  <w:vAlign w:val="center"/>
                </w:tcPr>
                <w:p>
                  <w:pPr>
                    <w:widowControl/>
                    <w:adjustRightInd w:val="0"/>
                    <w:snapToGrid w:val="0"/>
                    <w:jc w:val="center"/>
                    <w:rPr>
                      <w:sz w:val="21"/>
                      <w:szCs w:val="21"/>
                    </w:rPr>
                  </w:pPr>
                  <w:r>
                    <w:rPr>
                      <w:sz w:val="21"/>
                      <w:szCs w:val="21"/>
                    </w:rPr>
                    <w:t>0.2</w:t>
                  </w:r>
                </w:p>
              </w:tc>
              <w:tc>
                <w:tcPr>
                  <w:tcW w:w="3450" w:type="dxa"/>
                  <w:vMerge w:val="restart"/>
                  <w:vAlign w:val="center"/>
                </w:tcPr>
                <w:p>
                  <w:pPr>
                    <w:widowControl/>
                    <w:adjustRightInd w:val="0"/>
                    <w:snapToGrid w:val="0"/>
                    <w:jc w:val="center"/>
                    <w:rPr>
                      <w:sz w:val="21"/>
                      <w:szCs w:val="21"/>
                    </w:rPr>
                  </w:pPr>
                  <w:r>
                    <w:rPr>
                      <w:sz w:val="21"/>
                      <w:szCs w:val="21"/>
                    </w:rPr>
                    <w:t>《环境影响评价技术导则-大气环境》（HJ2.2-2018）附录D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widowControl/>
                    <w:adjustRightInd w:val="0"/>
                    <w:snapToGrid w:val="0"/>
                    <w:jc w:val="center"/>
                    <w:rPr>
                      <w:sz w:val="21"/>
                      <w:szCs w:val="21"/>
                    </w:rPr>
                  </w:pPr>
                  <w:r>
                    <w:rPr>
                      <w:bCs/>
                      <w:sz w:val="21"/>
                      <w:szCs w:val="21"/>
                    </w:rPr>
                    <w:t>H</w:t>
                  </w:r>
                  <w:r>
                    <w:rPr>
                      <w:bCs/>
                      <w:sz w:val="21"/>
                      <w:szCs w:val="21"/>
                      <w:vertAlign w:val="subscript"/>
                    </w:rPr>
                    <w:t>2</w:t>
                  </w:r>
                  <w:r>
                    <w:rPr>
                      <w:bCs/>
                      <w:sz w:val="21"/>
                      <w:szCs w:val="21"/>
                    </w:rPr>
                    <w:t>S</w:t>
                  </w:r>
                </w:p>
              </w:tc>
              <w:tc>
                <w:tcPr>
                  <w:tcW w:w="3882" w:type="dxa"/>
                  <w:vAlign w:val="center"/>
                </w:tcPr>
                <w:p>
                  <w:pPr>
                    <w:widowControl/>
                    <w:adjustRightInd w:val="0"/>
                    <w:snapToGrid w:val="0"/>
                    <w:jc w:val="center"/>
                    <w:rPr>
                      <w:sz w:val="21"/>
                      <w:szCs w:val="21"/>
                    </w:rPr>
                  </w:pPr>
                  <w:r>
                    <w:rPr>
                      <w:sz w:val="21"/>
                      <w:szCs w:val="21"/>
                    </w:rPr>
                    <w:t>0.01</w:t>
                  </w:r>
                </w:p>
              </w:tc>
              <w:tc>
                <w:tcPr>
                  <w:tcW w:w="3450" w:type="dxa"/>
                  <w:vMerge w:val="continue"/>
                  <w:vAlign w:val="center"/>
                </w:tcPr>
                <w:p>
                  <w:pPr>
                    <w:widowControl/>
                    <w:adjustRightInd w:val="0"/>
                    <w:snapToGrid w:val="0"/>
                    <w:jc w:val="center"/>
                    <w:rPr>
                      <w:sz w:val="21"/>
                      <w:szCs w:val="21"/>
                    </w:rPr>
                  </w:pPr>
                </w:p>
              </w:tc>
            </w:tr>
          </w:tbl>
          <w:p>
            <w:pPr>
              <w:adjustRightInd w:val="0"/>
              <w:snapToGrid w:val="0"/>
              <w:spacing w:line="360" w:lineRule="auto"/>
              <w:ind w:firstLine="482"/>
            </w:pPr>
            <w:r>
              <w:rPr>
                <w:rFonts w:hint="eastAsia"/>
              </w:rPr>
              <w:t>（4）</w:t>
            </w:r>
            <w:r>
              <w:t>监测结果</w:t>
            </w:r>
          </w:p>
          <w:p>
            <w:pPr>
              <w:adjustRightInd w:val="0"/>
              <w:snapToGrid w:val="0"/>
              <w:spacing w:line="360" w:lineRule="auto"/>
              <w:ind w:firstLine="480"/>
              <w:rPr>
                <w:bCs/>
              </w:rPr>
            </w:pPr>
            <w:r>
              <w:rPr>
                <w:bCs/>
              </w:rPr>
              <w:t>具体监测结果见表3-3。</w:t>
            </w:r>
          </w:p>
          <w:p>
            <w:pPr>
              <w:adjustRightInd w:val="0"/>
              <w:snapToGrid w:val="0"/>
              <w:jc w:val="center"/>
              <w:rPr>
                <w:rFonts w:cs="Times New Roman"/>
                <w:b/>
                <w:szCs w:val="24"/>
              </w:rPr>
            </w:pPr>
            <w:r>
              <w:rPr>
                <w:rFonts w:cs="Times New Roman"/>
                <w:b/>
                <w:szCs w:val="24"/>
              </w:rPr>
              <w:t>表3-3  环境空气检测结果</w:t>
            </w:r>
          </w:p>
          <w:p>
            <w:pPr>
              <w:pStyle w:val="81"/>
              <w:jc w:val="right"/>
              <w:rPr>
                <w:rFonts w:eastAsia="黑体"/>
                <w:kern w:val="24"/>
                <w:sz w:val="21"/>
                <w:vertAlign w:val="superscript"/>
              </w:rPr>
            </w:pPr>
          </w:p>
          <w:tbl>
            <w:tblPr>
              <w:tblStyle w:val="3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318"/>
              <w:gridCol w:w="1392"/>
              <w:gridCol w:w="1087"/>
              <w:gridCol w:w="1087"/>
              <w:gridCol w:w="1087"/>
              <w:gridCol w:w="1088"/>
              <w:gridCol w:w="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restart"/>
                  <w:shd w:val="clear" w:color="auto" w:fill="auto"/>
                  <w:vAlign w:val="center"/>
                </w:tcPr>
                <w:p>
                  <w:pPr>
                    <w:jc w:val="center"/>
                    <w:rPr>
                      <w:rFonts w:cs="Times New Roman"/>
                      <w:b/>
                      <w:sz w:val="21"/>
                      <w:szCs w:val="21"/>
                    </w:rPr>
                  </w:pPr>
                  <w:r>
                    <w:rPr>
                      <w:rFonts w:cs="Times New Roman"/>
                      <w:b/>
                      <w:sz w:val="21"/>
                      <w:szCs w:val="21"/>
                    </w:rPr>
                    <w:t>检测项目</w:t>
                  </w:r>
                </w:p>
              </w:tc>
              <w:tc>
                <w:tcPr>
                  <w:tcW w:w="1318" w:type="dxa"/>
                  <w:vMerge w:val="restart"/>
                  <w:shd w:val="clear" w:color="auto" w:fill="auto"/>
                  <w:vAlign w:val="center"/>
                </w:tcPr>
                <w:p>
                  <w:pPr>
                    <w:jc w:val="center"/>
                    <w:rPr>
                      <w:rFonts w:cs="Times New Roman"/>
                      <w:b/>
                      <w:sz w:val="21"/>
                      <w:szCs w:val="21"/>
                    </w:rPr>
                  </w:pPr>
                  <w:r>
                    <w:rPr>
                      <w:rFonts w:cs="Times New Roman"/>
                      <w:b/>
                      <w:sz w:val="21"/>
                      <w:szCs w:val="21"/>
                    </w:rPr>
                    <w:t>检测日期</w:t>
                  </w:r>
                </w:p>
                <w:p>
                  <w:pPr>
                    <w:jc w:val="center"/>
                    <w:rPr>
                      <w:rFonts w:cs="Times New Roman"/>
                      <w:b/>
                      <w:sz w:val="21"/>
                      <w:szCs w:val="21"/>
                    </w:rPr>
                  </w:pPr>
                  <w:r>
                    <w:rPr>
                      <w:rFonts w:cs="Times New Roman"/>
                      <w:b/>
                      <w:sz w:val="21"/>
                      <w:szCs w:val="21"/>
                    </w:rPr>
                    <w:t>2020年</w:t>
                  </w:r>
                </w:p>
              </w:tc>
              <w:tc>
                <w:tcPr>
                  <w:tcW w:w="1392" w:type="dxa"/>
                  <w:vMerge w:val="restart"/>
                  <w:shd w:val="clear" w:color="auto" w:fill="auto"/>
                  <w:vAlign w:val="center"/>
                </w:tcPr>
                <w:p>
                  <w:pPr>
                    <w:snapToGrid w:val="0"/>
                    <w:jc w:val="center"/>
                    <w:rPr>
                      <w:rFonts w:cs="Times New Roman"/>
                      <w:b/>
                      <w:sz w:val="21"/>
                      <w:szCs w:val="21"/>
                    </w:rPr>
                  </w:pPr>
                  <w:r>
                    <w:rPr>
                      <w:rFonts w:cs="Times New Roman"/>
                      <w:b/>
                      <w:sz w:val="21"/>
                      <w:szCs w:val="21"/>
                    </w:rPr>
                    <w:t>点位检测频次</w:t>
                  </w:r>
                </w:p>
              </w:tc>
              <w:tc>
                <w:tcPr>
                  <w:tcW w:w="4349" w:type="dxa"/>
                  <w:gridSpan w:val="4"/>
                  <w:shd w:val="clear" w:color="auto" w:fill="auto"/>
                  <w:vAlign w:val="center"/>
                </w:tcPr>
                <w:p>
                  <w:pPr>
                    <w:jc w:val="center"/>
                    <w:rPr>
                      <w:rFonts w:cs="Times New Roman"/>
                      <w:sz w:val="21"/>
                      <w:szCs w:val="21"/>
                    </w:rPr>
                  </w:pPr>
                  <w:r>
                    <w:rPr>
                      <w:rFonts w:cs="Times New Roman"/>
                      <w:b/>
                      <w:bCs/>
                      <w:sz w:val="21"/>
                      <w:szCs w:val="21"/>
                    </w:rPr>
                    <w:t>检测结果（mg/m</w:t>
                  </w:r>
                  <w:r>
                    <w:rPr>
                      <w:rFonts w:cs="Times New Roman"/>
                      <w:b/>
                      <w:bCs/>
                      <w:sz w:val="21"/>
                      <w:szCs w:val="21"/>
                      <w:vertAlign w:val="superscript"/>
                    </w:rPr>
                    <w:t>3</w:t>
                  </w:r>
                  <w:r>
                    <w:rPr>
                      <w:rFonts w:cs="Times New Roman"/>
                      <w:b/>
                      <w:bCs/>
                      <w:sz w:val="21"/>
                      <w:szCs w:val="21"/>
                    </w:rPr>
                    <w:t>）</w:t>
                  </w:r>
                </w:p>
              </w:tc>
              <w:tc>
                <w:tcPr>
                  <w:tcW w:w="985" w:type="dxa"/>
                  <w:vMerge w:val="restart"/>
                  <w:shd w:val="clear" w:color="auto" w:fill="auto"/>
                  <w:vAlign w:val="center"/>
                </w:tcPr>
                <w:p>
                  <w:pPr>
                    <w:jc w:val="center"/>
                    <w:rPr>
                      <w:rFonts w:cs="Times New Roman"/>
                      <w:b/>
                      <w:bCs/>
                      <w:sz w:val="21"/>
                      <w:szCs w:val="21"/>
                    </w:rPr>
                  </w:pPr>
                  <w:r>
                    <w:rPr>
                      <w:rFonts w:cs="Times New Roman"/>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sz w:val="21"/>
                      <w:szCs w:val="21"/>
                    </w:rPr>
                  </w:pPr>
                </w:p>
              </w:tc>
              <w:tc>
                <w:tcPr>
                  <w:tcW w:w="1318" w:type="dxa"/>
                  <w:vMerge w:val="continue"/>
                  <w:shd w:val="clear" w:color="auto" w:fill="auto"/>
                  <w:vAlign w:val="center"/>
                </w:tcPr>
                <w:p>
                  <w:pPr>
                    <w:jc w:val="center"/>
                    <w:rPr>
                      <w:rFonts w:cs="Times New Roman"/>
                      <w:sz w:val="21"/>
                      <w:szCs w:val="21"/>
                    </w:rPr>
                  </w:pPr>
                </w:p>
              </w:tc>
              <w:tc>
                <w:tcPr>
                  <w:tcW w:w="1392" w:type="dxa"/>
                  <w:vMerge w:val="continue"/>
                  <w:shd w:val="clear" w:color="auto" w:fill="auto"/>
                  <w:vAlign w:val="center"/>
                </w:tcPr>
                <w:p>
                  <w:pPr>
                    <w:jc w:val="center"/>
                    <w:rPr>
                      <w:rFonts w:cs="Times New Roman"/>
                      <w:sz w:val="21"/>
                      <w:szCs w:val="21"/>
                    </w:rPr>
                  </w:pPr>
                </w:p>
              </w:tc>
              <w:tc>
                <w:tcPr>
                  <w:tcW w:w="1087" w:type="dxa"/>
                  <w:shd w:val="clear" w:color="auto" w:fill="auto"/>
                  <w:vAlign w:val="center"/>
                </w:tcPr>
                <w:p>
                  <w:pPr>
                    <w:jc w:val="center"/>
                    <w:rPr>
                      <w:rFonts w:cs="Times New Roman"/>
                      <w:b/>
                      <w:bCs/>
                      <w:sz w:val="21"/>
                      <w:szCs w:val="21"/>
                    </w:rPr>
                  </w:pPr>
                  <w:r>
                    <w:rPr>
                      <w:rFonts w:cs="Times New Roman"/>
                      <w:b/>
                      <w:bCs/>
                      <w:sz w:val="21"/>
                      <w:szCs w:val="21"/>
                    </w:rPr>
                    <w:t>第一次</w:t>
                  </w:r>
                </w:p>
              </w:tc>
              <w:tc>
                <w:tcPr>
                  <w:tcW w:w="1087" w:type="dxa"/>
                  <w:shd w:val="clear" w:color="auto" w:fill="auto"/>
                  <w:vAlign w:val="center"/>
                </w:tcPr>
                <w:p>
                  <w:pPr>
                    <w:jc w:val="center"/>
                    <w:rPr>
                      <w:rFonts w:cs="Times New Roman"/>
                      <w:b/>
                      <w:bCs/>
                      <w:sz w:val="21"/>
                      <w:szCs w:val="21"/>
                    </w:rPr>
                  </w:pPr>
                  <w:r>
                    <w:rPr>
                      <w:rFonts w:cs="Times New Roman"/>
                      <w:b/>
                      <w:bCs/>
                      <w:sz w:val="21"/>
                      <w:szCs w:val="21"/>
                    </w:rPr>
                    <w:t>第二次</w:t>
                  </w:r>
                </w:p>
              </w:tc>
              <w:tc>
                <w:tcPr>
                  <w:tcW w:w="1087" w:type="dxa"/>
                  <w:shd w:val="clear" w:color="auto" w:fill="auto"/>
                  <w:vAlign w:val="center"/>
                </w:tcPr>
                <w:p>
                  <w:pPr>
                    <w:jc w:val="center"/>
                    <w:rPr>
                      <w:rFonts w:cs="Times New Roman"/>
                      <w:b/>
                      <w:bCs/>
                      <w:sz w:val="21"/>
                      <w:szCs w:val="21"/>
                    </w:rPr>
                  </w:pPr>
                  <w:r>
                    <w:rPr>
                      <w:rFonts w:cs="Times New Roman"/>
                      <w:b/>
                      <w:bCs/>
                      <w:sz w:val="21"/>
                      <w:szCs w:val="21"/>
                    </w:rPr>
                    <w:t>第三次</w:t>
                  </w:r>
                </w:p>
              </w:tc>
              <w:tc>
                <w:tcPr>
                  <w:tcW w:w="1088" w:type="dxa"/>
                  <w:shd w:val="clear" w:color="auto" w:fill="auto"/>
                  <w:vAlign w:val="center"/>
                </w:tcPr>
                <w:p>
                  <w:pPr>
                    <w:jc w:val="center"/>
                    <w:rPr>
                      <w:rFonts w:cs="Times New Roman"/>
                      <w:b/>
                      <w:bCs/>
                      <w:sz w:val="21"/>
                      <w:szCs w:val="21"/>
                    </w:rPr>
                  </w:pPr>
                  <w:r>
                    <w:rPr>
                      <w:rFonts w:cs="Times New Roman"/>
                      <w:b/>
                      <w:bCs/>
                      <w:sz w:val="21"/>
                      <w:szCs w:val="21"/>
                    </w:rPr>
                    <w:t>第四次</w:t>
                  </w:r>
                </w:p>
              </w:tc>
              <w:tc>
                <w:tcPr>
                  <w:tcW w:w="985" w:type="dxa"/>
                  <w:vMerge w:val="continue"/>
                  <w:shd w:val="clear" w:color="auto" w:fill="auto"/>
                  <w:vAlign w:val="center"/>
                </w:tcPr>
                <w:p>
                  <w:pPr>
                    <w:jc w:val="center"/>
                    <w:rPr>
                      <w:rFonts w:cs="Times New Roman"/>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restart"/>
                  <w:shd w:val="clear" w:color="auto" w:fill="auto"/>
                  <w:vAlign w:val="center"/>
                </w:tcPr>
                <w:p>
                  <w:pPr>
                    <w:jc w:val="center"/>
                    <w:rPr>
                      <w:rFonts w:cs="Times New Roman"/>
                      <w:sz w:val="21"/>
                      <w:szCs w:val="21"/>
                    </w:rPr>
                  </w:pPr>
                  <w:r>
                    <w:rPr>
                      <w:rFonts w:cs="Times New Roman"/>
                      <w:sz w:val="21"/>
                      <w:szCs w:val="21"/>
                    </w:rPr>
                    <w:t>H</w:t>
                  </w:r>
                  <w:r>
                    <w:rPr>
                      <w:rFonts w:cs="Times New Roman"/>
                      <w:sz w:val="21"/>
                      <w:szCs w:val="21"/>
                      <w:vertAlign w:val="subscript"/>
                    </w:rPr>
                    <w:t>2</w:t>
                  </w:r>
                  <w:r>
                    <w:rPr>
                      <w:rFonts w:cs="Times New Roman"/>
                      <w:sz w:val="21"/>
                      <w:szCs w:val="21"/>
                    </w:rPr>
                    <w:t>S</w:t>
                  </w:r>
                </w:p>
              </w:tc>
              <w:tc>
                <w:tcPr>
                  <w:tcW w:w="1318" w:type="dxa"/>
                  <w:vMerge w:val="restart"/>
                  <w:shd w:val="clear" w:color="auto" w:fill="auto"/>
                  <w:vAlign w:val="center"/>
                </w:tcPr>
                <w:p>
                  <w:pPr>
                    <w:jc w:val="center"/>
                    <w:rPr>
                      <w:rFonts w:cs="Times New Roman"/>
                      <w:sz w:val="21"/>
                      <w:szCs w:val="21"/>
                    </w:rPr>
                  </w:pPr>
                  <w:r>
                    <w:rPr>
                      <w:rFonts w:cs="Times New Roman"/>
                      <w:bCs/>
                      <w:sz w:val="21"/>
                      <w:szCs w:val="21"/>
                    </w:rPr>
                    <w:t>11月18日</w:t>
                  </w:r>
                </w:p>
              </w:tc>
              <w:tc>
                <w:tcPr>
                  <w:tcW w:w="1392" w:type="dxa"/>
                  <w:shd w:val="clear" w:color="auto" w:fill="auto"/>
                  <w:vAlign w:val="center"/>
                </w:tcPr>
                <w:p>
                  <w:pPr>
                    <w:jc w:val="center"/>
                    <w:rPr>
                      <w:rFonts w:cs="Times New Roman"/>
                      <w:sz w:val="21"/>
                      <w:szCs w:val="21"/>
                    </w:rPr>
                  </w:pPr>
                  <w:r>
                    <w:rPr>
                      <w:rFonts w:cs="Times New Roman"/>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0.004</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7" w:type="dxa"/>
                  <w:shd w:val="clear" w:color="auto" w:fill="auto"/>
                  <w:vAlign w:val="center"/>
                </w:tcPr>
                <w:p>
                  <w:pPr>
                    <w:jc w:val="center"/>
                    <w:rPr>
                      <w:rFonts w:cs="Times New Roman"/>
                      <w:sz w:val="21"/>
                      <w:szCs w:val="21"/>
                    </w:rPr>
                  </w:pPr>
                  <w:r>
                    <w:rPr>
                      <w:rFonts w:cs="Times New Roman"/>
                      <w:sz w:val="21"/>
                      <w:szCs w:val="21"/>
                    </w:rPr>
                    <w:t>0.004</w:t>
                  </w:r>
                </w:p>
              </w:tc>
              <w:tc>
                <w:tcPr>
                  <w:tcW w:w="1088" w:type="dxa"/>
                  <w:shd w:val="clear" w:color="auto" w:fill="auto"/>
                  <w:vAlign w:val="center"/>
                </w:tcPr>
                <w:p>
                  <w:pPr>
                    <w:jc w:val="center"/>
                    <w:rPr>
                      <w:rFonts w:cs="Times New Roman"/>
                      <w:sz w:val="21"/>
                      <w:szCs w:val="21"/>
                    </w:rPr>
                  </w:pPr>
                  <w:r>
                    <w:rPr>
                      <w:rFonts w:cs="Times New Roman"/>
                      <w:sz w:val="21"/>
                      <w:szCs w:val="21"/>
                    </w:rPr>
                    <w:t>0.003</w:t>
                  </w:r>
                </w:p>
              </w:tc>
              <w:tc>
                <w:tcPr>
                  <w:tcW w:w="985"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sz w:val="21"/>
                      <w:szCs w:val="21"/>
                    </w:rPr>
                  </w:pPr>
                  <w:r>
                    <w:rPr>
                      <w:rFonts w:cs="Times New Roman"/>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7" w:type="dxa"/>
                  <w:shd w:val="clear" w:color="auto" w:fill="auto"/>
                  <w:vAlign w:val="center"/>
                </w:tcPr>
                <w:p>
                  <w:pPr>
                    <w:jc w:val="center"/>
                    <w:rPr>
                      <w:rFonts w:cs="Times New Roman"/>
                      <w:sz w:val="21"/>
                      <w:szCs w:val="21"/>
                    </w:rPr>
                  </w:pPr>
                  <w:r>
                    <w:rPr>
                      <w:rFonts w:cs="Times New Roman"/>
                      <w:sz w:val="21"/>
                      <w:szCs w:val="21"/>
                    </w:rPr>
                    <w:t>0.002</w:t>
                  </w:r>
                </w:p>
              </w:tc>
              <w:tc>
                <w:tcPr>
                  <w:tcW w:w="1087" w:type="dxa"/>
                  <w:shd w:val="clear" w:color="auto" w:fill="auto"/>
                  <w:vAlign w:val="center"/>
                </w:tcPr>
                <w:p>
                  <w:pPr>
                    <w:jc w:val="center"/>
                    <w:rPr>
                      <w:rFonts w:cs="Times New Roman"/>
                      <w:sz w:val="21"/>
                      <w:szCs w:val="21"/>
                    </w:rPr>
                  </w:pPr>
                  <w:r>
                    <w:rPr>
                      <w:rFonts w:cs="Times New Roman"/>
                      <w:sz w:val="21"/>
                      <w:szCs w:val="21"/>
                    </w:rPr>
                    <w:t>0.004</w:t>
                  </w:r>
                </w:p>
              </w:tc>
              <w:tc>
                <w:tcPr>
                  <w:tcW w:w="1088" w:type="dxa"/>
                  <w:shd w:val="clear" w:color="auto" w:fill="auto"/>
                  <w:vAlign w:val="center"/>
                </w:tcPr>
                <w:p>
                  <w:pPr>
                    <w:jc w:val="center"/>
                    <w:rPr>
                      <w:rFonts w:cs="Times New Roman"/>
                      <w:sz w:val="21"/>
                      <w:szCs w:val="21"/>
                    </w:rPr>
                  </w:pPr>
                  <w:r>
                    <w:rPr>
                      <w:rFonts w:cs="Times New Roman"/>
                      <w:sz w:val="21"/>
                      <w:szCs w:val="21"/>
                    </w:rPr>
                    <w:t>0.007</w:t>
                  </w:r>
                </w:p>
              </w:tc>
              <w:tc>
                <w:tcPr>
                  <w:tcW w:w="985"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11月19日</w:t>
                  </w:r>
                </w:p>
              </w:tc>
              <w:tc>
                <w:tcPr>
                  <w:tcW w:w="1392" w:type="dxa"/>
                  <w:shd w:val="clear" w:color="auto" w:fill="auto"/>
                  <w:vAlign w:val="center"/>
                </w:tcPr>
                <w:p>
                  <w:pPr>
                    <w:jc w:val="center"/>
                    <w:rPr>
                      <w:rFonts w:cs="Times New Roman"/>
                      <w:sz w:val="21"/>
                      <w:szCs w:val="21"/>
                    </w:rPr>
                  </w:pPr>
                  <w:r>
                    <w:rPr>
                      <w:rFonts w:cs="Times New Roman"/>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0.002</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8" w:type="dxa"/>
                  <w:shd w:val="clear" w:color="auto" w:fill="auto"/>
                  <w:vAlign w:val="center"/>
                </w:tcPr>
                <w:p>
                  <w:pPr>
                    <w:jc w:val="center"/>
                    <w:rPr>
                      <w:rFonts w:cs="Times New Roman"/>
                      <w:sz w:val="21"/>
                      <w:szCs w:val="21"/>
                    </w:rPr>
                  </w:pPr>
                  <w:r>
                    <w:rPr>
                      <w:rFonts w:cs="Times New Roman"/>
                      <w:sz w:val="21"/>
                      <w:szCs w:val="21"/>
                    </w:rPr>
                    <w:t>0.003</w:t>
                  </w:r>
                </w:p>
              </w:tc>
              <w:tc>
                <w:tcPr>
                  <w:tcW w:w="985"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sz w:val="21"/>
                      <w:szCs w:val="21"/>
                    </w:rPr>
                  </w:pPr>
                </w:p>
              </w:tc>
              <w:tc>
                <w:tcPr>
                  <w:tcW w:w="1318" w:type="dxa"/>
                  <w:vMerge w:val="continue"/>
                  <w:shd w:val="clear" w:color="auto" w:fill="auto"/>
                  <w:vAlign w:val="center"/>
                </w:tcPr>
                <w:p>
                  <w:pPr>
                    <w:jc w:val="center"/>
                    <w:rPr>
                      <w:rFonts w:cs="Times New Roman"/>
                      <w:sz w:val="21"/>
                      <w:szCs w:val="21"/>
                    </w:rPr>
                  </w:pPr>
                </w:p>
              </w:tc>
              <w:tc>
                <w:tcPr>
                  <w:tcW w:w="1392" w:type="dxa"/>
                  <w:shd w:val="clear" w:color="auto" w:fill="auto"/>
                  <w:vAlign w:val="center"/>
                </w:tcPr>
                <w:p>
                  <w:pPr>
                    <w:jc w:val="center"/>
                    <w:rPr>
                      <w:rFonts w:cs="Times New Roman"/>
                      <w:sz w:val="21"/>
                      <w:szCs w:val="21"/>
                    </w:rPr>
                  </w:pPr>
                  <w:r>
                    <w:rPr>
                      <w:rFonts w:cs="Times New Roman"/>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0.002</w:t>
                  </w:r>
                </w:p>
              </w:tc>
              <w:tc>
                <w:tcPr>
                  <w:tcW w:w="1087" w:type="dxa"/>
                  <w:shd w:val="clear" w:color="auto" w:fill="auto"/>
                  <w:vAlign w:val="center"/>
                </w:tcPr>
                <w:p>
                  <w:pPr>
                    <w:jc w:val="center"/>
                    <w:rPr>
                      <w:rFonts w:cs="Times New Roman"/>
                      <w:sz w:val="21"/>
                      <w:szCs w:val="21"/>
                    </w:rPr>
                  </w:pPr>
                  <w:r>
                    <w:rPr>
                      <w:rFonts w:cs="Times New Roman"/>
                      <w:sz w:val="21"/>
                      <w:szCs w:val="21"/>
                    </w:rPr>
                    <w:t>0.004</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8" w:type="dxa"/>
                  <w:shd w:val="clear" w:color="auto" w:fill="auto"/>
                  <w:vAlign w:val="center"/>
                </w:tcPr>
                <w:p>
                  <w:pPr>
                    <w:jc w:val="center"/>
                    <w:rPr>
                      <w:rFonts w:cs="Times New Roman"/>
                      <w:sz w:val="21"/>
                      <w:szCs w:val="21"/>
                    </w:rPr>
                  </w:pPr>
                  <w:r>
                    <w:rPr>
                      <w:rFonts w:cs="Times New Roman"/>
                      <w:sz w:val="21"/>
                      <w:szCs w:val="21"/>
                    </w:rPr>
                    <w:t>0.005</w:t>
                  </w:r>
                </w:p>
              </w:tc>
              <w:tc>
                <w:tcPr>
                  <w:tcW w:w="985"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11月20日</w:t>
                  </w:r>
                </w:p>
              </w:tc>
              <w:tc>
                <w:tcPr>
                  <w:tcW w:w="1392" w:type="dxa"/>
                  <w:shd w:val="clear" w:color="auto" w:fill="auto"/>
                  <w:vAlign w:val="center"/>
                </w:tcPr>
                <w:p>
                  <w:pPr>
                    <w:jc w:val="center"/>
                    <w:rPr>
                      <w:rFonts w:cs="Times New Roman"/>
                      <w:bCs/>
                      <w:sz w:val="21"/>
                      <w:szCs w:val="21"/>
                    </w:rPr>
                  </w:pPr>
                  <w:r>
                    <w:rPr>
                      <w:rFonts w:cs="Times New Roman"/>
                      <w:bCs/>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0.004</w:t>
                  </w:r>
                </w:p>
              </w:tc>
              <w:tc>
                <w:tcPr>
                  <w:tcW w:w="1087" w:type="dxa"/>
                  <w:shd w:val="clear" w:color="auto" w:fill="auto"/>
                  <w:vAlign w:val="center"/>
                </w:tcPr>
                <w:p>
                  <w:pPr>
                    <w:jc w:val="center"/>
                    <w:rPr>
                      <w:rFonts w:cs="Times New Roman"/>
                      <w:sz w:val="21"/>
                      <w:szCs w:val="21"/>
                    </w:rPr>
                  </w:pPr>
                  <w:r>
                    <w:rPr>
                      <w:rFonts w:cs="Times New Roman"/>
                      <w:sz w:val="21"/>
                      <w:szCs w:val="21"/>
                    </w:rPr>
                    <w:t>0.002</w:t>
                  </w:r>
                </w:p>
              </w:tc>
              <w:tc>
                <w:tcPr>
                  <w:tcW w:w="1087" w:type="dxa"/>
                  <w:shd w:val="clear" w:color="auto" w:fill="auto"/>
                  <w:vAlign w:val="center"/>
                </w:tcPr>
                <w:p>
                  <w:pPr>
                    <w:jc w:val="center"/>
                    <w:rPr>
                      <w:rFonts w:cs="Times New Roman"/>
                      <w:sz w:val="21"/>
                      <w:szCs w:val="21"/>
                    </w:rPr>
                  </w:pPr>
                  <w:r>
                    <w:rPr>
                      <w:rFonts w:cs="Times New Roman"/>
                      <w:sz w:val="21"/>
                      <w:szCs w:val="21"/>
                    </w:rPr>
                    <w:t>0.006</w:t>
                  </w:r>
                </w:p>
              </w:tc>
              <w:tc>
                <w:tcPr>
                  <w:tcW w:w="1088" w:type="dxa"/>
                  <w:shd w:val="clear" w:color="auto" w:fill="auto"/>
                  <w:vAlign w:val="center"/>
                </w:tcPr>
                <w:p>
                  <w:pPr>
                    <w:jc w:val="center"/>
                    <w:rPr>
                      <w:rFonts w:cs="Times New Roman"/>
                      <w:sz w:val="21"/>
                      <w:szCs w:val="21"/>
                    </w:rPr>
                  </w:pPr>
                  <w:r>
                    <w:rPr>
                      <w:rFonts w:cs="Times New Roman"/>
                      <w:sz w:val="21"/>
                      <w:szCs w:val="21"/>
                    </w:rPr>
                    <w:t>0.005</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bCs/>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0.004</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7" w:type="dxa"/>
                  <w:shd w:val="clear" w:color="auto" w:fill="auto"/>
                  <w:vAlign w:val="center"/>
                </w:tcPr>
                <w:p>
                  <w:pPr>
                    <w:jc w:val="center"/>
                    <w:rPr>
                      <w:rFonts w:cs="Times New Roman"/>
                      <w:sz w:val="21"/>
                      <w:szCs w:val="21"/>
                    </w:rPr>
                  </w:pPr>
                  <w:r>
                    <w:rPr>
                      <w:rFonts w:cs="Times New Roman"/>
                      <w:sz w:val="21"/>
                      <w:szCs w:val="21"/>
                    </w:rPr>
                    <w:t>0.006</w:t>
                  </w:r>
                </w:p>
              </w:tc>
              <w:tc>
                <w:tcPr>
                  <w:tcW w:w="1088" w:type="dxa"/>
                  <w:shd w:val="clear" w:color="auto" w:fill="auto"/>
                  <w:vAlign w:val="center"/>
                </w:tcPr>
                <w:p>
                  <w:pPr>
                    <w:jc w:val="center"/>
                    <w:rPr>
                      <w:rFonts w:cs="Times New Roman"/>
                      <w:sz w:val="21"/>
                      <w:szCs w:val="21"/>
                    </w:rPr>
                  </w:pPr>
                  <w:r>
                    <w:rPr>
                      <w:rFonts w:cs="Times New Roman"/>
                      <w:sz w:val="21"/>
                      <w:szCs w:val="21"/>
                    </w:rPr>
                    <w:t>0.003</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11月21日</w:t>
                  </w:r>
                </w:p>
              </w:tc>
              <w:tc>
                <w:tcPr>
                  <w:tcW w:w="1392" w:type="dxa"/>
                  <w:shd w:val="clear" w:color="auto" w:fill="auto"/>
                  <w:vAlign w:val="center"/>
                </w:tcPr>
                <w:p>
                  <w:pPr>
                    <w:jc w:val="center"/>
                    <w:rPr>
                      <w:rFonts w:cs="Times New Roman"/>
                      <w:bCs/>
                      <w:sz w:val="21"/>
                      <w:szCs w:val="21"/>
                    </w:rPr>
                  </w:pPr>
                  <w:r>
                    <w:rPr>
                      <w:rFonts w:cs="Times New Roman"/>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8" w:type="dxa"/>
                  <w:shd w:val="clear" w:color="auto" w:fill="auto"/>
                  <w:vAlign w:val="center"/>
                </w:tcPr>
                <w:p>
                  <w:pPr>
                    <w:jc w:val="center"/>
                    <w:rPr>
                      <w:rFonts w:cs="Times New Roman"/>
                      <w:sz w:val="21"/>
                      <w:szCs w:val="21"/>
                    </w:rPr>
                  </w:pPr>
                  <w:r>
                    <w:rPr>
                      <w:rFonts w:cs="Times New Roman"/>
                      <w:sz w:val="21"/>
                      <w:szCs w:val="21"/>
                    </w:rPr>
                    <w:t>0.002</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0.002</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7" w:type="dxa"/>
                  <w:shd w:val="clear" w:color="auto" w:fill="auto"/>
                  <w:vAlign w:val="center"/>
                </w:tcPr>
                <w:p>
                  <w:pPr>
                    <w:jc w:val="center"/>
                    <w:rPr>
                      <w:rFonts w:cs="Times New Roman"/>
                      <w:sz w:val="21"/>
                      <w:szCs w:val="21"/>
                    </w:rPr>
                  </w:pPr>
                  <w:r>
                    <w:rPr>
                      <w:rFonts w:cs="Times New Roman"/>
                      <w:sz w:val="21"/>
                      <w:szCs w:val="21"/>
                    </w:rPr>
                    <w:t>0.004</w:t>
                  </w:r>
                </w:p>
              </w:tc>
              <w:tc>
                <w:tcPr>
                  <w:tcW w:w="1088" w:type="dxa"/>
                  <w:shd w:val="clear" w:color="auto" w:fill="auto"/>
                  <w:vAlign w:val="center"/>
                </w:tcPr>
                <w:p>
                  <w:pPr>
                    <w:jc w:val="center"/>
                    <w:rPr>
                      <w:rFonts w:cs="Times New Roman"/>
                      <w:sz w:val="21"/>
                      <w:szCs w:val="21"/>
                    </w:rPr>
                  </w:pPr>
                  <w:r>
                    <w:rPr>
                      <w:rFonts w:cs="Times New Roman"/>
                      <w:sz w:val="21"/>
                      <w:szCs w:val="21"/>
                    </w:rPr>
                    <w:t>0.002</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11月22日</w:t>
                  </w:r>
                </w:p>
              </w:tc>
              <w:tc>
                <w:tcPr>
                  <w:tcW w:w="1392" w:type="dxa"/>
                  <w:shd w:val="clear" w:color="auto" w:fill="auto"/>
                  <w:vAlign w:val="center"/>
                </w:tcPr>
                <w:p>
                  <w:pPr>
                    <w:jc w:val="center"/>
                    <w:rPr>
                      <w:rFonts w:cs="Times New Roman"/>
                      <w:bCs/>
                      <w:sz w:val="21"/>
                      <w:szCs w:val="21"/>
                    </w:rPr>
                  </w:pPr>
                  <w:r>
                    <w:rPr>
                      <w:rFonts w:cs="Times New Roman"/>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8" w:type="dxa"/>
                  <w:shd w:val="clear" w:color="auto" w:fill="auto"/>
                  <w:vAlign w:val="center"/>
                </w:tcPr>
                <w:p>
                  <w:pPr>
                    <w:jc w:val="center"/>
                    <w:rPr>
                      <w:rFonts w:cs="Times New Roman"/>
                      <w:sz w:val="21"/>
                      <w:szCs w:val="21"/>
                    </w:rPr>
                  </w:pPr>
                  <w:r>
                    <w:rPr>
                      <w:rFonts w:cs="Times New Roman"/>
                      <w:sz w:val="21"/>
                      <w:szCs w:val="21"/>
                    </w:rPr>
                    <w:t>0.006</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8" w:type="dxa"/>
                  <w:shd w:val="clear" w:color="auto" w:fill="auto"/>
                  <w:vAlign w:val="center"/>
                </w:tcPr>
                <w:p>
                  <w:pPr>
                    <w:jc w:val="center"/>
                    <w:rPr>
                      <w:rFonts w:cs="Times New Roman"/>
                      <w:sz w:val="21"/>
                      <w:szCs w:val="21"/>
                    </w:rPr>
                  </w:pPr>
                  <w:r>
                    <w:rPr>
                      <w:rFonts w:cs="Times New Roman"/>
                      <w:sz w:val="21"/>
                      <w:szCs w:val="21"/>
                    </w:rPr>
                    <w:t>0.005</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11月23日</w:t>
                  </w:r>
                </w:p>
              </w:tc>
              <w:tc>
                <w:tcPr>
                  <w:tcW w:w="1392" w:type="dxa"/>
                  <w:shd w:val="clear" w:color="auto" w:fill="auto"/>
                  <w:vAlign w:val="center"/>
                </w:tcPr>
                <w:p>
                  <w:pPr>
                    <w:jc w:val="center"/>
                    <w:rPr>
                      <w:rFonts w:cs="Times New Roman"/>
                      <w:bCs/>
                      <w:sz w:val="21"/>
                      <w:szCs w:val="21"/>
                    </w:rPr>
                  </w:pPr>
                  <w:r>
                    <w:rPr>
                      <w:rFonts w:cs="Times New Roman"/>
                      <w:bCs/>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0.006</w:t>
                  </w:r>
                </w:p>
              </w:tc>
              <w:tc>
                <w:tcPr>
                  <w:tcW w:w="1087" w:type="dxa"/>
                  <w:shd w:val="clear" w:color="auto" w:fill="auto"/>
                  <w:vAlign w:val="center"/>
                </w:tcPr>
                <w:p>
                  <w:pPr>
                    <w:jc w:val="center"/>
                    <w:rPr>
                      <w:rFonts w:cs="Times New Roman"/>
                      <w:sz w:val="21"/>
                      <w:szCs w:val="21"/>
                    </w:rPr>
                  </w:pPr>
                  <w:r>
                    <w:rPr>
                      <w:rFonts w:cs="Times New Roman"/>
                      <w:sz w:val="21"/>
                      <w:szCs w:val="21"/>
                    </w:rPr>
                    <w:t>0.004</w:t>
                  </w:r>
                </w:p>
              </w:tc>
              <w:tc>
                <w:tcPr>
                  <w:tcW w:w="1087" w:type="dxa"/>
                  <w:shd w:val="clear" w:color="auto" w:fill="auto"/>
                  <w:vAlign w:val="center"/>
                </w:tcPr>
                <w:p>
                  <w:pPr>
                    <w:jc w:val="center"/>
                    <w:rPr>
                      <w:rFonts w:cs="Times New Roman"/>
                      <w:sz w:val="21"/>
                      <w:szCs w:val="21"/>
                    </w:rPr>
                  </w:pPr>
                  <w:r>
                    <w:rPr>
                      <w:rFonts w:cs="Times New Roman"/>
                      <w:sz w:val="21"/>
                      <w:szCs w:val="21"/>
                    </w:rPr>
                    <w:t>0.006</w:t>
                  </w:r>
                </w:p>
              </w:tc>
              <w:tc>
                <w:tcPr>
                  <w:tcW w:w="1088" w:type="dxa"/>
                  <w:shd w:val="clear" w:color="auto" w:fill="auto"/>
                  <w:vAlign w:val="center"/>
                </w:tcPr>
                <w:p>
                  <w:pPr>
                    <w:jc w:val="center"/>
                    <w:rPr>
                      <w:rFonts w:cs="Times New Roman"/>
                      <w:sz w:val="21"/>
                      <w:szCs w:val="21"/>
                    </w:rPr>
                  </w:pPr>
                  <w:r>
                    <w:rPr>
                      <w:rFonts w:cs="Times New Roman"/>
                      <w:sz w:val="21"/>
                      <w:szCs w:val="21"/>
                    </w:rPr>
                    <w:t>0.005</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bCs/>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7" w:type="dxa"/>
                  <w:shd w:val="clear" w:color="auto" w:fill="auto"/>
                  <w:vAlign w:val="center"/>
                </w:tcPr>
                <w:p>
                  <w:pPr>
                    <w:jc w:val="center"/>
                    <w:rPr>
                      <w:rFonts w:cs="Times New Roman"/>
                      <w:sz w:val="21"/>
                      <w:szCs w:val="21"/>
                    </w:rPr>
                  </w:pPr>
                  <w:r>
                    <w:rPr>
                      <w:rFonts w:cs="Times New Roman"/>
                      <w:sz w:val="21"/>
                      <w:szCs w:val="21"/>
                    </w:rPr>
                    <w:t>0.006</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8" w:type="dxa"/>
                  <w:shd w:val="clear" w:color="auto" w:fill="auto"/>
                  <w:vAlign w:val="center"/>
                </w:tcPr>
                <w:p>
                  <w:pPr>
                    <w:jc w:val="center"/>
                    <w:rPr>
                      <w:rFonts w:cs="Times New Roman"/>
                      <w:sz w:val="21"/>
                      <w:szCs w:val="21"/>
                    </w:rPr>
                  </w:pPr>
                  <w:r>
                    <w:rPr>
                      <w:rFonts w:cs="Times New Roman"/>
                      <w:sz w:val="21"/>
                      <w:szCs w:val="21"/>
                    </w:rPr>
                    <w:t>0.006</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11月24日</w:t>
                  </w:r>
                </w:p>
              </w:tc>
              <w:tc>
                <w:tcPr>
                  <w:tcW w:w="1392" w:type="dxa"/>
                  <w:shd w:val="clear" w:color="auto" w:fill="auto"/>
                  <w:vAlign w:val="center"/>
                </w:tcPr>
                <w:p>
                  <w:pPr>
                    <w:jc w:val="center"/>
                    <w:rPr>
                      <w:rFonts w:cs="Times New Roman"/>
                      <w:bCs/>
                      <w:sz w:val="21"/>
                      <w:szCs w:val="21"/>
                    </w:rPr>
                  </w:pPr>
                  <w:r>
                    <w:rPr>
                      <w:rFonts w:cs="Times New Roman"/>
                      <w:bCs/>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7" w:type="dxa"/>
                  <w:shd w:val="clear" w:color="auto" w:fill="auto"/>
                  <w:vAlign w:val="center"/>
                </w:tcPr>
                <w:p>
                  <w:pPr>
                    <w:jc w:val="center"/>
                    <w:rPr>
                      <w:rFonts w:cs="Times New Roman"/>
                      <w:sz w:val="21"/>
                      <w:szCs w:val="21"/>
                    </w:rPr>
                  </w:pPr>
                  <w:r>
                    <w:rPr>
                      <w:rFonts w:cs="Times New Roman"/>
                      <w:sz w:val="21"/>
                      <w:szCs w:val="21"/>
                    </w:rPr>
                    <w:t>0.002</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8" w:type="dxa"/>
                  <w:shd w:val="clear" w:color="auto" w:fill="auto"/>
                  <w:vAlign w:val="center"/>
                </w:tcPr>
                <w:p>
                  <w:pPr>
                    <w:jc w:val="center"/>
                    <w:rPr>
                      <w:rFonts w:cs="Times New Roman"/>
                      <w:sz w:val="21"/>
                      <w:szCs w:val="21"/>
                    </w:rPr>
                  </w:pPr>
                  <w:r>
                    <w:rPr>
                      <w:rFonts w:cs="Times New Roman"/>
                      <w:sz w:val="21"/>
                      <w:szCs w:val="21"/>
                    </w:rPr>
                    <w:t>0.005</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bCs/>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0.003</w:t>
                  </w:r>
                </w:p>
              </w:tc>
              <w:tc>
                <w:tcPr>
                  <w:tcW w:w="1087" w:type="dxa"/>
                  <w:shd w:val="clear" w:color="auto" w:fill="auto"/>
                  <w:vAlign w:val="center"/>
                </w:tcPr>
                <w:p>
                  <w:pPr>
                    <w:jc w:val="center"/>
                    <w:rPr>
                      <w:rFonts w:cs="Times New Roman"/>
                      <w:sz w:val="21"/>
                      <w:szCs w:val="21"/>
                    </w:rPr>
                  </w:pPr>
                  <w:r>
                    <w:rPr>
                      <w:rFonts w:cs="Times New Roman"/>
                      <w:sz w:val="21"/>
                      <w:szCs w:val="21"/>
                    </w:rPr>
                    <w:t>0.005</w:t>
                  </w:r>
                </w:p>
              </w:tc>
              <w:tc>
                <w:tcPr>
                  <w:tcW w:w="1087" w:type="dxa"/>
                  <w:shd w:val="clear" w:color="auto" w:fill="auto"/>
                  <w:vAlign w:val="center"/>
                </w:tcPr>
                <w:p>
                  <w:pPr>
                    <w:jc w:val="center"/>
                    <w:rPr>
                      <w:rFonts w:cs="Times New Roman"/>
                      <w:sz w:val="21"/>
                      <w:szCs w:val="21"/>
                    </w:rPr>
                  </w:pPr>
                  <w:r>
                    <w:rPr>
                      <w:rFonts w:cs="Times New Roman"/>
                      <w:sz w:val="21"/>
                      <w:szCs w:val="21"/>
                    </w:rPr>
                    <w:t>0.006</w:t>
                  </w:r>
                </w:p>
              </w:tc>
              <w:tc>
                <w:tcPr>
                  <w:tcW w:w="1088" w:type="dxa"/>
                  <w:shd w:val="clear" w:color="auto" w:fill="auto"/>
                  <w:vAlign w:val="center"/>
                </w:tcPr>
                <w:p>
                  <w:pPr>
                    <w:jc w:val="center"/>
                    <w:rPr>
                      <w:rFonts w:cs="Times New Roman"/>
                      <w:sz w:val="21"/>
                      <w:szCs w:val="21"/>
                    </w:rPr>
                  </w:pPr>
                  <w:r>
                    <w:rPr>
                      <w:rFonts w:cs="Times New Roman"/>
                      <w:sz w:val="21"/>
                      <w:szCs w:val="21"/>
                    </w:rPr>
                    <w:t>0.004</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restart"/>
                  <w:shd w:val="clear" w:color="auto" w:fill="auto"/>
                  <w:vAlign w:val="center"/>
                </w:tcPr>
                <w:p>
                  <w:pPr>
                    <w:jc w:val="center"/>
                    <w:rPr>
                      <w:rFonts w:cs="Times New Roman"/>
                      <w:bCs/>
                      <w:sz w:val="21"/>
                      <w:szCs w:val="21"/>
                    </w:rPr>
                  </w:pPr>
                  <w:r>
                    <w:rPr>
                      <w:rFonts w:cs="Times New Roman"/>
                      <w:bCs/>
                      <w:sz w:val="21"/>
                      <w:szCs w:val="21"/>
                    </w:rPr>
                    <w:t>NH</w:t>
                  </w:r>
                  <w:r>
                    <w:rPr>
                      <w:rFonts w:cs="Times New Roman"/>
                      <w:bCs/>
                      <w:sz w:val="21"/>
                      <w:szCs w:val="21"/>
                      <w:vertAlign w:val="subscript"/>
                    </w:rPr>
                    <w:t>3</w:t>
                  </w: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11月18日</w:t>
                  </w:r>
                </w:p>
              </w:tc>
              <w:tc>
                <w:tcPr>
                  <w:tcW w:w="1392" w:type="dxa"/>
                  <w:shd w:val="clear" w:color="auto" w:fill="auto"/>
                  <w:vAlign w:val="center"/>
                </w:tcPr>
                <w:p>
                  <w:pPr>
                    <w:jc w:val="center"/>
                    <w:rPr>
                      <w:rFonts w:cs="Times New Roman"/>
                      <w:bCs/>
                      <w:sz w:val="21"/>
                      <w:szCs w:val="21"/>
                    </w:rPr>
                  </w:pPr>
                  <w:r>
                    <w:rPr>
                      <w:rFonts w:cs="Times New Roman"/>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0.06</w:t>
                  </w:r>
                </w:p>
              </w:tc>
              <w:tc>
                <w:tcPr>
                  <w:tcW w:w="1087" w:type="dxa"/>
                  <w:shd w:val="clear" w:color="auto" w:fill="auto"/>
                  <w:vAlign w:val="center"/>
                </w:tcPr>
                <w:p>
                  <w:pPr>
                    <w:jc w:val="center"/>
                    <w:rPr>
                      <w:rFonts w:cs="Times New Roman"/>
                      <w:sz w:val="21"/>
                      <w:szCs w:val="21"/>
                    </w:rPr>
                  </w:pPr>
                  <w:r>
                    <w:rPr>
                      <w:rFonts w:cs="Times New Roman"/>
                      <w:sz w:val="21"/>
                      <w:szCs w:val="21"/>
                    </w:rPr>
                    <w:t>0.04</w:t>
                  </w:r>
                </w:p>
              </w:tc>
              <w:tc>
                <w:tcPr>
                  <w:tcW w:w="1087" w:type="dxa"/>
                  <w:shd w:val="clear" w:color="auto" w:fill="auto"/>
                  <w:vAlign w:val="center"/>
                </w:tcPr>
                <w:p>
                  <w:pPr>
                    <w:jc w:val="center"/>
                    <w:rPr>
                      <w:rFonts w:cs="Times New Roman"/>
                      <w:sz w:val="21"/>
                      <w:szCs w:val="21"/>
                    </w:rPr>
                  </w:pPr>
                  <w:r>
                    <w:rPr>
                      <w:rFonts w:cs="Times New Roman"/>
                      <w:sz w:val="21"/>
                      <w:szCs w:val="21"/>
                    </w:rPr>
                    <w:t>0.05</w:t>
                  </w:r>
                </w:p>
              </w:tc>
              <w:tc>
                <w:tcPr>
                  <w:tcW w:w="1088" w:type="dxa"/>
                  <w:shd w:val="clear" w:color="auto" w:fill="auto"/>
                  <w:vAlign w:val="center"/>
                </w:tcPr>
                <w:p>
                  <w:pPr>
                    <w:jc w:val="center"/>
                    <w:rPr>
                      <w:rFonts w:cs="Times New Roman"/>
                      <w:sz w:val="21"/>
                      <w:szCs w:val="21"/>
                    </w:rPr>
                  </w:pPr>
                  <w:r>
                    <w:rPr>
                      <w:rFonts w:cs="Times New Roman"/>
                      <w:sz w:val="21"/>
                      <w:szCs w:val="21"/>
                    </w:rPr>
                    <w:t>0.07</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0.02</w:t>
                  </w:r>
                </w:p>
              </w:tc>
              <w:tc>
                <w:tcPr>
                  <w:tcW w:w="1087" w:type="dxa"/>
                  <w:shd w:val="clear" w:color="auto" w:fill="auto"/>
                  <w:vAlign w:val="center"/>
                </w:tcPr>
                <w:p>
                  <w:pPr>
                    <w:jc w:val="center"/>
                    <w:rPr>
                      <w:rFonts w:cs="Times New Roman"/>
                      <w:sz w:val="21"/>
                      <w:szCs w:val="21"/>
                    </w:rPr>
                  </w:pPr>
                  <w:r>
                    <w:rPr>
                      <w:rFonts w:cs="Times New Roman"/>
                      <w:sz w:val="21"/>
                      <w:szCs w:val="21"/>
                    </w:rPr>
                    <w:t>0.04</w:t>
                  </w:r>
                </w:p>
              </w:tc>
              <w:tc>
                <w:tcPr>
                  <w:tcW w:w="1087" w:type="dxa"/>
                  <w:shd w:val="clear" w:color="auto" w:fill="auto"/>
                  <w:vAlign w:val="center"/>
                </w:tcPr>
                <w:p>
                  <w:pPr>
                    <w:jc w:val="center"/>
                    <w:rPr>
                      <w:rFonts w:cs="Times New Roman"/>
                      <w:sz w:val="21"/>
                      <w:szCs w:val="21"/>
                    </w:rPr>
                  </w:pPr>
                  <w:r>
                    <w:rPr>
                      <w:rFonts w:cs="Times New Roman"/>
                      <w:sz w:val="21"/>
                      <w:szCs w:val="21"/>
                    </w:rPr>
                    <w:t>0.05</w:t>
                  </w:r>
                </w:p>
              </w:tc>
              <w:tc>
                <w:tcPr>
                  <w:tcW w:w="1088" w:type="dxa"/>
                  <w:shd w:val="clear" w:color="auto" w:fill="auto"/>
                  <w:vAlign w:val="center"/>
                </w:tcPr>
                <w:p>
                  <w:pPr>
                    <w:jc w:val="center"/>
                    <w:rPr>
                      <w:rFonts w:cs="Times New Roman"/>
                      <w:sz w:val="21"/>
                      <w:szCs w:val="21"/>
                    </w:rPr>
                  </w:pPr>
                  <w:r>
                    <w:rPr>
                      <w:rFonts w:cs="Times New Roman"/>
                      <w:sz w:val="21"/>
                      <w:szCs w:val="21"/>
                    </w:rPr>
                    <w:t>0.08</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11月19日</w:t>
                  </w:r>
                </w:p>
              </w:tc>
              <w:tc>
                <w:tcPr>
                  <w:tcW w:w="1392" w:type="dxa"/>
                  <w:shd w:val="clear" w:color="auto" w:fill="auto"/>
                  <w:vAlign w:val="center"/>
                </w:tcPr>
                <w:p>
                  <w:pPr>
                    <w:jc w:val="center"/>
                    <w:rPr>
                      <w:rFonts w:cs="Times New Roman"/>
                      <w:bCs/>
                      <w:sz w:val="21"/>
                      <w:szCs w:val="21"/>
                    </w:rPr>
                  </w:pPr>
                  <w:r>
                    <w:rPr>
                      <w:rFonts w:cs="Times New Roman"/>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0.09</w:t>
                  </w:r>
                </w:p>
              </w:tc>
              <w:tc>
                <w:tcPr>
                  <w:tcW w:w="1087" w:type="dxa"/>
                  <w:shd w:val="clear" w:color="auto" w:fill="auto"/>
                  <w:vAlign w:val="center"/>
                </w:tcPr>
                <w:p>
                  <w:pPr>
                    <w:jc w:val="center"/>
                    <w:rPr>
                      <w:rFonts w:cs="Times New Roman"/>
                      <w:sz w:val="21"/>
                      <w:szCs w:val="21"/>
                    </w:rPr>
                  </w:pPr>
                  <w:r>
                    <w:rPr>
                      <w:rFonts w:cs="Times New Roman"/>
                      <w:sz w:val="21"/>
                      <w:szCs w:val="21"/>
                    </w:rPr>
                    <w:t>0.07</w:t>
                  </w:r>
                </w:p>
              </w:tc>
              <w:tc>
                <w:tcPr>
                  <w:tcW w:w="1087" w:type="dxa"/>
                  <w:shd w:val="clear" w:color="auto" w:fill="auto"/>
                  <w:vAlign w:val="center"/>
                </w:tcPr>
                <w:p>
                  <w:pPr>
                    <w:jc w:val="center"/>
                    <w:rPr>
                      <w:rFonts w:cs="Times New Roman"/>
                      <w:sz w:val="21"/>
                      <w:szCs w:val="21"/>
                    </w:rPr>
                  </w:pPr>
                  <w:r>
                    <w:rPr>
                      <w:rFonts w:cs="Times New Roman"/>
                      <w:sz w:val="21"/>
                      <w:szCs w:val="21"/>
                    </w:rPr>
                    <w:t>0.10</w:t>
                  </w:r>
                </w:p>
              </w:tc>
              <w:tc>
                <w:tcPr>
                  <w:tcW w:w="1088" w:type="dxa"/>
                  <w:shd w:val="clear" w:color="auto" w:fill="auto"/>
                  <w:vAlign w:val="center"/>
                </w:tcPr>
                <w:p>
                  <w:pPr>
                    <w:jc w:val="center"/>
                    <w:rPr>
                      <w:rFonts w:cs="Times New Roman"/>
                      <w:sz w:val="21"/>
                      <w:szCs w:val="21"/>
                    </w:rPr>
                  </w:pPr>
                  <w:r>
                    <w:rPr>
                      <w:rFonts w:cs="Times New Roman"/>
                      <w:sz w:val="21"/>
                      <w:szCs w:val="21"/>
                    </w:rPr>
                    <w:t>0.06</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0.10</w:t>
                  </w:r>
                </w:p>
              </w:tc>
              <w:tc>
                <w:tcPr>
                  <w:tcW w:w="1087" w:type="dxa"/>
                  <w:shd w:val="clear" w:color="auto" w:fill="auto"/>
                  <w:vAlign w:val="center"/>
                </w:tcPr>
                <w:p>
                  <w:pPr>
                    <w:jc w:val="center"/>
                    <w:rPr>
                      <w:rFonts w:cs="Times New Roman"/>
                      <w:sz w:val="21"/>
                      <w:szCs w:val="21"/>
                    </w:rPr>
                  </w:pPr>
                  <w:r>
                    <w:rPr>
                      <w:rFonts w:cs="Times New Roman"/>
                      <w:sz w:val="21"/>
                      <w:szCs w:val="21"/>
                    </w:rPr>
                    <w:t>0.09</w:t>
                  </w:r>
                </w:p>
              </w:tc>
              <w:tc>
                <w:tcPr>
                  <w:tcW w:w="1087" w:type="dxa"/>
                  <w:shd w:val="clear" w:color="auto" w:fill="auto"/>
                  <w:vAlign w:val="center"/>
                </w:tcPr>
                <w:p>
                  <w:pPr>
                    <w:jc w:val="center"/>
                    <w:rPr>
                      <w:rFonts w:cs="Times New Roman"/>
                      <w:sz w:val="21"/>
                      <w:szCs w:val="21"/>
                    </w:rPr>
                  </w:pPr>
                  <w:r>
                    <w:rPr>
                      <w:rFonts w:cs="Times New Roman"/>
                      <w:sz w:val="21"/>
                      <w:szCs w:val="21"/>
                    </w:rPr>
                    <w:t>0.06</w:t>
                  </w:r>
                </w:p>
              </w:tc>
              <w:tc>
                <w:tcPr>
                  <w:tcW w:w="1088" w:type="dxa"/>
                  <w:shd w:val="clear" w:color="auto" w:fill="auto"/>
                  <w:vAlign w:val="center"/>
                </w:tcPr>
                <w:p>
                  <w:pPr>
                    <w:jc w:val="center"/>
                    <w:rPr>
                      <w:rFonts w:cs="Times New Roman"/>
                      <w:sz w:val="21"/>
                      <w:szCs w:val="21"/>
                    </w:rPr>
                  </w:pPr>
                  <w:r>
                    <w:rPr>
                      <w:rFonts w:cs="Times New Roman"/>
                      <w:sz w:val="21"/>
                      <w:szCs w:val="21"/>
                    </w:rPr>
                    <w:t>0.08</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11月20日</w:t>
                  </w:r>
                </w:p>
              </w:tc>
              <w:tc>
                <w:tcPr>
                  <w:tcW w:w="1392" w:type="dxa"/>
                  <w:shd w:val="clear" w:color="auto" w:fill="auto"/>
                  <w:vAlign w:val="center"/>
                </w:tcPr>
                <w:p>
                  <w:pPr>
                    <w:jc w:val="center"/>
                    <w:rPr>
                      <w:rFonts w:cs="Times New Roman"/>
                      <w:bCs/>
                      <w:sz w:val="21"/>
                      <w:szCs w:val="21"/>
                    </w:rPr>
                  </w:pPr>
                  <w:r>
                    <w:rPr>
                      <w:rFonts w:cs="Times New Roman"/>
                      <w:bCs/>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0.09</w:t>
                  </w:r>
                </w:p>
              </w:tc>
              <w:tc>
                <w:tcPr>
                  <w:tcW w:w="1087" w:type="dxa"/>
                  <w:shd w:val="clear" w:color="auto" w:fill="auto"/>
                  <w:vAlign w:val="center"/>
                </w:tcPr>
                <w:p>
                  <w:pPr>
                    <w:jc w:val="center"/>
                    <w:rPr>
                      <w:rFonts w:cs="Times New Roman"/>
                      <w:sz w:val="21"/>
                      <w:szCs w:val="21"/>
                    </w:rPr>
                  </w:pPr>
                  <w:r>
                    <w:rPr>
                      <w:rFonts w:cs="Times New Roman"/>
                      <w:sz w:val="21"/>
                      <w:szCs w:val="21"/>
                    </w:rPr>
                    <w:t>0.08</w:t>
                  </w:r>
                </w:p>
              </w:tc>
              <w:tc>
                <w:tcPr>
                  <w:tcW w:w="1087" w:type="dxa"/>
                  <w:shd w:val="clear" w:color="auto" w:fill="auto"/>
                  <w:vAlign w:val="center"/>
                </w:tcPr>
                <w:p>
                  <w:pPr>
                    <w:jc w:val="center"/>
                    <w:rPr>
                      <w:rFonts w:cs="Times New Roman"/>
                      <w:sz w:val="21"/>
                      <w:szCs w:val="21"/>
                    </w:rPr>
                  </w:pPr>
                  <w:r>
                    <w:rPr>
                      <w:rFonts w:cs="Times New Roman"/>
                      <w:sz w:val="21"/>
                      <w:szCs w:val="21"/>
                    </w:rPr>
                    <w:t>0.10</w:t>
                  </w:r>
                </w:p>
              </w:tc>
              <w:tc>
                <w:tcPr>
                  <w:tcW w:w="1088" w:type="dxa"/>
                  <w:shd w:val="clear" w:color="auto" w:fill="auto"/>
                  <w:vAlign w:val="center"/>
                </w:tcPr>
                <w:p>
                  <w:pPr>
                    <w:jc w:val="center"/>
                    <w:rPr>
                      <w:rFonts w:cs="Times New Roman"/>
                      <w:sz w:val="21"/>
                      <w:szCs w:val="21"/>
                    </w:rPr>
                  </w:pPr>
                  <w:r>
                    <w:rPr>
                      <w:rFonts w:cs="Times New Roman"/>
                      <w:sz w:val="21"/>
                      <w:szCs w:val="21"/>
                    </w:rPr>
                    <w:t>0.06</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bCs/>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0.08</w:t>
                  </w:r>
                </w:p>
              </w:tc>
              <w:tc>
                <w:tcPr>
                  <w:tcW w:w="1087" w:type="dxa"/>
                  <w:shd w:val="clear" w:color="auto" w:fill="auto"/>
                  <w:vAlign w:val="center"/>
                </w:tcPr>
                <w:p>
                  <w:pPr>
                    <w:jc w:val="center"/>
                    <w:rPr>
                      <w:rFonts w:cs="Times New Roman"/>
                      <w:sz w:val="21"/>
                      <w:szCs w:val="21"/>
                    </w:rPr>
                  </w:pPr>
                  <w:r>
                    <w:rPr>
                      <w:rFonts w:cs="Times New Roman"/>
                      <w:sz w:val="21"/>
                      <w:szCs w:val="21"/>
                    </w:rPr>
                    <w:t>0.06</w:t>
                  </w:r>
                </w:p>
              </w:tc>
              <w:tc>
                <w:tcPr>
                  <w:tcW w:w="1087" w:type="dxa"/>
                  <w:shd w:val="clear" w:color="auto" w:fill="auto"/>
                  <w:vAlign w:val="center"/>
                </w:tcPr>
                <w:p>
                  <w:pPr>
                    <w:jc w:val="center"/>
                    <w:rPr>
                      <w:rFonts w:cs="Times New Roman"/>
                      <w:sz w:val="21"/>
                      <w:szCs w:val="21"/>
                    </w:rPr>
                  </w:pPr>
                  <w:r>
                    <w:rPr>
                      <w:rFonts w:cs="Times New Roman"/>
                      <w:sz w:val="21"/>
                      <w:szCs w:val="21"/>
                    </w:rPr>
                    <w:t>0.11</w:t>
                  </w:r>
                </w:p>
              </w:tc>
              <w:tc>
                <w:tcPr>
                  <w:tcW w:w="1088" w:type="dxa"/>
                  <w:shd w:val="clear" w:color="auto" w:fill="auto"/>
                  <w:vAlign w:val="center"/>
                </w:tcPr>
                <w:p>
                  <w:pPr>
                    <w:jc w:val="center"/>
                    <w:rPr>
                      <w:rFonts w:cs="Times New Roman"/>
                      <w:sz w:val="21"/>
                      <w:szCs w:val="21"/>
                    </w:rPr>
                  </w:pPr>
                  <w:r>
                    <w:rPr>
                      <w:rFonts w:cs="Times New Roman"/>
                      <w:sz w:val="21"/>
                      <w:szCs w:val="21"/>
                    </w:rPr>
                    <w:t>0.10</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11月21日</w:t>
                  </w:r>
                </w:p>
              </w:tc>
              <w:tc>
                <w:tcPr>
                  <w:tcW w:w="1392" w:type="dxa"/>
                  <w:shd w:val="clear" w:color="auto" w:fill="auto"/>
                  <w:vAlign w:val="center"/>
                </w:tcPr>
                <w:p>
                  <w:pPr>
                    <w:jc w:val="center"/>
                    <w:rPr>
                      <w:rFonts w:cs="Times New Roman"/>
                      <w:bCs/>
                      <w:sz w:val="21"/>
                      <w:szCs w:val="21"/>
                    </w:rPr>
                  </w:pPr>
                  <w:r>
                    <w:rPr>
                      <w:rFonts w:cs="Times New Roman"/>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0.06</w:t>
                  </w:r>
                </w:p>
              </w:tc>
              <w:tc>
                <w:tcPr>
                  <w:tcW w:w="1087" w:type="dxa"/>
                  <w:shd w:val="clear" w:color="auto" w:fill="auto"/>
                  <w:vAlign w:val="center"/>
                </w:tcPr>
                <w:p>
                  <w:pPr>
                    <w:jc w:val="center"/>
                    <w:rPr>
                      <w:rFonts w:cs="Times New Roman"/>
                      <w:sz w:val="21"/>
                      <w:szCs w:val="21"/>
                    </w:rPr>
                  </w:pPr>
                  <w:r>
                    <w:rPr>
                      <w:rFonts w:cs="Times New Roman"/>
                      <w:sz w:val="21"/>
                      <w:szCs w:val="21"/>
                    </w:rPr>
                    <w:t>0.04</w:t>
                  </w:r>
                </w:p>
              </w:tc>
              <w:tc>
                <w:tcPr>
                  <w:tcW w:w="1087" w:type="dxa"/>
                  <w:shd w:val="clear" w:color="auto" w:fill="auto"/>
                  <w:vAlign w:val="center"/>
                </w:tcPr>
                <w:p>
                  <w:pPr>
                    <w:jc w:val="center"/>
                    <w:rPr>
                      <w:rFonts w:cs="Times New Roman"/>
                      <w:sz w:val="21"/>
                      <w:szCs w:val="21"/>
                    </w:rPr>
                  </w:pPr>
                  <w:r>
                    <w:rPr>
                      <w:rFonts w:cs="Times New Roman"/>
                      <w:sz w:val="21"/>
                      <w:szCs w:val="21"/>
                    </w:rPr>
                    <w:t>0.09</w:t>
                  </w:r>
                </w:p>
              </w:tc>
              <w:tc>
                <w:tcPr>
                  <w:tcW w:w="1088" w:type="dxa"/>
                  <w:shd w:val="clear" w:color="auto" w:fill="auto"/>
                  <w:vAlign w:val="center"/>
                </w:tcPr>
                <w:p>
                  <w:pPr>
                    <w:jc w:val="center"/>
                    <w:rPr>
                      <w:rFonts w:cs="Times New Roman"/>
                      <w:sz w:val="21"/>
                      <w:szCs w:val="21"/>
                    </w:rPr>
                  </w:pPr>
                  <w:r>
                    <w:rPr>
                      <w:rFonts w:cs="Times New Roman"/>
                      <w:sz w:val="21"/>
                      <w:szCs w:val="21"/>
                    </w:rPr>
                    <w:t>0.08</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0.05</w:t>
                  </w:r>
                </w:p>
              </w:tc>
              <w:tc>
                <w:tcPr>
                  <w:tcW w:w="1087" w:type="dxa"/>
                  <w:shd w:val="clear" w:color="auto" w:fill="auto"/>
                  <w:vAlign w:val="center"/>
                </w:tcPr>
                <w:p>
                  <w:pPr>
                    <w:jc w:val="center"/>
                    <w:rPr>
                      <w:rFonts w:cs="Times New Roman"/>
                      <w:sz w:val="21"/>
                      <w:szCs w:val="21"/>
                    </w:rPr>
                  </w:pPr>
                  <w:r>
                    <w:rPr>
                      <w:rFonts w:cs="Times New Roman"/>
                      <w:sz w:val="21"/>
                      <w:szCs w:val="21"/>
                    </w:rPr>
                    <w:t>0.07</w:t>
                  </w:r>
                </w:p>
              </w:tc>
              <w:tc>
                <w:tcPr>
                  <w:tcW w:w="1087" w:type="dxa"/>
                  <w:shd w:val="clear" w:color="auto" w:fill="auto"/>
                  <w:vAlign w:val="center"/>
                </w:tcPr>
                <w:p>
                  <w:pPr>
                    <w:jc w:val="center"/>
                    <w:rPr>
                      <w:rFonts w:cs="Times New Roman"/>
                      <w:sz w:val="21"/>
                      <w:szCs w:val="21"/>
                    </w:rPr>
                  </w:pPr>
                  <w:r>
                    <w:rPr>
                      <w:rFonts w:cs="Times New Roman"/>
                      <w:sz w:val="21"/>
                      <w:szCs w:val="21"/>
                    </w:rPr>
                    <w:t>0.10</w:t>
                  </w:r>
                </w:p>
              </w:tc>
              <w:tc>
                <w:tcPr>
                  <w:tcW w:w="1088" w:type="dxa"/>
                  <w:shd w:val="clear" w:color="auto" w:fill="auto"/>
                  <w:vAlign w:val="center"/>
                </w:tcPr>
                <w:p>
                  <w:pPr>
                    <w:jc w:val="center"/>
                    <w:rPr>
                      <w:rFonts w:cs="Times New Roman"/>
                      <w:sz w:val="21"/>
                      <w:szCs w:val="21"/>
                    </w:rPr>
                  </w:pPr>
                  <w:r>
                    <w:rPr>
                      <w:rFonts w:cs="Times New Roman"/>
                      <w:sz w:val="21"/>
                      <w:szCs w:val="21"/>
                    </w:rPr>
                    <w:t>0.12</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11月22日</w:t>
                  </w:r>
                </w:p>
              </w:tc>
              <w:tc>
                <w:tcPr>
                  <w:tcW w:w="1392" w:type="dxa"/>
                  <w:shd w:val="clear" w:color="auto" w:fill="auto"/>
                  <w:vAlign w:val="center"/>
                </w:tcPr>
                <w:p>
                  <w:pPr>
                    <w:jc w:val="center"/>
                    <w:rPr>
                      <w:rFonts w:cs="Times New Roman"/>
                      <w:bCs/>
                      <w:sz w:val="21"/>
                      <w:szCs w:val="21"/>
                    </w:rPr>
                  </w:pPr>
                  <w:r>
                    <w:rPr>
                      <w:rFonts w:cs="Times New Roman"/>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0.06</w:t>
                  </w:r>
                </w:p>
              </w:tc>
              <w:tc>
                <w:tcPr>
                  <w:tcW w:w="1087" w:type="dxa"/>
                  <w:shd w:val="clear" w:color="auto" w:fill="auto"/>
                  <w:vAlign w:val="center"/>
                </w:tcPr>
                <w:p>
                  <w:pPr>
                    <w:jc w:val="center"/>
                    <w:rPr>
                      <w:rFonts w:cs="Times New Roman"/>
                      <w:sz w:val="21"/>
                      <w:szCs w:val="21"/>
                    </w:rPr>
                  </w:pPr>
                  <w:r>
                    <w:rPr>
                      <w:rFonts w:cs="Times New Roman"/>
                      <w:sz w:val="21"/>
                      <w:szCs w:val="21"/>
                    </w:rPr>
                    <w:t>0.11</w:t>
                  </w:r>
                </w:p>
              </w:tc>
              <w:tc>
                <w:tcPr>
                  <w:tcW w:w="1087" w:type="dxa"/>
                  <w:shd w:val="clear" w:color="auto" w:fill="auto"/>
                  <w:vAlign w:val="center"/>
                </w:tcPr>
                <w:p>
                  <w:pPr>
                    <w:jc w:val="center"/>
                    <w:rPr>
                      <w:rFonts w:cs="Times New Roman"/>
                      <w:sz w:val="21"/>
                      <w:szCs w:val="21"/>
                    </w:rPr>
                  </w:pPr>
                  <w:r>
                    <w:rPr>
                      <w:rFonts w:cs="Times New Roman"/>
                      <w:sz w:val="21"/>
                      <w:szCs w:val="21"/>
                    </w:rPr>
                    <w:t>0.09</w:t>
                  </w:r>
                </w:p>
              </w:tc>
              <w:tc>
                <w:tcPr>
                  <w:tcW w:w="1088" w:type="dxa"/>
                  <w:shd w:val="clear" w:color="auto" w:fill="auto"/>
                  <w:vAlign w:val="center"/>
                </w:tcPr>
                <w:p>
                  <w:pPr>
                    <w:jc w:val="center"/>
                    <w:rPr>
                      <w:rFonts w:cs="Times New Roman"/>
                      <w:sz w:val="21"/>
                      <w:szCs w:val="21"/>
                    </w:rPr>
                  </w:pPr>
                  <w:r>
                    <w:rPr>
                      <w:rFonts w:cs="Times New Roman"/>
                      <w:sz w:val="21"/>
                      <w:szCs w:val="21"/>
                    </w:rPr>
                    <w:t>0.06</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0.05</w:t>
                  </w:r>
                </w:p>
              </w:tc>
              <w:tc>
                <w:tcPr>
                  <w:tcW w:w="1087" w:type="dxa"/>
                  <w:shd w:val="clear" w:color="auto" w:fill="auto"/>
                  <w:vAlign w:val="center"/>
                </w:tcPr>
                <w:p>
                  <w:pPr>
                    <w:jc w:val="center"/>
                    <w:rPr>
                      <w:rFonts w:cs="Times New Roman"/>
                      <w:sz w:val="21"/>
                      <w:szCs w:val="21"/>
                    </w:rPr>
                  </w:pPr>
                  <w:r>
                    <w:rPr>
                      <w:rFonts w:cs="Times New Roman"/>
                      <w:sz w:val="21"/>
                      <w:szCs w:val="21"/>
                    </w:rPr>
                    <w:t>0.08</w:t>
                  </w:r>
                </w:p>
              </w:tc>
              <w:tc>
                <w:tcPr>
                  <w:tcW w:w="1087" w:type="dxa"/>
                  <w:shd w:val="clear" w:color="auto" w:fill="auto"/>
                  <w:vAlign w:val="center"/>
                </w:tcPr>
                <w:p>
                  <w:pPr>
                    <w:jc w:val="center"/>
                    <w:rPr>
                      <w:rFonts w:cs="Times New Roman"/>
                      <w:sz w:val="21"/>
                      <w:szCs w:val="21"/>
                    </w:rPr>
                  </w:pPr>
                  <w:r>
                    <w:rPr>
                      <w:rFonts w:cs="Times New Roman"/>
                      <w:sz w:val="21"/>
                      <w:szCs w:val="21"/>
                    </w:rPr>
                    <w:t>0.06</w:t>
                  </w:r>
                </w:p>
              </w:tc>
              <w:tc>
                <w:tcPr>
                  <w:tcW w:w="1088" w:type="dxa"/>
                  <w:shd w:val="clear" w:color="auto" w:fill="auto"/>
                  <w:vAlign w:val="center"/>
                </w:tcPr>
                <w:p>
                  <w:pPr>
                    <w:jc w:val="center"/>
                    <w:rPr>
                      <w:rFonts w:cs="Times New Roman"/>
                      <w:sz w:val="21"/>
                      <w:szCs w:val="21"/>
                    </w:rPr>
                  </w:pPr>
                  <w:r>
                    <w:rPr>
                      <w:rFonts w:cs="Times New Roman"/>
                      <w:sz w:val="21"/>
                      <w:szCs w:val="21"/>
                    </w:rPr>
                    <w:t>0.06</w:t>
                  </w:r>
                </w:p>
              </w:tc>
              <w:tc>
                <w:tcPr>
                  <w:tcW w:w="985" w:type="dxa"/>
                  <w:shd w:val="clear" w:color="auto" w:fill="auto"/>
                  <w:vAlign w:val="center"/>
                </w:tcPr>
                <w:p>
                  <w:pPr>
                    <w:jc w:val="center"/>
                    <w:rPr>
                      <w:rFonts w:cs="Times New Roman"/>
                      <w:bCs/>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11月23日</w:t>
                  </w:r>
                </w:p>
              </w:tc>
              <w:tc>
                <w:tcPr>
                  <w:tcW w:w="1392" w:type="dxa"/>
                  <w:shd w:val="clear" w:color="auto" w:fill="auto"/>
                  <w:vAlign w:val="center"/>
                </w:tcPr>
                <w:p>
                  <w:pPr>
                    <w:jc w:val="center"/>
                    <w:rPr>
                      <w:rFonts w:cs="Times New Roman"/>
                      <w:bCs/>
                      <w:sz w:val="21"/>
                      <w:szCs w:val="21"/>
                    </w:rPr>
                  </w:pPr>
                  <w:r>
                    <w:rPr>
                      <w:rFonts w:cs="Times New Roman"/>
                      <w:bCs/>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0.09</w:t>
                  </w:r>
                </w:p>
              </w:tc>
              <w:tc>
                <w:tcPr>
                  <w:tcW w:w="1087" w:type="dxa"/>
                  <w:shd w:val="clear" w:color="auto" w:fill="auto"/>
                  <w:vAlign w:val="center"/>
                </w:tcPr>
                <w:p>
                  <w:pPr>
                    <w:jc w:val="center"/>
                    <w:rPr>
                      <w:rFonts w:cs="Times New Roman"/>
                      <w:sz w:val="21"/>
                      <w:szCs w:val="21"/>
                    </w:rPr>
                  </w:pPr>
                  <w:r>
                    <w:rPr>
                      <w:rFonts w:cs="Times New Roman"/>
                      <w:sz w:val="21"/>
                      <w:szCs w:val="21"/>
                    </w:rPr>
                    <w:t>0.08</w:t>
                  </w:r>
                </w:p>
              </w:tc>
              <w:tc>
                <w:tcPr>
                  <w:tcW w:w="1087" w:type="dxa"/>
                  <w:shd w:val="clear" w:color="auto" w:fill="auto"/>
                  <w:vAlign w:val="center"/>
                </w:tcPr>
                <w:p>
                  <w:pPr>
                    <w:jc w:val="center"/>
                    <w:rPr>
                      <w:rFonts w:cs="Times New Roman"/>
                      <w:sz w:val="21"/>
                      <w:szCs w:val="21"/>
                    </w:rPr>
                  </w:pPr>
                  <w:r>
                    <w:rPr>
                      <w:rFonts w:cs="Times New Roman"/>
                      <w:sz w:val="21"/>
                      <w:szCs w:val="21"/>
                    </w:rPr>
                    <w:t>0.12</w:t>
                  </w:r>
                </w:p>
              </w:tc>
              <w:tc>
                <w:tcPr>
                  <w:tcW w:w="1088" w:type="dxa"/>
                  <w:shd w:val="clear" w:color="auto" w:fill="auto"/>
                  <w:vAlign w:val="center"/>
                </w:tcPr>
                <w:p>
                  <w:pPr>
                    <w:jc w:val="center"/>
                    <w:rPr>
                      <w:rFonts w:cs="Times New Roman"/>
                      <w:sz w:val="21"/>
                      <w:szCs w:val="21"/>
                    </w:rPr>
                  </w:pPr>
                  <w:r>
                    <w:rPr>
                      <w:rFonts w:cs="Times New Roman"/>
                      <w:sz w:val="21"/>
                      <w:szCs w:val="21"/>
                    </w:rPr>
                    <w:t>0.10</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bCs/>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0.10</w:t>
                  </w:r>
                </w:p>
              </w:tc>
              <w:tc>
                <w:tcPr>
                  <w:tcW w:w="1087" w:type="dxa"/>
                  <w:shd w:val="clear" w:color="auto" w:fill="auto"/>
                  <w:vAlign w:val="center"/>
                </w:tcPr>
                <w:p>
                  <w:pPr>
                    <w:jc w:val="center"/>
                    <w:rPr>
                      <w:rFonts w:cs="Times New Roman"/>
                      <w:sz w:val="21"/>
                      <w:szCs w:val="21"/>
                    </w:rPr>
                  </w:pPr>
                  <w:r>
                    <w:rPr>
                      <w:rFonts w:cs="Times New Roman"/>
                      <w:sz w:val="21"/>
                      <w:szCs w:val="21"/>
                    </w:rPr>
                    <w:t>0.09</w:t>
                  </w:r>
                </w:p>
              </w:tc>
              <w:tc>
                <w:tcPr>
                  <w:tcW w:w="1087" w:type="dxa"/>
                  <w:shd w:val="clear" w:color="auto" w:fill="auto"/>
                  <w:vAlign w:val="center"/>
                </w:tcPr>
                <w:p>
                  <w:pPr>
                    <w:jc w:val="center"/>
                    <w:rPr>
                      <w:rFonts w:cs="Times New Roman"/>
                      <w:sz w:val="21"/>
                      <w:szCs w:val="21"/>
                    </w:rPr>
                  </w:pPr>
                  <w:r>
                    <w:rPr>
                      <w:rFonts w:cs="Times New Roman"/>
                      <w:sz w:val="21"/>
                      <w:szCs w:val="21"/>
                    </w:rPr>
                    <w:t>0.13</w:t>
                  </w:r>
                </w:p>
              </w:tc>
              <w:tc>
                <w:tcPr>
                  <w:tcW w:w="1088" w:type="dxa"/>
                  <w:shd w:val="clear" w:color="auto" w:fill="auto"/>
                  <w:vAlign w:val="center"/>
                </w:tcPr>
                <w:p>
                  <w:pPr>
                    <w:jc w:val="center"/>
                    <w:rPr>
                      <w:rFonts w:cs="Times New Roman"/>
                      <w:sz w:val="21"/>
                      <w:szCs w:val="21"/>
                    </w:rPr>
                  </w:pPr>
                  <w:r>
                    <w:rPr>
                      <w:rFonts w:cs="Times New Roman"/>
                      <w:sz w:val="21"/>
                      <w:szCs w:val="21"/>
                    </w:rPr>
                    <w:t>0.12</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restart"/>
                  <w:shd w:val="clear" w:color="auto" w:fill="auto"/>
                  <w:vAlign w:val="center"/>
                </w:tcPr>
                <w:p>
                  <w:pPr>
                    <w:jc w:val="center"/>
                    <w:rPr>
                      <w:rFonts w:cs="Times New Roman"/>
                      <w:bCs/>
                      <w:sz w:val="21"/>
                      <w:szCs w:val="21"/>
                    </w:rPr>
                  </w:pPr>
                  <w:r>
                    <w:rPr>
                      <w:rFonts w:cs="Times New Roman"/>
                      <w:bCs/>
                      <w:sz w:val="21"/>
                      <w:szCs w:val="21"/>
                    </w:rPr>
                    <w:t>11月24日</w:t>
                  </w:r>
                </w:p>
              </w:tc>
              <w:tc>
                <w:tcPr>
                  <w:tcW w:w="1392" w:type="dxa"/>
                  <w:shd w:val="clear" w:color="auto" w:fill="auto"/>
                  <w:vAlign w:val="center"/>
                </w:tcPr>
                <w:p>
                  <w:pPr>
                    <w:jc w:val="center"/>
                    <w:rPr>
                      <w:rFonts w:cs="Times New Roman"/>
                      <w:bCs/>
                      <w:sz w:val="21"/>
                      <w:szCs w:val="21"/>
                    </w:rPr>
                  </w:pPr>
                  <w:r>
                    <w:rPr>
                      <w:rFonts w:cs="Times New Roman"/>
                      <w:bCs/>
                      <w:sz w:val="21"/>
                      <w:szCs w:val="21"/>
                    </w:rPr>
                    <w:t>1#</w:t>
                  </w:r>
                </w:p>
              </w:tc>
              <w:tc>
                <w:tcPr>
                  <w:tcW w:w="1087" w:type="dxa"/>
                  <w:shd w:val="clear" w:color="auto" w:fill="auto"/>
                  <w:vAlign w:val="center"/>
                </w:tcPr>
                <w:p>
                  <w:pPr>
                    <w:jc w:val="center"/>
                    <w:rPr>
                      <w:rFonts w:cs="Times New Roman"/>
                      <w:sz w:val="21"/>
                      <w:szCs w:val="21"/>
                    </w:rPr>
                  </w:pPr>
                  <w:r>
                    <w:rPr>
                      <w:rFonts w:cs="Times New Roman"/>
                      <w:sz w:val="21"/>
                      <w:szCs w:val="21"/>
                    </w:rPr>
                    <w:t>0.11</w:t>
                  </w:r>
                </w:p>
              </w:tc>
              <w:tc>
                <w:tcPr>
                  <w:tcW w:w="1087" w:type="dxa"/>
                  <w:shd w:val="clear" w:color="auto" w:fill="auto"/>
                  <w:vAlign w:val="center"/>
                </w:tcPr>
                <w:p>
                  <w:pPr>
                    <w:jc w:val="center"/>
                    <w:rPr>
                      <w:rFonts w:cs="Times New Roman"/>
                      <w:sz w:val="21"/>
                      <w:szCs w:val="21"/>
                    </w:rPr>
                  </w:pPr>
                  <w:r>
                    <w:rPr>
                      <w:rFonts w:cs="Times New Roman"/>
                      <w:sz w:val="21"/>
                      <w:szCs w:val="21"/>
                    </w:rPr>
                    <w:t>0.07</w:t>
                  </w:r>
                </w:p>
              </w:tc>
              <w:tc>
                <w:tcPr>
                  <w:tcW w:w="1087" w:type="dxa"/>
                  <w:shd w:val="clear" w:color="auto" w:fill="auto"/>
                  <w:vAlign w:val="center"/>
                </w:tcPr>
                <w:p>
                  <w:pPr>
                    <w:jc w:val="center"/>
                    <w:rPr>
                      <w:rFonts w:cs="Times New Roman"/>
                      <w:sz w:val="21"/>
                      <w:szCs w:val="21"/>
                    </w:rPr>
                  </w:pPr>
                  <w:r>
                    <w:rPr>
                      <w:rFonts w:cs="Times New Roman"/>
                      <w:sz w:val="21"/>
                      <w:szCs w:val="21"/>
                    </w:rPr>
                    <w:t>0.08</w:t>
                  </w:r>
                </w:p>
              </w:tc>
              <w:tc>
                <w:tcPr>
                  <w:tcW w:w="1088" w:type="dxa"/>
                  <w:shd w:val="clear" w:color="auto" w:fill="auto"/>
                  <w:vAlign w:val="center"/>
                </w:tcPr>
                <w:p>
                  <w:pPr>
                    <w:jc w:val="center"/>
                    <w:rPr>
                      <w:rFonts w:cs="Times New Roman"/>
                      <w:sz w:val="21"/>
                      <w:szCs w:val="21"/>
                    </w:rPr>
                  </w:pPr>
                  <w:r>
                    <w:rPr>
                      <w:rFonts w:cs="Times New Roman"/>
                      <w:sz w:val="21"/>
                      <w:szCs w:val="21"/>
                    </w:rPr>
                    <w:t>0.09</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0" w:type="dxa"/>
                  <w:vMerge w:val="continue"/>
                  <w:shd w:val="clear" w:color="auto" w:fill="auto"/>
                  <w:vAlign w:val="center"/>
                </w:tcPr>
                <w:p>
                  <w:pPr>
                    <w:jc w:val="center"/>
                    <w:rPr>
                      <w:rFonts w:cs="Times New Roman"/>
                      <w:bCs/>
                      <w:sz w:val="21"/>
                      <w:szCs w:val="21"/>
                    </w:rPr>
                  </w:pPr>
                </w:p>
              </w:tc>
              <w:tc>
                <w:tcPr>
                  <w:tcW w:w="1318" w:type="dxa"/>
                  <w:vMerge w:val="continue"/>
                  <w:shd w:val="clear" w:color="auto" w:fill="auto"/>
                  <w:vAlign w:val="center"/>
                </w:tcPr>
                <w:p>
                  <w:pPr>
                    <w:jc w:val="center"/>
                    <w:rPr>
                      <w:rFonts w:cs="Times New Roman"/>
                      <w:bCs/>
                      <w:sz w:val="21"/>
                      <w:szCs w:val="21"/>
                    </w:rPr>
                  </w:pPr>
                </w:p>
              </w:tc>
              <w:tc>
                <w:tcPr>
                  <w:tcW w:w="1392" w:type="dxa"/>
                  <w:shd w:val="clear" w:color="auto" w:fill="auto"/>
                  <w:vAlign w:val="center"/>
                </w:tcPr>
                <w:p>
                  <w:pPr>
                    <w:jc w:val="center"/>
                    <w:rPr>
                      <w:rFonts w:cs="Times New Roman"/>
                      <w:bCs/>
                      <w:sz w:val="21"/>
                      <w:szCs w:val="21"/>
                    </w:rPr>
                  </w:pPr>
                  <w:r>
                    <w:rPr>
                      <w:rFonts w:cs="Times New Roman"/>
                      <w:bCs/>
                      <w:sz w:val="21"/>
                      <w:szCs w:val="21"/>
                    </w:rPr>
                    <w:t>2#</w:t>
                  </w:r>
                </w:p>
              </w:tc>
              <w:tc>
                <w:tcPr>
                  <w:tcW w:w="1087" w:type="dxa"/>
                  <w:shd w:val="clear" w:color="auto" w:fill="auto"/>
                  <w:vAlign w:val="center"/>
                </w:tcPr>
                <w:p>
                  <w:pPr>
                    <w:jc w:val="center"/>
                    <w:rPr>
                      <w:rFonts w:cs="Times New Roman"/>
                      <w:sz w:val="21"/>
                      <w:szCs w:val="21"/>
                    </w:rPr>
                  </w:pPr>
                  <w:r>
                    <w:rPr>
                      <w:rFonts w:cs="Times New Roman"/>
                      <w:sz w:val="21"/>
                      <w:szCs w:val="21"/>
                    </w:rPr>
                    <w:t>0.11</w:t>
                  </w:r>
                </w:p>
              </w:tc>
              <w:tc>
                <w:tcPr>
                  <w:tcW w:w="1087" w:type="dxa"/>
                  <w:shd w:val="clear" w:color="auto" w:fill="auto"/>
                  <w:vAlign w:val="center"/>
                </w:tcPr>
                <w:p>
                  <w:pPr>
                    <w:jc w:val="center"/>
                    <w:rPr>
                      <w:rFonts w:cs="Times New Roman"/>
                      <w:sz w:val="21"/>
                      <w:szCs w:val="21"/>
                    </w:rPr>
                  </w:pPr>
                  <w:r>
                    <w:rPr>
                      <w:rFonts w:cs="Times New Roman"/>
                      <w:sz w:val="21"/>
                      <w:szCs w:val="21"/>
                    </w:rPr>
                    <w:t>0.09</w:t>
                  </w:r>
                </w:p>
              </w:tc>
              <w:tc>
                <w:tcPr>
                  <w:tcW w:w="1087" w:type="dxa"/>
                  <w:shd w:val="clear" w:color="auto" w:fill="auto"/>
                  <w:vAlign w:val="center"/>
                </w:tcPr>
                <w:p>
                  <w:pPr>
                    <w:jc w:val="center"/>
                    <w:rPr>
                      <w:rFonts w:cs="Times New Roman"/>
                      <w:sz w:val="21"/>
                      <w:szCs w:val="21"/>
                    </w:rPr>
                  </w:pPr>
                  <w:r>
                    <w:rPr>
                      <w:rFonts w:cs="Times New Roman"/>
                      <w:sz w:val="21"/>
                      <w:szCs w:val="21"/>
                    </w:rPr>
                    <w:t>0.07</w:t>
                  </w:r>
                </w:p>
              </w:tc>
              <w:tc>
                <w:tcPr>
                  <w:tcW w:w="1088" w:type="dxa"/>
                  <w:shd w:val="clear" w:color="auto" w:fill="auto"/>
                  <w:vAlign w:val="center"/>
                </w:tcPr>
                <w:p>
                  <w:pPr>
                    <w:jc w:val="center"/>
                    <w:rPr>
                      <w:rFonts w:cs="Times New Roman"/>
                      <w:sz w:val="21"/>
                      <w:szCs w:val="21"/>
                    </w:rPr>
                  </w:pPr>
                  <w:r>
                    <w:rPr>
                      <w:rFonts w:cs="Times New Roman"/>
                      <w:sz w:val="21"/>
                      <w:szCs w:val="21"/>
                    </w:rPr>
                    <w:t>0.07</w:t>
                  </w:r>
                </w:p>
              </w:tc>
              <w:tc>
                <w:tcPr>
                  <w:tcW w:w="985" w:type="dxa"/>
                  <w:shd w:val="clear" w:color="auto" w:fill="auto"/>
                  <w:vAlign w:val="center"/>
                </w:tcPr>
                <w:p>
                  <w:pPr>
                    <w:jc w:val="center"/>
                    <w:rPr>
                      <w:rFonts w:cs="Times New Roman"/>
                      <w:bCs/>
                      <w:sz w:val="21"/>
                      <w:szCs w:val="21"/>
                    </w:rPr>
                  </w:pPr>
                  <w:r>
                    <w:rPr>
                      <w:rFonts w:cs="Times New Roman"/>
                      <w:bCs/>
                      <w:sz w:val="21"/>
                      <w:szCs w:val="21"/>
                    </w:rPr>
                    <w:t>/</w:t>
                  </w:r>
                </w:p>
              </w:tc>
            </w:tr>
          </w:tbl>
          <w:p>
            <w:pPr>
              <w:snapToGrid w:val="0"/>
              <w:spacing w:line="360" w:lineRule="auto"/>
              <w:ind w:firstLine="482"/>
              <w:rPr>
                <w:bCs/>
              </w:rPr>
            </w:pPr>
            <w:r>
              <w:rPr>
                <w:rFonts w:hint="eastAsia"/>
                <w:bCs/>
              </w:rPr>
              <w:t>（5）</w:t>
            </w:r>
            <w:r>
              <w:rPr>
                <w:bCs/>
              </w:rPr>
              <w:t>评价方法</w:t>
            </w:r>
          </w:p>
          <w:p>
            <w:pPr>
              <w:spacing w:line="360" w:lineRule="auto"/>
              <w:ind w:firstLine="480"/>
            </w:pPr>
            <w:r>
              <w:rPr>
                <w:rFonts w:hint="eastAsia" w:cs="Times New Roman"/>
              </w:rPr>
              <w:t>评价方法按照《环境影响评价技术导则—大气环境》（HJ2.2-2018）中的技术要求进行。</w:t>
            </w:r>
          </w:p>
          <w:p>
            <w:pPr>
              <w:snapToGrid w:val="0"/>
              <w:spacing w:line="360" w:lineRule="auto"/>
              <w:ind w:left="480"/>
            </w:pPr>
            <w:r>
              <w:rPr>
                <w:rFonts w:hint="eastAsia"/>
              </w:rPr>
              <w:t>（6）</w:t>
            </w:r>
            <w:r>
              <w:t>评价结果</w:t>
            </w:r>
          </w:p>
          <w:p>
            <w:pPr>
              <w:spacing w:line="360" w:lineRule="auto"/>
              <w:ind w:firstLine="480"/>
              <w:rPr>
                <w:bCs/>
              </w:rPr>
            </w:pPr>
            <w:r>
              <w:t>项目区环境空气质量现状评价结果见下表</w:t>
            </w:r>
            <w:r>
              <w:rPr>
                <w:b/>
                <w:sz w:val="21"/>
                <w:szCs w:val="21"/>
              </w:rPr>
              <w:t>：</w:t>
            </w:r>
          </w:p>
          <w:p>
            <w:pPr>
              <w:adjustRightInd w:val="0"/>
              <w:snapToGrid w:val="0"/>
              <w:jc w:val="center"/>
              <w:rPr>
                <w:rFonts w:cs="Times New Roman"/>
                <w:b/>
                <w:szCs w:val="24"/>
              </w:rPr>
            </w:pPr>
            <w:r>
              <w:rPr>
                <w:rFonts w:cs="Times New Roman"/>
                <w:b/>
                <w:szCs w:val="24"/>
              </w:rPr>
              <w:t>表3-4  项目所在区域其他污染物现状监测统计及评价结果</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1282"/>
              <w:gridCol w:w="1402"/>
              <w:gridCol w:w="1767"/>
              <w:gridCol w:w="1442"/>
              <w:gridCol w:w="1049"/>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548" w:type="pct"/>
                  <w:vMerge w:val="restart"/>
                  <w:vAlign w:val="center"/>
                </w:tcPr>
                <w:p>
                  <w:pPr>
                    <w:jc w:val="center"/>
                    <w:rPr>
                      <w:b/>
                      <w:bCs/>
                      <w:sz w:val="21"/>
                      <w:szCs w:val="21"/>
                    </w:rPr>
                  </w:pPr>
                  <w:r>
                    <w:rPr>
                      <w:rFonts w:hint="eastAsia"/>
                      <w:b/>
                      <w:bCs/>
                      <w:sz w:val="21"/>
                      <w:szCs w:val="21"/>
                    </w:rPr>
                    <w:t>污染物</w:t>
                  </w:r>
                </w:p>
              </w:tc>
              <w:tc>
                <w:tcPr>
                  <w:tcW w:w="699" w:type="pct"/>
                  <w:vMerge w:val="restart"/>
                  <w:vAlign w:val="center"/>
                </w:tcPr>
                <w:p>
                  <w:pPr>
                    <w:jc w:val="center"/>
                    <w:rPr>
                      <w:b/>
                      <w:bCs/>
                      <w:sz w:val="21"/>
                      <w:szCs w:val="21"/>
                    </w:rPr>
                  </w:pPr>
                  <w:r>
                    <w:rPr>
                      <w:rFonts w:hint="eastAsia"/>
                      <w:b/>
                      <w:bCs/>
                      <w:sz w:val="21"/>
                      <w:szCs w:val="21"/>
                    </w:rPr>
                    <w:t>平均时间</w:t>
                  </w:r>
                </w:p>
              </w:tc>
              <w:tc>
                <w:tcPr>
                  <w:tcW w:w="764" w:type="pct"/>
                  <w:vMerge w:val="restart"/>
                  <w:vAlign w:val="center"/>
                </w:tcPr>
                <w:p>
                  <w:pPr>
                    <w:jc w:val="center"/>
                    <w:rPr>
                      <w:b/>
                      <w:bCs/>
                      <w:sz w:val="21"/>
                      <w:szCs w:val="21"/>
                    </w:rPr>
                  </w:pPr>
                  <w:r>
                    <w:rPr>
                      <w:rFonts w:hint="eastAsia"/>
                      <w:b/>
                      <w:bCs/>
                      <w:sz w:val="21"/>
                      <w:szCs w:val="21"/>
                    </w:rPr>
                    <w:t>评价标准</w:t>
                  </w:r>
                  <w:r>
                    <w:rPr>
                      <w:b/>
                      <w:bCs/>
                      <w:sz w:val="21"/>
                      <w:szCs w:val="21"/>
                    </w:rPr>
                    <w:t>（</w:t>
                  </w:r>
                  <w:r>
                    <w:rPr>
                      <w:sz w:val="21"/>
                      <w:szCs w:val="21"/>
                    </w:rPr>
                    <w:t>mg/m</w:t>
                  </w:r>
                  <w:r>
                    <w:rPr>
                      <w:sz w:val="21"/>
                      <w:szCs w:val="21"/>
                      <w:vertAlign w:val="superscript"/>
                    </w:rPr>
                    <w:t>3</w:t>
                  </w:r>
                  <w:r>
                    <w:rPr>
                      <w:b/>
                      <w:bCs/>
                      <w:sz w:val="21"/>
                      <w:szCs w:val="21"/>
                    </w:rPr>
                    <w:t>）</w:t>
                  </w:r>
                </w:p>
              </w:tc>
              <w:tc>
                <w:tcPr>
                  <w:tcW w:w="963" w:type="pct"/>
                  <w:vMerge w:val="restart"/>
                  <w:vAlign w:val="center"/>
                </w:tcPr>
                <w:p>
                  <w:pPr>
                    <w:jc w:val="center"/>
                    <w:rPr>
                      <w:b/>
                      <w:bCs/>
                      <w:sz w:val="21"/>
                      <w:szCs w:val="21"/>
                    </w:rPr>
                  </w:pPr>
                  <w:r>
                    <w:rPr>
                      <w:rFonts w:hint="eastAsia"/>
                      <w:b/>
                      <w:bCs/>
                      <w:sz w:val="21"/>
                      <w:szCs w:val="21"/>
                    </w:rPr>
                    <w:t>监测</w:t>
                  </w:r>
                  <w:r>
                    <w:rPr>
                      <w:b/>
                      <w:bCs/>
                      <w:sz w:val="21"/>
                      <w:szCs w:val="21"/>
                    </w:rPr>
                    <w:t>浓度范围（</w:t>
                  </w:r>
                  <w:r>
                    <w:rPr>
                      <w:sz w:val="21"/>
                      <w:szCs w:val="21"/>
                    </w:rPr>
                    <w:t>mg/m</w:t>
                  </w:r>
                  <w:r>
                    <w:rPr>
                      <w:sz w:val="21"/>
                      <w:szCs w:val="21"/>
                      <w:vertAlign w:val="superscript"/>
                    </w:rPr>
                    <w:t>3</w:t>
                  </w:r>
                  <w:r>
                    <w:rPr>
                      <w:b/>
                      <w:bCs/>
                      <w:sz w:val="21"/>
                      <w:szCs w:val="21"/>
                    </w:rPr>
                    <w:t>）</w:t>
                  </w:r>
                </w:p>
              </w:tc>
              <w:tc>
                <w:tcPr>
                  <w:tcW w:w="786" w:type="pct"/>
                  <w:vMerge w:val="restart"/>
                  <w:vAlign w:val="center"/>
                </w:tcPr>
                <w:p>
                  <w:pPr>
                    <w:jc w:val="center"/>
                    <w:rPr>
                      <w:b/>
                      <w:bCs/>
                      <w:sz w:val="21"/>
                      <w:szCs w:val="21"/>
                    </w:rPr>
                  </w:pPr>
                  <w:r>
                    <w:rPr>
                      <w:b/>
                      <w:bCs/>
                      <w:sz w:val="21"/>
                      <w:szCs w:val="21"/>
                    </w:rPr>
                    <w:t>最大浓度占标率（%</w:t>
                  </w:r>
                  <w:r>
                    <w:rPr>
                      <w:rFonts w:ascii="宋体" w:hAnsi="宋体"/>
                      <w:b/>
                      <w:bCs/>
                      <w:sz w:val="21"/>
                      <w:szCs w:val="21"/>
                    </w:rPr>
                    <w:t>）</w:t>
                  </w:r>
                </w:p>
              </w:tc>
              <w:tc>
                <w:tcPr>
                  <w:tcW w:w="572" w:type="pct"/>
                  <w:vMerge w:val="restart"/>
                  <w:vAlign w:val="center"/>
                </w:tcPr>
                <w:p>
                  <w:pPr>
                    <w:jc w:val="center"/>
                    <w:rPr>
                      <w:b/>
                      <w:bCs/>
                      <w:sz w:val="21"/>
                      <w:szCs w:val="21"/>
                    </w:rPr>
                  </w:pPr>
                  <w:r>
                    <w:rPr>
                      <w:b/>
                      <w:bCs/>
                      <w:sz w:val="21"/>
                      <w:szCs w:val="21"/>
                    </w:rPr>
                    <w:t>超标率</w:t>
                  </w:r>
                </w:p>
              </w:tc>
              <w:tc>
                <w:tcPr>
                  <w:tcW w:w="668" w:type="pct"/>
                  <w:vMerge w:val="restart"/>
                  <w:vAlign w:val="center"/>
                </w:tcPr>
                <w:p>
                  <w:pPr>
                    <w:jc w:val="center"/>
                    <w:rPr>
                      <w:b/>
                      <w:bCs/>
                      <w:sz w:val="21"/>
                      <w:szCs w:val="21"/>
                    </w:rPr>
                  </w:pPr>
                  <w:r>
                    <w:rPr>
                      <w:b/>
                      <w:bCs/>
                      <w:sz w:val="21"/>
                      <w:szCs w:val="21"/>
                    </w:rPr>
                    <w:t>达标</w:t>
                  </w:r>
                </w:p>
                <w:p>
                  <w:pPr>
                    <w:jc w:val="center"/>
                    <w:rPr>
                      <w:b/>
                      <w:bCs/>
                      <w:sz w:val="21"/>
                      <w:szCs w:val="21"/>
                    </w:rPr>
                  </w:pPr>
                  <w:r>
                    <w:rPr>
                      <w:b/>
                      <w:bCs/>
                      <w:sz w:val="21"/>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548" w:type="pct"/>
                  <w:vMerge w:val="continue"/>
                  <w:vAlign w:val="center"/>
                </w:tcPr>
                <w:p>
                  <w:pPr>
                    <w:jc w:val="left"/>
                    <w:rPr>
                      <w:b/>
                      <w:bCs/>
                      <w:sz w:val="21"/>
                      <w:szCs w:val="21"/>
                    </w:rPr>
                  </w:pPr>
                </w:p>
              </w:tc>
              <w:tc>
                <w:tcPr>
                  <w:tcW w:w="699" w:type="pct"/>
                  <w:vMerge w:val="continue"/>
                  <w:vAlign w:val="center"/>
                </w:tcPr>
                <w:p>
                  <w:pPr>
                    <w:jc w:val="left"/>
                    <w:rPr>
                      <w:b/>
                      <w:bCs/>
                      <w:sz w:val="21"/>
                      <w:szCs w:val="21"/>
                    </w:rPr>
                  </w:pPr>
                </w:p>
              </w:tc>
              <w:tc>
                <w:tcPr>
                  <w:tcW w:w="764" w:type="pct"/>
                  <w:vMerge w:val="continue"/>
                  <w:vAlign w:val="center"/>
                </w:tcPr>
                <w:p>
                  <w:pPr>
                    <w:jc w:val="left"/>
                    <w:rPr>
                      <w:b/>
                      <w:bCs/>
                      <w:sz w:val="21"/>
                      <w:szCs w:val="21"/>
                    </w:rPr>
                  </w:pPr>
                </w:p>
              </w:tc>
              <w:tc>
                <w:tcPr>
                  <w:tcW w:w="963" w:type="pct"/>
                  <w:vMerge w:val="continue"/>
                  <w:vAlign w:val="center"/>
                </w:tcPr>
                <w:p>
                  <w:pPr>
                    <w:jc w:val="left"/>
                    <w:rPr>
                      <w:b/>
                      <w:bCs/>
                      <w:sz w:val="21"/>
                      <w:szCs w:val="21"/>
                    </w:rPr>
                  </w:pPr>
                </w:p>
              </w:tc>
              <w:tc>
                <w:tcPr>
                  <w:tcW w:w="786" w:type="pct"/>
                  <w:vMerge w:val="continue"/>
                  <w:vAlign w:val="center"/>
                </w:tcPr>
                <w:p>
                  <w:pPr>
                    <w:jc w:val="left"/>
                    <w:rPr>
                      <w:b/>
                      <w:bCs/>
                      <w:sz w:val="21"/>
                      <w:szCs w:val="21"/>
                    </w:rPr>
                  </w:pPr>
                </w:p>
              </w:tc>
              <w:tc>
                <w:tcPr>
                  <w:tcW w:w="572" w:type="pct"/>
                  <w:vMerge w:val="continue"/>
                  <w:vAlign w:val="center"/>
                </w:tcPr>
                <w:p>
                  <w:pPr>
                    <w:jc w:val="left"/>
                    <w:rPr>
                      <w:b/>
                      <w:bCs/>
                      <w:sz w:val="21"/>
                      <w:szCs w:val="21"/>
                    </w:rPr>
                  </w:pPr>
                </w:p>
              </w:tc>
              <w:tc>
                <w:tcPr>
                  <w:tcW w:w="668" w:type="pct"/>
                  <w:vMerge w:val="continue"/>
                  <w:vAlign w:val="center"/>
                </w:tcPr>
                <w:p>
                  <w:pPr>
                    <w:jc w:val="left"/>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8" w:type="pct"/>
                  <w:vAlign w:val="center"/>
                </w:tcPr>
                <w:p>
                  <w:pPr>
                    <w:jc w:val="center"/>
                    <w:rPr>
                      <w:sz w:val="21"/>
                      <w:szCs w:val="21"/>
                    </w:rPr>
                  </w:pPr>
                  <w:r>
                    <w:rPr>
                      <w:sz w:val="21"/>
                      <w:szCs w:val="21"/>
                    </w:rPr>
                    <w:t>NH</w:t>
                  </w:r>
                  <w:r>
                    <w:rPr>
                      <w:sz w:val="21"/>
                      <w:szCs w:val="21"/>
                      <w:vertAlign w:val="subscript"/>
                    </w:rPr>
                    <w:t>3</w:t>
                  </w:r>
                </w:p>
              </w:tc>
              <w:tc>
                <w:tcPr>
                  <w:tcW w:w="699" w:type="pct"/>
                  <w:vAlign w:val="center"/>
                </w:tcPr>
                <w:p>
                  <w:pPr>
                    <w:jc w:val="center"/>
                    <w:rPr>
                      <w:sz w:val="21"/>
                      <w:szCs w:val="21"/>
                    </w:rPr>
                  </w:pPr>
                  <w:r>
                    <w:rPr>
                      <w:rFonts w:hint="eastAsia"/>
                      <w:sz w:val="21"/>
                      <w:szCs w:val="21"/>
                    </w:rPr>
                    <w:t>24h</w:t>
                  </w:r>
                </w:p>
              </w:tc>
              <w:tc>
                <w:tcPr>
                  <w:tcW w:w="764" w:type="pct"/>
                  <w:vAlign w:val="center"/>
                </w:tcPr>
                <w:p>
                  <w:pPr>
                    <w:jc w:val="center"/>
                    <w:rPr>
                      <w:sz w:val="21"/>
                      <w:szCs w:val="21"/>
                    </w:rPr>
                  </w:pPr>
                  <w:r>
                    <w:rPr>
                      <w:sz w:val="21"/>
                      <w:szCs w:val="21"/>
                    </w:rPr>
                    <w:t>0.2</w:t>
                  </w:r>
                </w:p>
              </w:tc>
              <w:tc>
                <w:tcPr>
                  <w:tcW w:w="963" w:type="pct"/>
                  <w:vAlign w:val="center"/>
                </w:tcPr>
                <w:p>
                  <w:pPr>
                    <w:jc w:val="center"/>
                    <w:rPr>
                      <w:sz w:val="21"/>
                      <w:szCs w:val="21"/>
                    </w:rPr>
                  </w:pPr>
                  <w:r>
                    <w:rPr>
                      <w:sz w:val="21"/>
                      <w:szCs w:val="21"/>
                    </w:rPr>
                    <w:t>0.02~</w:t>
                  </w:r>
                  <w:r>
                    <w:rPr>
                      <w:rFonts w:hint="eastAsia"/>
                      <w:sz w:val="21"/>
                      <w:szCs w:val="21"/>
                    </w:rPr>
                    <w:t>0</w:t>
                  </w:r>
                  <w:r>
                    <w:rPr>
                      <w:sz w:val="21"/>
                      <w:szCs w:val="21"/>
                    </w:rPr>
                    <w:t>.13</w:t>
                  </w:r>
                </w:p>
              </w:tc>
              <w:tc>
                <w:tcPr>
                  <w:tcW w:w="786" w:type="pct"/>
                  <w:vAlign w:val="center"/>
                </w:tcPr>
                <w:p>
                  <w:pPr>
                    <w:jc w:val="center"/>
                    <w:rPr>
                      <w:sz w:val="21"/>
                      <w:szCs w:val="21"/>
                    </w:rPr>
                  </w:pPr>
                  <w:r>
                    <w:rPr>
                      <w:sz w:val="21"/>
                      <w:szCs w:val="21"/>
                    </w:rPr>
                    <w:t>65</w:t>
                  </w:r>
                </w:p>
              </w:tc>
              <w:tc>
                <w:tcPr>
                  <w:tcW w:w="572" w:type="pct"/>
                  <w:vAlign w:val="center"/>
                </w:tcPr>
                <w:p>
                  <w:pPr>
                    <w:jc w:val="center"/>
                    <w:rPr>
                      <w:sz w:val="21"/>
                      <w:szCs w:val="21"/>
                    </w:rPr>
                  </w:pPr>
                  <w:r>
                    <w:rPr>
                      <w:sz w:val="21"/>
                      <w:szCs w:val="21"/>
                    </w:rPr>
                    <w:t>0</w:t>
                  </w:r>
                </w:p>
              </w:tc>
              <w:tc>
                <w:tcPr>
                  <w:tcW w:w="668" w:type="pct"/>
                  <w:vAlign w:val="center"/>
                </w:tcPr>
                <w:p>
                  <w:pPr>
                    <w:jc w:val="center"/>
                    <w:rPr>
                      <w:sz w:val="21"/>
                      <w:szCs w:val="21"/>
                    </w:rPr>
                  </w:pPr>
                  <w:r>
                    <w:rPr>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8" w:type="pct"/>
                  <w:vAlign w:val="center"/>
                </w:tcPr>
                <w:p>
                  <w:pPr>
                    <w:jc w:val="center"/>
                    <w:rPr>
                      <w:sz w:val="21"/>
                      <w:szCs w:val="21"/>
                    </w:rPr>
                  </w:pPr>
                  <w:r>
                    <w:rPr>
                      <w:rFonts w:hint="eastAsia"/>
                      <w:sz w:val="21"/>
                      <w:szCs w:val="21"/>
                    </w:rPr>
                    <w:t>H</w:t>
                  </w:r>
                  <w:r>
                    <w:rPr>
                      <w:sz w:val="21"/>
                      <w:szCs w:val="21"/>
                      <w:vertAlign w:val="subscript"/>
                    </w:rPr>
                    <w:t>2</w:t>
                  </w:r>
                  <w:r>
                    <w:rPr>
                      <w:sz w:val="21"/>
                      <w:szCs w:val="21"/>
                    </w:rPr>
                    <w:t>S</w:t>
                  </w:r>
                </w:p>
              </w:tc>
              <w:tc>
                <w:tcPr>
                  <w:tcW w:w="699" w:type="pct"/>
                  <w:vAlign w:val="center"/>
                </w:tcPr>
                <w:p>
                  <w:pPr>
                    <w:jc w:val="center"/>
                    <w:rPr>
                      <w:sz w:val="21"/>
                      <w:szCs w:val="21"/>
                    </w:rPr>
                  </w:pPr>
                  <w:r>
                    <w:rPr>
                      <w:rFonts w:hint="eastAsia"/>
                      <w:sz w:val="21"/>
                      <w:szCs w:val="21"/>
                    </w:rPr>
                    <w:t>24h</w:t>
                  </w:r>
                </w:p>
              </w:tc>
              <w:tc>
                <w:tcPr>
                  <w:tcW w:w="764" w:type="pct"/>
                  <w:vAlign w:val="center"/>
                </w:tcPr>
                <w:p>
                  <w:pPr>
                    <w:jc w:val="center"/>
                    <w:rPr>
                      <w:sz w:val="21"/>
                      <w:szCs w:val="21"/>
                    </w:rPr>
                  </w:pPr>
                  <w:r>
                    <w:rPr>
                      <w:sz w:val="21"/>
                      <w:szCs w:val="21"/>
                    </w:rPr>
                    <w:t>0.01</w:t>
                  </w:r>
                </w:p>
              </w:tc>
              <w:tc>
                <w:tcPr>
                  <w:tcW w:w="963" w:type="pct"/>
                  <w:vAlign w:val="center"/>
                </w:tcPr>
                <w:p>
                  <w:pPr>
                    <w:jc w:val="center"/>
                    <w:rPr>
                      <w:sz w:val="21"/>
                      <w:szCs w:val="21"/>
                    </w:rPr>
                  </w:pPr>
                  <w:r>
                    <w:rPr>
                      <w:rFonts w:hint="eastAsia"/>
                      <w:sz w:val="21"/>
                      <w:szCs w:val="21"/>
                    </w:rPr>
                    <w:t>0</w:t>
                  </w:r>
                  <w:r>
                    <w:rPr>
                      <w:sz w:val="21"/>
                      <w:szCs w:val="21"/>
                    </w:rPr>
                    <w:t>.002~0.007</w:t>
                  </w:r>
                </w:p>
              </w:tc>
              <w:tc>
                <w:tcPr>
                  <w:tcW w:w="786" w:type="pct"/>
                  <w:vAlign w:val="center"/>
                </w:tcPr>
                <w:p>
                  <w:pPr>
                    <w:jc w:val="center"/>
                    <w:rPr>
                      <w:sz w:val="21"/>
                      <w:szCs w:val="21"/>
                    </w:rPr>
                  </w:pPr>
                  <w:r>
                    <w:rPr>
                      <w:sz w:val="21"/>
                      <w:szCs w:val="21"/>
                    </w:rPr>
                    <w:t>70</w:t>
                  </w:r>
                </w:p>
              </w:tc>
              <w:tc>
                <w:tcPr>
                  <w:tcW w:w="572" w:type="pct"/>
                  <w:vAlign w:val="center"/>
                </w:tcPr>
                <w:p>
                  <w:pPr>
                    <w:jc w:val="center"/>
                    <w:rPr>
                      <w:sz w:val="21"/>
                      <w:szCs w:val="21"/>
                    </w:rPr>
                  </w:pPr>
                  <w:r>
                    <w:rPr>
                      <w:rFonts w:hint="eastAsia"/>
                      <w:sz w:val="21"/>
                      <w:szCs w:val="21"/>
                    </w:rPr>
                    <w:t>0</w:t>
                  </w:r>
                </w:p>
              </w:tc>
              <w:tc>
                <w:tcPr>
                  <w:tcW w:w="668" w:type="pct"/>
                  <w:vAlign w:val="center"/>
                </w:tcPr>
                <w:p>
                  <w:pPr>
                    <w:jc w:val="center"/>
                    <w:rPr>
                      <w:sz w:val="21"/>
                      <w:szCs w:val="21"/>
                    </w:rPr>
                  </w:pPr>
                  <w:r>
                    <w:rPr>
                      <w:sz w:val="21"/>
                      <w:szCs w:val="21"/>
                    </w:rPr>
                    <w:t>达标</w:t>
                  </w:r>
                </w:p>
              </w:tc>
            </w:tr>
          </w:tbl>
          <w:p>
            <w:pPr>
              <w:adjustRightInd w:val="0"/>
              <w:snapToGrid w:val="0"/>
              <w:spacing w:line="480" w:lineRule="exact"/>
              <w:ind w:right="89" w:rightChars="37" w:firstLine="480" w:firstLineChars="200"/>
              <w:rPr>
                <w:rFonts w:cs="Times New Roman"/>
              </w:rPr>
            </w:pPr>
            <w:r>
              <w:t>从上表可以看出：项目区域内环境空气中NH</w:t>
            </w:r>
            <w:r>
              <w:rPr>
                <w:vertAlign w:val="subscript"/>
              </w:rPr>
              <w:t>3</w:t>
            </w:r>
            <w:r>
              <w:t>、H</w:t>
            </w:r>
            <w:r>
              <w:rPr>
                <w:vertAlign w:val="subscript"/>
              </w:rPr>
              <w:t>2</w:t>
            </w:r>
            <w:r>
              <w:t>S最大浓度占标率均小于1，符合《环境影响评价技术导则-大气环境》（HJ2.2-2018）附录D中的要求</w:t>
            </w:r>
            <w:r>
              <w:rPr>
                <w:rFonts w:hint="eastAsia"/>
              </w:rPr>
              <w:t>。</w:t>
            </w:r>
          </w:p>
          <w:p>
            <w:pPr>
              <w:spacing w:line="480" w:lineRule="exact"/>
              <w:rPr>
                <w:rFonts w:cs="Times New Roman"/>
                <w:b/>
                <w:szCs w:val="24"/>
              </w:rPr>
            </w:pPr>
            <w:r>
              <w:rPr>
                <w:rFonts w:cs="Times New Roman"/>
                <w:b/>
                <w:szCs w:val="24"/>
              </w:rPr>
              <w:t>二、地表水环境质量</w:t>
            </w:r>
          </w:p>
          <w:p>
            <w:pPr>
              <w:adjustRightInd w:val="0"/>
              <w:snapToGrid w:val="0"/>
              <w:spacing w:line="360" w:lineRule="auto"/>
              <w:ind w:firstLine="482" w:firstLineChars="200"/>
            </w:pPr>
            <w:r>
              <w:rPr>
                <w:b/>
                <w:bCs/>
              </w:rPr>
              <w:t>1.监测断面</w:t>
            </w:r>
          </w:p>
          <w:p>
            <w:pPr>
              <w:adjustRightInd w:val="0"/>
              <w:snapToGrid w:val="0"/>
              <w:spacing w:line="360" w:lineRule="auto"/>
              <w:ind w:firstLine="480" w:firstLineChars="200"/>
            </w:pPr>
            <w:r>
              <w:t>在</w:t>
            </w:r>
            <w:r>
              <w:rPr>
                <w:rFonts w:hint="eastAsia"/>
              </w:rPr>
              <w:t>大渡河项目排污口上游500m处</w:t>
            </w:r>
            <w:r>
              <w:t>设置1#地表水环境质量现状监测断面，在</w:t>
            </w:r>
            <w:r>
              <w:rPr>
                <w:rFonts w:hint="eastAsia"/>
              </w:rPr>
              <w:t>大渡河项目排污口下游1000m处</w:t>
            </w:r>
            <w:r>
              <w:t>设置2#地表水环境质量现状监测断面，断面位置见表3-5。</w:t>
            </w:r>
          </w:p>
          <w:p>
            <w:pPr>
              <w:adjustRightInd w:val="0"/>
              <w:snapToGrid w:val="0"/>
              <w:jc w:val="center"/>
              <w:rPr>
                <w:rFonts w:cs="Times New Roman"/>
                <w:b/>
                <w:szCs w:val="24"/>
              </w:rPr>
            </w:pPr>
            <w:r>
              <w:rPr>
                <w:rFonts w:cs="Times New Roman"/>
                <w:b/>
                <w:szCs w:val="24"/>
              </w:rPr>
              <w:t>表3-5  地表水水质监测断面位置</w:t>
            </w:r>
          </w:p>
          <w:tbl>
            <w:tblPr>
              <w:tblStyle w:val="30"/>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6"/>
              <w:gridCol w:w="7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16" w:type="dxa"/>
                  <w:vAlign w:val="center"/>
                </w:tcPr>
                <w:p>
                  <w:pPr>
                    <w:jc w:val="center"/>
                    <w:rPr>
                      <w:b/>
                      <w:bCs/>
                      <w:sz w:val="21"/>
                      <w:szCs w:val="21"/>
                    </w:rPr>
                  </w:pPr>
                  <w:r>
                    <w:rPr>
                      <w:b/>
                      <w:bCs/>
                      <w:sz w:val="21"/>
                      <w:szCs w:val="21"/>
                    </w:rPr>
                    <w:t>编号</w:t>
                  </w:r>
                </w:p>
              </w:tc>
              <w:tc>
                <w:tcPr>
                  <w:tcW w:w="7335" w:type="dxa"/>
                  <w:vAlign w:val="center"/>
                </w:tcPr>
                <w:p>
                  <w:pPr>
                    <w:jc w:val="center"/>
                    <w:rPr>
                      <w:b/>
                      <w:bCs/>
                      <w:sz w:val="21"/>
                      <w:szCs w:val="21"/>
                    </w:rPr>
                  </w:pPr>
                  <w:r>
                    <w:rPr>
                      <w:b/>
                      <w:bCs/>
                      <w:sz w:val="21"/>
                      <w:szCs w:val="21"/>
                    </w:rPr>
                    <w:t>断面位置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16" w:type="dxa"/>
                  <w:vAlign w:val="center"/>
                </w:tcPr>
                <w:p>
                  <w:pPr>
                    <w:jc w:val="center"/>
                    <w:rPr>
                      <w:sz w:val="21"/>
                      <w:szCs w:val="21"/>
                    </w:rPr>
                  </w:pPr>
                  <w:r>
                    <w:rPr>
                      <w:sz w:val="21"/>
                      <w:szCs w:val="21"/>
                    </w:rPr>
                    <w:t>1#</w:t>
                  </w:r>
                </w:p>
              </w:tc>
              <w:tc>
                <w:tcPr>
                  <w:tcW w:w="7335" w:type="dxa"/>
                </w:tcPr>
                <w:p>
                  <w:pPr>
                    <w:jc w:val="center"/>
                    <w:rPr>
                      <w:sz w:val="21"/>
                      <w:szCs w:val="21"/>
                    </w:rPr>
                  </w:pPr>
                  <w:r>
                    <w:rPr>
                      <w:rFonts w:hint="eastAsia"/>
                      <w:sz w:val="21"/>
                      <w:szCs w:val="21"/>
                    </w:rPr>
                    <w:t>大渡河项目排污口上游500m处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16" w:type="dxa"/>
                  <w:vAlign w:val="center"/>
                </w:tcPr>
                <w:p>
                  <w:pPr>
                    <w:jc w:val="center"/>
                    <w:rPr>
                      <w:sz w:val="21"/>
                      <w:szCs w:val="21"/>
                    </w:rPr>
                  </w:pPr>
                  <w:r>
                    <w:rPr>
                      <w:sz w:val="21"/>
                      <w:szCs w:val="21"/>
                    </w:rPr>
                    <w:t>2#</w:t>
                  </w:r>
                </w:p>
              </w:tc>
              <w:tc>
                <w:tcPr>
                  <w:tcW w:w="7335" w:type="dxa"/>
                </w:tcPr>
                <w:p>
                  <w:pPr>
                    <w:jc w:val="center"/>
                    <w:rPr>
                      <w:sz w:val="21"/>
                      <w:szCs w:val="21"/>
                    </w:rPr>
                  </w:pPr>
                  <w:r>
                    <w:rPr>
                      <w:rFonts w:hint="eastAsia"/>
                      <w:sz w:val="21"/>
                      <w:szCs w:val="21"/>
                    </w:rPr>
                    <w:t>大渡河项目排污口下游1000m处</w:t>
                  </w:r>
                </w:p>
              </w:tc>
            </w:tr>
          </w:tbl>
          <w:p>
            <w:pPr>
              <w:spacing w:line="360" w:lineRule="auto"/>
              <w:ind w:firstLine="482" w:firstLineChars="200"/>
            </w:pPr>
            <w:r>
              <w:rPr>
                <w:b/>
                <w:bCs/>
              </w:rPr>
              <w:t>2.监测因子</w:t>
            </w:r>
          </w:p>
          <w:p>
            <w:pPr>
              <w:spacing w:line="360" w:lineRule="auto"/>
              <w:ind w:firstLine="480" w:firstLineChars="200"/>
            </w:pPr>
            <w:r>
              <w:t>pH、化学需氧量、五日生化需氧量、氨氮（以N计）、总磷、粪大肠菌群。</w:t>
            </w:r>
          </w:p>
          <w:p>
            <w:pPr>
              <w:spacing w:line="360" w:lineRule="auto"/>
              <w:ind w:firstLine="482" w:firstLineChars="200"/>
              <w:rPr>
                <w:b/>
                <w:bCs/>
              </w:rPr>
            </w:pPr>
            <w:r>
              <w:rPr>
                <w:b/>
                <w:bCs/>
              </w:rPr>
              <w:t>3.监测时间、监测频次</w:t>
            </w:r>
          </w:p>
          <w:p>
            <w:pPr>
              <w:spacing w:line="360" w:lineRule="auto"/>
              <w:ind w:firstLine="480" w:firstLineChars="200"/>
            </w:pPr>
            <w:r>
              <w:t>在2020年11月21日、22日、23日连续监测3天，每天监测1次。</w:t>
            </w:r>
          </w:p>
          <w:p>
            <w:pPr>
              <w:spacing w:line="360" w:lineRule="auto"/>
              <w:ind w:firstLine="482" w:firstLineChars="200"/>
            </w:pPr>
            <w:r>
              <w:rPr>
                <w:b/>
                <w:bCs/>
              </w:rPr>
              <w:t>4.地表水监测结果及评价</w:t>
            </w:r>
          </w:p>
          <w:p>
            <w:pPr>
              <w:spacing w:line="360" w:lineRule="auto"/>
              <w:ind w:firstLine="480" w:firstLineChars="200"/>
              <w:rPr>
                <w:rFonts w:eastAsia="黑体"/>
                <w:bCs/>
              </w:rPr>
            </w:pPr>
            <w:r>
              <w:t>地表水环境质量现状监测结果见表3-6。</w:t>
            </w:r>
          </w:p>
          <w:p>
            <w:pPr>
              <w:adjustRightInd w:val="0"/>
              <w:snapToGrid w:val="0"/>
              <w:jc w:val="center"/>
              <w:rPr>
                <w:rFonts w:cs="Times New Roman"/>
                <w:b/>
                <w:szCs w:val="24"/>
              </w:rPr>
            </w:pPr>
            <w:r>
              <w:rPr>
                <w:rFonts w:cs="Times New Roman"/>
                <w:b/>
                <w:szCs w:val="24"/>
              </w:rPr>
              <w:t>表3-6  地表水环境质量现状检测结果表</w:t>
            </w:r>
          </w:p>
          <w:tbl>
            <w:tblPr>
              <w:tblStyle w:val="3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1637"/>
              <w:gridCol w:w="2272"/>
              <w:gridCol w:w="2271"/>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restart"/>
                  <w:shd w:val="clear" w:color="auto" w:fill="auto"/>
                  <w:vAlign w:val="center"/>
                </w:tcPr>
                <w:p>
                  <w:pPr>
                    <w:jc w:val="center"/>
                    <w:outlineLvl w:val="0"/>
                    <w:rPr>
                      <w:rFonts w:cs="Times New Roman"/>
                      <w:b/>
                      <w:sz w:val="21"/>
                      <w:szCs w:val="21"/>
                    </w:rPr>
                  </w:pPr>
                  <w:r>
                    <w:rPr>
                      <w:rFonts w:cs="Times New Roman"/>
                      <w:b/>
                      <w:sz w:val="21"/>
                      <w:szCs w:val="21"/>
                    </w:rPr>
                    <w:t>检测项目</w:t>
                  </w:r>
                </w:p>
              </w:tc>
              <w:tc>
                <w:tcPr>
                  <w:tcW w:w="1637" w:type="dxa"/>
                  <w:vMerge w:val="restart"/>
                  <w:shd w:val="clear" w:color="auto" w:fill="auto"/>
                  <w:vAlign w:val="center"/>
                </w:tcPr>
                <w:p>
                  <w:pPr>
                    <w:snapToGrid w:val="0"/>
                    <w:jc w:val="center"/>
                    <w:outlineLvl w:val="0"/>
                    <w:rPr>
                      <w:rFonts w:cs="Times New Roman"/>
                      <w:b/>
                      <w:sz w:val="21"/>
                      <w:szCs w:val="21"/>
                    </w:rPr>
                  </w:pPr>
                  <w:r>
                    <w:rPr>
                      <w:rFonts w:cs="Times New Roman"/>
                      <w:b/>
                      <w:sz w:val="21"/>
                      <w:szCs w:val="21"/>
                    </w:rPr>
                    <w:t>检测日期</w:t>
                  </w:r>
                </w:p>
                <w:p>
                  <w:pPr>
                    <w:snapToGrid w:val="0"/>
                    <w:jc w:val="center"/>
                    <w:outlineLvl w:val="0"/>
                    <w:rPr>
                      <w:rFonts w:cs="Times New Roman"/>
                      <w:b/>
                      <w:sz w:val="21"/>
                      <w:szCs w:val="21"/>
                    </w:rPr>
                  </w:pPr>
                  <w:r>
                    <w:rPr>
                      <w:rFonts w:cs="Times New Roman"/>
                      <w:b/>
                      <w:sz w:val="21"/>
                      <w:szCs w:val="21"/>
                    </w:rPr>
                    <w:t>2020年</w:t>
                  </w:r>
                </w:p>
              </w:tc>
              <w:tc>
                <w:tcPr>
                  <w:tcW w:w="4543" w:type="dxa"/>
                  <w:gridSpan w:val="2"/>
                  <w:shd w:val="clear" w:color="auto" w:fill="auto"/>
                  <w:vAlign w:val="center"/>
                </w:tcPr>
                <w:p>
                  <w:pPr>
                    <w:jc w:val="center"/>
                    <w:rPr>
                      <w:rFonts w:cs="Times New Roman"/>
                      <w:b/>
                      <w:sz w:val="21"/>
                      <w:szCs w:val="21"/>
                    </w:rPr>
                  </w:pPr>
                  <w:r>
                    <w:rPr>
                      <w:rFonts w:cs="Times New Roman"/>
                      <w:b/>
                      <w:sz w:val="21"/>
                      <w:szCs w:val="21"/>
                    </w:rPr>
                    <w:t>检测结果（mg/L）</w:t>
                  </w:r>
                </w:p>
              </w:tc>
              <w:tc>
                <w:tcPr>
                  <w:tcW w:w="1027" w:type="dxa"/>
                  <w:vMerge w:val="restart"/>
                  <w:shd w:val="clear" w:color="auto" w:fill="auto"/>
                  <w:vAlign w:val="center"/>
                </w:tcPr>
                <w:p>
                  <w:pPr>
                    <w:jc w:val="center"/>
                    <w:rPr>
                      <w:rFonts w:cs="Times New Roman"/>
                      <w:b/>
                      <w:sz w:val="21"/>
                      <w:szCs w:val="21"/>
                    </w:rPr>
                  </w:pPr>
                  <w:r>
                    <w:rPr>
                      <w:rFonts w:cs="Times New Roman"/>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sz w:val="21"/>
                      <w:szCs w:val="21"/>
                    </w:rPr>
                  </w:pPr>
                </w:p>
              </w:tc>
              <w:tc>
                <w:tcPr>
                  <w:tcW w:w="1637" w:type="dxa"/>
                  <w:vMerge w:val="continue"/>
                  <w:shd w:val="clear" w:color="auto" w:fill="auto"/>
                  <w:vAlign w:val="center"/>
                </w:tcPr>
                <w:p>
                  <w:pPr>
                    <w:jc w:val="center"/>
                    <w:rPr>
                      <w:rFonts w:cs="Times New Roman"/>
                      <w:sz w:val="21"/>
                      <w:szCs w:val="21"/>
                    </w:rPr>
                  </w:pPr>
                </w:p>
              </w:tc>
              <w:tc>
                <w:tcPr>
                  <w:tcW w:w="2272" w:type="dxa"/>
                  <w:shd w:val="clear" w:color="auto" w:fill="auto"/>
                  <w:vAlign w:val="center"/>
                </w:tcPr>
                <w:p>
                  <w:pPr>
                    <w:jc w:val="center"/>
                    <w:rPr>
                      <w:rFonts w:cs="Times New Roman"/>
                      <w:bCs/>
                      <w:sz w:val="21"/>
                      <w:szCs w:val="21"/>
                    </w:rPr>
                  </w:pPr>
                  <w:r>
                    <w:rPr>
                      <w:rFonts w:cs="Times New Roman"/>
                      <w:bCs/>
                      <w:sz w:val="21"/>
                      <w:szCs w:val="21"/>
                    </w:rPr>
                    <w:t>1#：大渡河项目排污口上游500m处</w:t>
                  </w:r>
                </w:p>
              </w:tc>
              <w:tc>
                <w:tcPr>
                  <w:tcW w:w="2271" w:type="dxa"/>
                  <w:shd w:val="clear" w:color="auto" w:fill="auto"/>
                  <w:vAlign w:val="center"/>
                </w:tcPr>
                <w:p>
                  <w:pPr>
                    <w:jc w:val="center"/>
                    <w:rPr>
                      <w:rFonts w:cs="Times New Roman"/>
                      <w:bCs/>
                      <w:sz w:val="21"/>
                      <w:szCs w:val="21"/>
                    </w:rPr>
                  </w:pPr>
                  <w:r>
                    <w:rPr>
                      <w:rFonts w:cs="Times New Roman"/>
                      <w:bCs/>
                      <w:sz w:val="21"/>
                      <w:szCs w:val="21"/>
                    </w:rPr>
                    <w:t>2#：大渡河项目排污口下游1000m处</w:t>
                  </w:r>
                </w:p>
              </w:tc>
              <w:tc>
                <w:tcPr>
                  <w:tcW w:w="1027" w:type="dxa"/>
                  <w:vMerge w:val="continue"/>
                  <w:shd w:val="clear" w:color="auto" w:fill="auto"/>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restart"/>
                  <w:shd w:val="clear" w:color="auto" w:fill="auto"/>
                  <w:vAlign w:val="center"/>
                </w:tcPr>
                <w:p>
                  <w:pPr>
                    <w:jc w:val="center"/>
                    <w:rPr>
                      <w:rFonts w:cs="Times New Roman"/>
                      <w:b/>
                      <w:sz w:val="21"/>
                      <w:szCs w:val="21"/>
                    </w:rPr>
                  </w:pPr>
                  <w:r>
                    <w:rPr>
                      <w:rFonts w:cs="Times New Roman"/>
                      <w:kern w:val="0"/>
                      <w:sz w:val="21"/>
                      <w:szCs w:val="21"/>
                    </w:rPr>
                    <w:t>pH（无量纲）</w:t>
                  </w:r>
                </w:p>
              </w:tc>
              <w:tc>
                <w:tcPr>
                  <w:tcW w:w="1637" w:type="dxa"/>
                  <w:shd w:val="clear" w:color="auto" w:fill="auto"/>
                  <w:vAlign w:val="center"/>
                </w:tcPr>
                <w:p>
                  <w:pPr>
                    <w:jc w:val="center"/>
                    <w:rPr>
                      <w:rFonts w:cs="Times New Roman"/>
                      <w:bCs/>
                      <w:sz w:val="21"/>
                      <w:szCs w:val="21"/>
                    </w:rPr>
                  </w:pPr>
                  <w:r>
                    <w:rPr>
                      <w:rFonts w:cs="Times New Roman"/>
                      <w:bCs/>
                      <w:sz w:val="21"/>
                      <w:szCs w:val="21"/>
                    </w:rPr>
                    <w:t>11月21日</w:t>
                  </w:r>
                </w:p>
              </w:tc>
              <w:tc>
                <w:tcPr>
                  <w:tcW w:w="2272" w:type="dxa"/>
                  <w:shd w:val="clear" w:color="auto" w:fill="auto"/>
                  <w:vAlign w:val="center"/>
                </w:tcPr>
                <w:p>
                  <w:pPr>
                    <w:jc w:val="center"/>
                    <w:rPr>
                      <w:rFonts w:cs="Times New Roman"/>
                      <w:bCs/>
                      <w:sz w:val="21"/>
                      <w:szCs w:val="21"/>
                    </w:rPr>
                  </w:pPr>
                  <w:r>
                    <w:rPr>
                      <w:rFonts w:cs="Times New Roman"/>
                      <w:bCs/>
                      <w:sz w:val="21"/>
                      <w:szCs w:val="21"/>
                    </w:rPr>
                    <w:t>7.08</w:t>
                  </w:r>
                </w:p>
              </w:tc>
              <w:tc>
                <w:tcPr>
                  <w:tcW w:w="2271" w:type="dxa"/>
                  <w:shd w:val="clear" w:color="auto" w:fill="auto"/>
                  <w:vAlign w:val="center"/>
                </w:tcPr>
                <w:p>
                  <w:pPr>
                    <w:jc w:val="center"/>
                    <w:rPr>
                      <w:rFonts w:cs="Times New Roman"/>
                      <w:bCs/>
                      <w:sz w:val="21"/>
                      <w:szCs w:val="21"/>
                    </w:rPr>
                  </w:pPr>
                  <w:r>
                    <w:rPr>
                      <w:rFonts w:cs="Times New Roman"/>
                      <w:bCs/>
                      <w:sz w:val="21"/>
                      <w:szCs w:val="21"/>
                    </w:rPr>
                    <w:t>7.11</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11月22日</w:t>
                  </w:r>
                </w:p>
              </w:tc>
              <w:tc>
                <w:tcPr>
                  <w:tcW w:w="2272" w:type="dxa"/>
                  <w:shd w:val="clear" w:color="auto" w:fill="auto"/>
                  <w:vAlign w:val="center"/>
                </w:tcPr>
                <w:p>
                  <w:pPr>
                    <w:jc w:val="center"/>
                    <w:rPr>
                      <w:rFonts w:cs="Times New Roman"/>
                      <w:bCs/>
                      <w:sz w:val="21"/>
                      <w:szCs w:val="21"/>
                    </w:rPr>
                  </w:pPr>
                  <w:r>
                    <w:rPr>
                      <w:rFonts w:cs="Times New Roman"/>
                      <w:bCs/>
                      <w:sz w:val="21"/>
                      <w:szCs w:val="21"/>
                    </w:rPr>
                    <w:t>7.09</w:t>
                  </w:r>
                </w:p>
              </w:tc>
              <w:tc>
                <w:tcPr>
                  <w:tcW w:w="2271" w:type="dxa"/>
                  <w:shd w:val="clear" w:color="auto" w:fill="auto"/>
                  <w:vAlign w:val="center"/>
                </w:tcPr>
                <w:p>
                  <w:pPr>
                    <w:jc w:val="center"/>
                    <w:rPr>
                      <w:rFonts w:cs="Times New Roman"/>
                      <w:bCs/>
                      <w:sz w:val="21"/>
                      <w:szCs w:val="21"/>
                    </w:rPr>
                  </w:pPr>
                  <w:r>
                    <w:rPr>
                      <w:rFonts w:cs="Times New Roman"/>
                      <w:bCs/>
                      <w:sz w:val="21"/>
                      <w:szCs w:val="21"/>
                    </w:rPr>
                    <w:t>7.13</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11月23日</w:t>
                  </w:r>
                </w:p>
              </w:tc>
              <w:tc>
                <w:tcPr>
                  <w:tcW w:w="2272" w:type="dxa"/>
                  <w:shd w:val="clear" w:color="auto" w:fill="auto"/>
                  <w:vAlign w:val="center"/>
                </w:tcPr>
                <w:p>
                  <w:pPr>
                    <w:jc w:val="center"/>
                    <w:rPr>
                      <w:rFonts w:cs="Times New Roman"/>
                      <w:bCs/>
                      <w:sz w:val="21"/>
                      <w:szCs w:val="21"/>
                    </w:rPr>
                  </w:pPr>
                  <w:r>
                    <w:rPr>
                      <w:rFonts w:cs="Times New Roman"/>
                      <w:bCs/>
                      <w:sz w:val="21"/>
                      <w:szCs w:val="21"/>
                    </w:rPr>
                    <w:t>7.05</w:t>
                  </w:r>
                </w:p>
              </w:tc>
              <w:tc>
                <w:tcPr>
                  <w:tcW w:w="2271" w:type="dxa"/>
                  <w:shd w:val="clear" w:color="auto" w:fill="auto"/>
                  <w:vAlign w:val="center"/>
                </w:tcPr>
                <w:p>
                  <w:pPr>
                    <w:jc w:val="center"/>
                    <w:rPr>
                      <w:rFonts w:cs="Times New Roman"/>
                      <w:bCs/>
                      <w:sz w:val="21"/>
                      <w:szCs w:val="21"/>
                    </w:rPr>
                  </w:pPr>
                  <w:r>
                    <w:rPr>
                      <w:rFonts w:cs="Times New Roman"/>
                      <w:bCs/>
                      <w:sz w:val="21"/>
                      <w:szCs w:val="21"/>
                    </w:rPr>
                    <w:t>7.17</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restart"/>
                  <w:shd w:val="clear" w:color="auto" w:fill="auto"/>
                  <w:vAlign w:val="center"/>
                </w:tcPr>
                <w:p>
                  <w:pPr>
                    <w:jc w:val="center"/>
                    <w:rPr>
                      <w:rFonts w:cs="Times New Roman"/>
                      <w:kern w:val="0"/>
                      <w:sz w:val="21"/>
                      <w:szCs w:val="21"/>
                    </w:rPr>
                  </w:pPr>
                  <w:r>
                    <w:rPr>
                      <w:rFonts w:cs="Times New Roman"/>
                      <w:kern w:val="0"/>
                      <w:sz w:val="21"/>
                      <w:szCs w:val="21"/>
                    </w:rPr>
                    <w:t>化学需氧量</w:t>
                  </w:r>
                </w:p>
              </w:tc>
              <w:tc>
                <w:tcPr>
                  <w:tcW w:w="1637" w:type="dxa"/>
                  <w:shd w:val="clear" w:color="auto" w:fill="auto"/>
                  <w:vAlign w:val="center"/>
                </w:tcPr>
                <w:p>
                  <w:pPr>
                    <w:jc w:val="center"/>
                    <w:rPr>
                      <w:rFonts w:cs="Times New Roman"/>
                      <w:bCs/>
                      <w:sz w:val="21"/>
                      <w:szCs w:val="21"/>
                    </w:rPr>
                  </w:pPr>
                  <w:r>
                    <w:rPr>
                      <w:rFonts w:cs="Times New Roman"/>
                      <w:bCs/>
                      <w:sz w:val="21"/>
                      <w:szCs w:val="21"/>
                    </w:rPr>
                    <w:t>11月21日</w:t>
                  </w:r>
                </w:p>
              </w:tc>
              <w:tc>
                <w:tcPr>
                  <w:tcW w:w="2272" w:type="dxa"/>
                  <w:shd w:val="clear" w:color="auto" w:fill="auto"/>
                  <w:vAlign w:val="center"/>
                </w:tcPr>
                <w:p>
                  <w:pPr>
                    <w:jc w:val="center"/>
                    <w:rPr>
                      <w:rFonts w:cs="Times New Roman"/>
                      <w:bCs/>
                      <w:sz w:val="21"/>
                      <w:szCs w:val="21"/>
                    </w:rPr>
                  </w:pPr>
                  <w:r>
                    <w:rPr>
                      <w:rFonts w:cs="Times New Roman"/>
                      <w:bCs/>
                      <w:sz w:val="21"/>
                      <w:szCs w:val="21"/>
                    </w:rPr>
                    <w:t>10</w:t>
                  </w:r>
                </w:p>
              </w:tc>
              <w:tc>
                <w:tcPr>
                  <w:tcW w:w="2271" w:type="dxa"/>
                  <w:shd w:val="clear" w:color="auto" w:fill="auto"/>
                  <w:vAlign w:val="center"/>
                </w:tcPr>
                <w:p>
                  <w:pPr>
                    <w:jc w:val="center"/>
                    <w:rPr>
                      <w:rFonts w:cs="Times New Roman"/>
                      <w:bCs/>
                      <w:sz w:val="21"/>
                      <w:szCs w:val="21"/>
                    </w:rPr>
                  </w:pPr>
                  <w:r>
                    <w:rPr>
                      <w:rFonts w:cs="Times New Roman"/>
                      <w:bCs/>
                      <w:sz w:val="21"/>
                      <w:szCs w:val="21"/>
                    </w:rPr>
                    <w:t>9</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11月22日</w:t>
                  </w:r>
                </w:p>
              </w:tc>
              <w:tc>
                <w:tcPr>
                  <w:tcW w:w="2272" w:type="dxa"/>
                  <w:shd w:val="clear" w:color="auto" w:fill="auto"/>
                  <w:vAlign w:val="center"/>
                </w:tcPr>
                <w:p>
                  <w:pPr>
                    <w:jc w:val="center"/>
                    <w:rPr>
                      <w:rFonts w:cs="Times New Roman"/>
                      <w:bCs/>
                      <w:sz w:val="21"/>
                      <w:szCs w:val="21"/>
                    </w:rPr>
                  </w:pPr>
                  <w:r>
                    <w:rPr>
                      <w:rFonts w:cs="Times New Roman"/>
                      <w:bCs/>
                      <w:sz w:val="21"/>
                      <w:szCs w:val="21"/>
                    </w:rPr>
                    <w:t>11</w:t>
                  </w:r>
                </w:p>
              </w:tc>
              <w:tc>
                <w:tcPr>
                  <w:tcW w:w="2271" w:type="dxa"/>
                  <w:shd w:val="clear" w:color="auto" w:fill="auto"/>
                  <w:vAlign w:val="center"/>
                </w:tcPr>
                <w:p>
                  <w:pPr>
                    <w:jc w:val="center"/>
                    <w:rPr>
                      <w:rFonts w:cs="Times New Roman"/>
                      <w:bCs/>
                      <w:sz w:val="21"/>
                      <w:szCs w:val="21"/>
                    </w:rPr>
                  </w:pPr>
                  <w:r>
                    <w:rPr>
                      <w:rFonts w:cs="Times New Roman"/>
                      <w:bCs/>
                      <w:sz w:val="21"/>
                      <w:szCs w:val="21"/>
                    </w:rPr>
                    <w:t>10</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11月23日</w:t>
                  </w:r>
                </w:p>
              </w:tc>
              <w:tc>
                <w:tcPr>
                  <w:tcW w:w="2272" w:type="dxa"/>
                  <w:shd w:val="clear" w:color="auto" w:fill="auto"/>
                  <w:vAlign w:val="center"/>
                </w:tcPr>
                <w:p>
                  <w:pPr>
                    <w:jc w:val="center"/>
                    <w:rPr>
                      <w:rFonts w:cs="Times New Roman"/>
                      <w:bCs/>
                      <w:sz w:val="21"/>
                      <w:szCs w:val="21"/>
                    </w:rPr>
                  </w:pPr>
                  <w:r>
                    <w:rPr>
                      <w:rFonts w:cs="Times New Roman"/>
                      <w:bCs/>
                      <w:sz w:val="21"/>
                      <w:szCs w:val="21"/>
                    </w:rPr>
                    <w:t>11</w:t>
                  </w:r>
                </w:p>
              </w:tc>
              <w:tc>
                <w:tcPr>
                  <w:tcW w:w="2271" w:type="dxa"/>
                  <w:shd w:val="clear" w:color="auto" w:fill="auto"/>
                  <w:vAlign w:val="center"/>
                </w:tcPr>
                <w:p>
                  <w:pPr>
                    <w:jc w:val="center"/>
                    <w:rPr>
                      <w:rFonts w:cs="Times New Roman"/>
                      <w:bCs/>
                      <w:sz w:val="21"/>
                      <w:szCs w:val="21"/>
                    </w:rPr>
                  </w:pPr>
                  <w:r>
                    <w:rPr>
                      <w:rFonts w:cs="Times New Roman"/>
                      <w:bCs/>
                      <w:sz w:val="21"/>
                      <w:szCs w:val="21"/>
                    </w:rPr>
                    <w:t>10</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restart"/>
                  <w:shd w:val="clear" w:color="auto" w:fill="auto"/>
                  <w:vAlign w:val="center"/>
                </w:tcPr>
                <w:p>
                  <w:pPr>
                    <w:jc w:val="center"/>
                    <w:rPr>
                      <w:rFonts w:cs="Times New Roman"/>
                      <w:kern w:val="0"/>
                      <w:sz w:val="21"/>
                      <w:szCs w:val="21"/>
                    </w:rPr>
                  </w:pPr>
                  <w:r>
                    <w:rPr>
                      <w:rFonts w:cs="Times New Roman"/>
                      <w:kern w:val="0"/>
                      <w:sz w:val="21"/>
                      <w:szCs w:val="21"/>
                    </w:rPr>
                    <w:t>BOD</w:t>
                  </w:r>
                  <w:r>
                    <w:rPr>
                      <w:rFonts w:cs="Times New Roman"/>
                      <w:kern w:val="0"/>
                      <w:sz w:val="21"/>
                      <w:szCs w:val="21"/>
                      <w:vertAlign w:val="subscript"/>
                    </w:rPr>
                    <w:t>5</w:t>
                  </w:r>
                </w:p>
              </w:tc>
              <w:tc>
                <w:tcPr>
                  <w:tcW w:w="1637" w:type="dxa"/>
                  <w:shd w:val="clear" w:color="auto" w:fill="auto"/>
                  <w:vAlign w:val="center"/>
                </w:tcPr>
                <w:p>
                  <w:pPr>
                    <w:jc w:val="center"/>
                    <w:rPr>
                      <w:rFonts w:cs="Times New Roman"/>
                      <w:bCs/>
                      <w:sz w:val="21"/>
                      <w:szCs w:val="21"/>
                    </w:rPr>
                  </w:pPr>
                  <w:r>
                    <w:rPr>
                      <w:rFonts w:cs="Times New Roman"/>
                      <w:bCs/>
                      <w:sz w:val="21"/>
                      <w:szCs w:val="21"/>
                    </w:rPr>
                    <w:t>11月21日</w:t>
                  </w:r>
                </w:p>
              </w:tc>
              <w:tc>
                <w:tcPr>
                  <w:tcW w:w="2272" w:type="dxa"/>
                  <w:shd w:val="clear" w:color="auto" w:fill="auto"/>
                  <w:vAlign w:val="center"/>
                </w:tcPr>
                <w:p>
                  <w:pPr>
                    <w:jc w:val="center"/>
                    <w:rPr>
                      <w:rFonts w:cs="Times New Roman"/>
                      <w:bCs/>
                      <w:sz w:val="21"/>
                      <w:szCs w:val="21"/>
                    </w:rPr>
                  </w:pPr>
                  <w:r>
                    <w:rPr>
                      <w:rFonts w:cs="Times New Roman"/>
                      <w:bCs/>
                      <w:sz w:val="21"/>
                      <w:szCs w:val="21"/>
                    </w:rPr>
                    <w:t>2.2</w:t>
                  </w:r>
                </w:p>
              </w:tc>
              <w:tc>
                <w:tcPr>
                  <w:tcW w:w="2271" w:type="dxa"/>
                  <w:shd w:val="clear" w:color="auto" w:fill="auto"/>
                  <w:vAlign w:val="center"/>
                </w:tcPr>
                <w:p>
                  <w:pPr>
                    <w:jc w:val="center"/>
                    <w:rPr>
                      <w:rFonts w:cs="Times New Roman"/>
                      <w:bCs/>
                      <w:sz w:val="21"/>
                      <w:szCs w:val="21"/>
                    </w:rPr>
                  </w:pPr>
                  <w:r>
                    <w:rPr>
                      <w:rFonts w:cs="Times New Roman"/>
                      <w:bCs/>
                      <w:sz w:val="21"/>
                      <w:szCs w:val="21"/>
                    </w:rPr>
                    <w:t>2.1</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11月22日</w:t>
                  </w:r>
                </w:p>
              </w:tc>
              <w:tc>
                <w:tcPr>
                  <w:tcW w:w="2272" w:type="dxa"/>
                  <w:shd w:val="clear" w:color="auto" w:fill="auto"/>
                  <w:vAlign w:val="center"/>
                </w:tcPr>
                <w:p>
                  <w:pPr>
                    <w:jc w:val="center"/>
                    <w:rPr>
                      <w:rFonts w:cs="Times New Roman"/>
                      <w:bCs/>
                      <w:sz w:val="21"/>
                      <w:szCs w:val="21"/>
                    </w:rPr>
                  </w:pPr>
                  <w:r>
                    <w:rPr>
                      <w:rFonts w:cs="Times New Roman"/>
                      <w:bCs/>
                      <w:sz w:val="21"/>
                      <w:szCs w:val="21"/>
                    </w:rPr>
                    <w:t>2.3</w:t>
                  </w:r>
                </w:p>
              </w:tc>
              <w:tc>
                <w:tcPr>
                  <w:tcW w:w="2271" w:type="dxa"/>
                  <w:shd w:val="clear" w:color="auto" w:fill="auto"/>
                  <w:vAlign w:val="center"/>
                </w:tcPr>
                <w:p>
                  <w:pPr>
                    <w:jc w:val="center"/>
                    <w:rPr>
                      <w:rFonts w:cs="Times New Roman"/>
                      <w:bCs/>
                      <w:sz w:val="21"/>
                      <w:szCs w:val="21"/>
                    </w:rPr>
                  </w:pPr>
                  <w:r>
                    <w:rPr>
                      <w:rFonts w:cs="Times New Roman"/>
                      <w:bCs/>
                      <w:sz w:val="21"/>
                      <w:szCs w:val="21"/>
                    </w:rPr>
                    <w:t>2.1</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11月23日</w:t>
                  </w:r>
                </w:p>
              </w:tc>
              <w:tc>
                <w:tcPr>
                  <w:tcW w:w="2272" w:type="dxa"/>
                  <w:shd w:val="clear" w:color="auto" w:fill="auto"/>
                  <w:vAlign w:val="center"/>
                </w:tcPr>
                <w:p>
                  <w:pPr>
                    <w:jc w:val="center"/>
                    <w:rPr>
                      <w:rFonts w:cs="Times New Roman"/>
                      <w:bCs/>
                      <w:sz w:val="21"/>
                      <w:szCs w:val="21"/>
                    </w:rPr>
                  </w:pPr>
                  <w:r>
                    <w:rPr>
                      <w:rFonts w:cs="Times New Roman"/>
                      <w:bCs/>
                      <w:sz w:val="21"/>
                      <w:szCs w:val="21"/>
                    </w:rPr>
                    <w:t>2.2</w:t>
                  </w:r>
                </w:p>
              </w:tc>
              <w:tc>
                <w:tcPr>
                  <w:tcW w:w="2271" w:type="dxa"/>
                  <w:shd w:val="clear" w:color="auto" w:fill="auto"/>
                  <w:vAlign w:val="center"/>
                </w:tcPr>
                <w:p>
                  <w:pPr>
                    <w:jc w:val="center"/>
                    <w:rPr>
                      <w:rFonts w:cs="Times New Roman"/>
                      <w:bCs/>
                      <w:sz w:val="21"/>
                      <w:szCs w:val="21"/>
                    </w:rPr>
                  </w:pPr>
                  <w:r>
                    <w:rPr>
                      <w:rFonts w:cs="Times New Roman"/>
                      <w:bCs/>
                      <w:sz w:val="21"/>
                      <w:szCs w:val="21"/>
                    </w:rPr>
                    <w:t>2.3</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restart"/>
                  <w:shd w:val="clear" w:color="auto" w:fill="auto"/>
                  <w:vAlign w:val="center"/>
                </w:tcPr>
                <w:p>
                  <w:pPr>
                    <w:jc w:val="center"/>
                    <w:rPr>
                      <w:rFonts w:cs="Times New Roman"/>
                      <w:kern w:val="0"/>
                      <w:sz w:val="21"/>
                      <w:szCs w:val="21"/>
                    </w:rPr>
                  </w:pPr>
                  <w:r>
                    <w:rPr>
                      <w:rFonts w:cs="Times New Roman"/>
                      <w:kern w:val="0"/>
                      <w:sz w:val="21"/>
                      <w:szCs w:val="21"/>
                    </w:rPr>
                    <w:t>氨氮</w:t>
                  </w:r>
                </w:p>
              </w:tc>
              <w:tc>
                <w:tcPr>
                  <w:tcW w:w="1637" w:type="dxa"/>
                  <w:shd w:val="clear" w:color="auto" w:fill="auto"/>
                  <w:vAlign w:val="center"/>
                </w:tcPr>
                <w:p>
                  <w:pPr>
                    <w:jc w:val="center"/>
                    <w:rPr>
                      <w:rFonts w:cs="Times New Roman"/>
                      <w:bCs/>
                      <w:sz w:val="21"/>
                      <w:szCs w:val="21"/>
                    </w:rPr>
                  </w:pPr>
                  <w:r>
                    <w:rPr>
                      <w:rFonts w:cs="Times New Roman"/>
                      <w:bCs/>
                      <w:sz w:val="21"/>
                      <w:szCs w:val="21"/>
                    </w:rPr>
                    <w:t>11月21日</w:t>
                  </w:r>
                </w:p>
              </w:tc>
              <w:tc>
                <w:tcPr>
                  <w:tcW w:w="2272" w:type="dxa"/>
                  <w:shd w:val="clear" w:color="auto" w:fill="auto"/>
                  <w:vAlign w:val="center"/>
                </w:tcPr>
                <w:p>
                  <w:pPr>
                    <w:jc w:val="center"/>
                    <w:rPr>
                      <w:rFonts w:cs="Times New Roman"/>
                      <w:bCs/>
                      <w:sz w:val="21"/>
                      <w:szCs w:val="21"/>
                    </w:rPr>
                  </w:pPr>
                  <w:r>
                    <w:rPr>
                      <w:rFonts w:cs="Times New Roman"/>
                      <w:bCs/>
                      <w:sz w:val="21"/>
                      <w:szCs w:val="21"/>
                    </w:rPr>
                    <w:t>0.107</w:t>
                  </w:r>
                </w:p>
              </w:tc>
              <w:tc>
                <w:tcPr>
                  <w:tcW w:w="2271" w:type="dxa"/>
                  <w:shd w:val="clear" w:color="auto" w:fill="auto"/>
                  <w:vAlign w:val="center"/>
                </w:tcPr>
                <w:p>
                  <w:pPr>
                    <w:jc w:val="center"/>
                    <w:rPr>
                      <w:rFonts w:cs="Times New Roman"/>
                      <w:bCs/>
                      <w:sz w:val="21"/>
                      <w:szCs w:val="21"/>
                    </w:rPr>
                  </w:pPr>
                  <w:r>
                    <w:rPr>
                      <w:rFonts w:cs="Times New Roman"/>
                      <w:bCs/>
                      <w:sz w:val="21"/>
                      <w:szCs w:val="21"/>
                    </w:rPr>
                    <w:t>0.221</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11月22日</w:t>
                  </w:r>
                </w:p>
              </w:tc>
              <w:tc>
                <w:tcPr>
                  <w:tcW w:w="2272" w:type="dxa"/>
                  <w:shd w:val="clear" w:color="auto" w:fill="auto"/>
                  <w:vAlign w:val="center"/>
                </w:tcPr>
                <w:p>
                  <w:pPr>
                    <w:jc w:val="center"/>
                    <w:rPr>
                      <w:rFonts w:cs="Times New Roman"/>
                      <w:bCs/>
                      <w:sz w:val="21"/>
                      <w:szCs w:val="21"/>
                    </w:rPr>
                  </w:pPr>
                  <w:r>
                    <w:rPr>
                      <w:rFonts w:cs="Times New Roman"/>
                      <w:bCs/>
                      <w:sz w:val="21"/>
                      <w:szCs w:val="21"/>
                    </w:rPr>
                    <w:t>0.131</w:t>
                  </w:r>
                </w:p>
              </w:tc>
              <w:tc>
                <w:tcPr>
                  <w:tcW w:w="2271" w:type="dxa"/>
                  <w:shd w:val="clear" w:color="auto" w:fill="auto"/>
                  <w:vAlign w:val="center"/>
                </w:tcPr>
                <w:p>
                  <w:pPr>
                    <w:jc w:val="center"/>
                    <w:rPr>
                      <w:rFonts w:cs="Times New Roman"/>
                      <w:bCs/>
                      <w:sz w:val="21"/>
                      <w:szCs w:val="21"/>
                    </w:rPr>
                  </w:pPr>
                  <w:r>
                    <w:rPr>
                      <w:rFonts w:cs="Times New Roman"/>
                      <w:bCs/>
                      <w:sz w:val="21"/>
                      <w:szCs w:val="21"/>
                    </w:rPr>
                    <w:t>0.272</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11月23日</w:t>
                  </w:r>
                </w:p>
              </w:tc>
              <w:tc>
                <w:tcPr>
                  <w:tcW w:w="2272" w:type="dxa"/>
                  <w:shd w:val="clear" w:color="auto" w:fill="auto"/>
                  <w:vAlign w:val="center"/>
                </w:tcPr>
                <w:p>
                  <w:pPr>
                    <w:jc w:val="center"/>
                    <w:rPr>
                      <w:rFonts w:cs="Times New Roman"/>
                      <w:bCs/>
                      <w:sz w:val="21"/>
                      <w:szCs w:val="21"/>
                    </w:rPr>
                  </w:pPr>
                  <w:r>
                    <w:rPr>
                      <w:rFonts w:cs="Times New Roman"/>
                      <w:bCs/>
                      <w:sz w:val="21"/>
                      <w:szCs w:val="21"/>
                    </w:rPr>
                    <w:t>0.141</w:t>
                  </w:r>
                </w:p>
              </w:tc>
              <w:tc>
                <w:tcPr>
                  <w:tcW w:w="2271" w:type="dxa"/>
                  <w:shd w:val="clear" w:color="auto" w:fill="auto"/>
                  <w:vAlign w:val="center"/>
                </w:tcPr>
                <w:p>
                  <w:pPr>
                    <w:jc w:val="center"/>
                    <w:rPr>
                      <w:rFonts w:cs="Times New Roman"/>
                      <w:bCs/>
                      <w:sz w:val="21"/>
                      <w:szCs w:val="21"/>
                    </w:rPr>
                  </w:pPr>
                  <w:r>
                    <w:rPr>
                      <w:rFonts w:cs="Times New Roman"/>
                      <w:bCs/>
                      <w:sz w:val="21"/>
                      <w:szCs w:val="21"/>
                    </w:rPr>
                    <w:t>0.258</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restart"/>
                  <w:shd w:val="clear" w:color="auto" w:fill="auto"/>
                  <w:vAlign w:val="center"/>
                </w:tcPr>
                <w:p>
                  <w:pPr>
                    <w:jc w:val="center"/>
                    <w:rPr>
                      <w:rFonts w:cs="Times New Roman"/>
                      <w:kern w:val="0"/>
                      <w:sz w:val="21"/>
                      <w:szCs w:val="21"/>
                    </w:rPr>
                  </w:pPr>
                  <w:r>
                    <w:rPr>
                      <w:rFonts w:cs="Times New Roman"/>
                      <w:sz w:val="21"/>
                      <w:szCs w:val="21"/>
                    </w:rPr>
                    <w:t>总磷</w:t>
                  </w:r>
                </w:p>
              </w:tc>
              <w:tc>
                <w:tcPr>
                  <w:tcW w:w="1637" w:type="dxa"/>
                  <w:shd w:val="clear" w:color="auto" w:fill="auto"/>
                  <w:vAlign w:val="center"/>
                </w:tcPr>
                <w:p>
                  <w:pPr>
                    <w:jc w:val="center"/>
                    <w:rPr>
                      <w:rFonts w:cs="Times New Roman"/>
                      <w:bCs/>
                      <w:sz w:val="21"/>
                      <w:szCs w:val="21"/>
                    </w:rPr>
                  </w:pPr>
                  <w:r>
                    <w:rPr>
                      <w:rFonts w:cs="Times New Roman"/>
                      <w:bCs/>
                      <w:sz w:val="21"/>
                      <w:szCs w:val="21"/>
                    </w:rPr>
                    <w:t>11月21日</w:t>
                  </w:r>
                </w:p>
              </w:tc>
              <w:tc>
                <w:tcPr>
                  <w:tcW w:w="2272" w:type="dxa"/>
                  <w:shd w:val="clear" w:color="auto" w:fill="auto"/>
                  <w:vAlign w:val="center"/>
                </w:tcPr>
                <w:p>
                  <w:pPr>
                    <w:jc w:val="center"/>
                    <w:rPr>
                      <w:rFonts w:cs="Times New Roman"/>
                      <w:bCs/>
                      <w:sz w:val="21"/>
                      <w:szCs w:val="21"/>
                    </w:rPr>
                  </w:pPr>
                  <w:r>
                    <w:rPr>
                      <w:rFonts w:cs="Times New Roman"/>
                      <w:bCs/>
                      <w:sz w:val="21"/>
                      <w:szCs w:val="21"/>
                    </w:rPr>
                    <w:t>0.18</w:t>
                  </w:r>
                </w:p>
              </w:tc>
              <w:tc>
                <w:tcPr>
                  <w:tcW w:w="2271" w:type="dxa"/>
                  <w:shd w:val="clear" w:color="auto" w:fill="auto"/>
                  <w:vAlign w:val="center"/>
                </w:tcPr>
                <w:p>
                  <w:pPr>
                    <w:jc w:val="center"/>
                    <w:rPr>
                      <w:rFonts w:cs="Times New Roman"/>
                      <w:bCs/>
                      <w:sz w:val="21"/>
                      <w:szCs w:val="21"/>
                    </w:rPr>
                  </w:pPr>
                  <w:r>
                    <w:rPr>
                      <w:rFonts w:cs="Times New Roman"/>
                      <w:bCs/>
                      <w:sz w:val="21"/>
                      <w:szCs w:val="21"/>
                    </w:rPr>
                    <w:t>0.03</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11月22日</w:t>
                  </w:r>
                </w:p>
              </w:tc>
              <w:tc>
                <w:tcPr>
                  <w:tcW w:w="2272" w:type="dxa"/>
                  <w:shd w:val="clear" w:color="auto" w:fill="auto"/>
                  <w:vAlign w:val="center"/>
                </w:tcPr>
                <w:p>
                  <w:pPr>
                    <w:jc w:val="center"/>
                    <w:rPr>
                      <w:rFonts w:cs="Times New Roman"/>
                      <w:bCs/>
                      <w:sz w:val="21"/>
                      <w:szCs w:val="21"/>
                    </w:rPr>
                  </w:pPr>
                  <w:r>
                    <w:rPr>
                      <w:rFonts w:cs="Times New Roman"/>
                      <w:bCs/>
                      <w:sz w:val="21"/>
                      <w:szCs w:val="21"/>
                    </w:rPr>
                    <w:t>0.17</w:t>
                  </w:r>
                </w:p>
              </w:tc>
              <w:tc>
                <w:tcPr>
                  <w:tcW w:w="2271" w:type="dxa"/>
                  <w:shd w:val="clear" w:color="auto" w:fill="auto"/>
                  <w:vAlign w:val="center"/>
                </w:tcPr>
                <w:p>
                  <w:pPr>
                    <w:jc w:val="center"/>
                    <w:rPr>
                      <w:rFonts w:cs="Times New Roman"/>
                      <w:bCs/>
                      <w:sz w:val="21"/>
                      <w:szCs w:val="21"/>
                    </w:rPr>
                  </w:pPr>
                  <w:r>
                    <w:rPr>
                      <w:rFonts w:cs="Times New Roman"/>
                      <w:bCs/>
                      <w:sz w:val="21"/>
                      <w:szCs w:val="21"/>
                    </w:rPr>
                    <w:t>0.04</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jc w:val="center"/>
                    <w:rPr>
                      <w:rFonts w:cs="Times New Roman"/>
                      <w:kern w:val="0"/>
                      <w:sz w:val="21"/>
                      <w:szCs w:val="21"/>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11月23日</w:t>
                  </w:r>
                </w:p>
              </w:tc>
              <w:tc>
                <w:tcPr>
                  <w:tcW w:w="2272" w:type="dxa"/>
                  <w:shd w:val="clear" w:color="auto" w:fill="auto"/>
                  <w:vAlign w:val="center"/>
                </w:tcPr>
                <w:p>
                  <w:pPr>
                    <w:jc w:val="center"/>
                    <w:rPr>
                      <w:rFonts w:cs="Times New Roman"/>
                      <w:bCs/>
                      <w:sz w:val="21"/>
                      <w:szCs w:val="21"/>
                    </w:rPr>
                  </w:pPr>
                  <w:r>
                    <w:rPr>
                      <w:rFonts w:cs="Times New Roman"/>
                      <w:bCs/>
                      <w:sz w:val="21"/>
                      <w:szCs w:val="21"/>
                    </w:rPr>
                    <w:t>0.18</w:t>
                  </w:r>
                </w:p>
              </w:tc>
              <w:tc>
                <w:tcPr>
                  <w:tcW w:w="2271" w:type="dxa"/>
                  <w:shd w:val="clear" w:color="auto" w:fill="auto"/>
                  <w:vAlign w:val="center"/>
                </w:tcPr>
                <w:p>
                  <w:pPr>
                    <w:jc w:val="center"/>
                    <w:rPr>
                      <w:rFonts w:cs="Times New Roman"/>
                      <w:bCs/>
                      <w:sz w:val="21"/>
                      <w:szCs w:val="21"/>
                    </w:rPr>
                  </w:pPr>
                  <w:r>
                    <w:rPr>
                      <w:rFonts w:cs="Times New Roman"/>
                      <w:bCs/>
                      <w:sz w:val="21"/>
                      <w:szCs w:val="21"/>
                    </w:rPr>
                    <w:t>0.03</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restart"/>
                  <w:shd w:val="clear" w:color="auto" w:fill="auto"/>
                  <w:vAlign w:val="center"/>
                </w:tcPr>
                <w:p>
                  <w:pPr>
                    <w:widowControl/>
                    <w:jc w:val="center"/>
                    <w:rPr>
                      <w:rFonts w:cs="Times New Roman"/>
                      <w:kern w:val="0"/>
                      <w:sz w:val="21"/>
                      <w:szCs w:val="21"/>
                      <w:highlight w:val="yellow"/>
                    </w:rPr>
                  </w:pPr>
                  <w:r>
                    <w:rPr>
                      <w:rFonts w:cs="Times New Roman"/>
                      <w:sz w:val="21"/>
                      <w:szCs w:val="21"/>
                    </w:rPr>
                    <w:t>粪大肠菌群</w:t>
                  </w:r>
                  <w:r>
                    <w:rPr>
                      <w:rFonts w:cs="Times New Roman"/>
                      <w:bCs/>
                      <w:sz w:val="21"/>
                      <w:szCs w:val="21"/>
                    </w:rPr>
                    <w:t>（MPN/L）</w:t>
                  </w:r>
                </w:p>
              </w:tc>
              <w:tc>
                <w:tcPr>
                  <w:tcW w:w="1637" w:type="dxa"/>
                  <w:shd w:val="clear" w:color="auto" w:fill="auto"/>
                  <w:vAlign w:val="center"/>
                </w:tcPr>
                <w:p>
                  <w:pPr>
                    <w:jc w:val="center"/>
                    <w:rPr>
                      <w:rFonts w:cs="Times New Roman"/>
                      <w:bCs/>
                      <w:sz w:val="21"/>
                      <w:szCs w:val="21"/>
                    </w:rPr>
                  </w:pPr>
                  <w:r>
                    <w:rPr>
                      <w:rFonts w:cs="Times New Roman"/>
                      <w:bCs/>
                      <w:sz w:val="21"/>
                      <w:szCs w:val="21"/>
                    </w:rPr>
                    <w:t>11月21日</w:t>
                  </w:r>
                </w:p>
              </w:tc>
              <w:tc>
                <w:tcPr>
                  <w:tcW w:w="2272" w:type="dxa"/>
                  <w:shd w:val="clear" w:color="auto" w:fill="auto"/>
                  <w:vAlign w:val="center"/>
                </w:tcPr>
                <w:p>
                  <w:pPr>
                    <w:jc w:val="center"/>
                    <w:rPr>
                      <w:rFonts w:cs="Times New Roman"/>
                      <w:bCs/>
                      <w:sz w:val="21"/>
                      <w:szCs w:val="21"/>
                      <w:vertAlign w:val="superscript"/>
                    </w:rPr>
                  </w:pPr>
                  <w:r>
                    <w:rPr>
                      <w:rFonts w:cs="Times New Roman"/>
                      <w:bCs/>
                      <w:sz w:val="21"/>
                      <w:szCs w:val="21"/>
                    </w:rPr>
                    <w:t>1.1</w:t>
                  </w:r>
                  <w:r>
                    <w:rPr>
                      <w:rFonts w:cs="Times New Roman"/>
                      <w:sz w:val="21"/>
                      <w:szCs w:val="21"/>
                    </w:rPr>
                    <w:t>×</w:t>
                  </w:r>
                  <w:r>
                    <w:rPr>
                      <w:rFonts w:cs="Times New Roman"/>
                      <w:bCs/>
                      <w:sz w:val="21"/>
                      <w:szCs w:val="21"/>
                    </w:rPr>
                    <w:t>10</w:t>
                  </w:r>
                  <w:r>
                    <w:rPr>
                      <w:rFonts w:cs="Times New Roman"/>
                      <w:bCs/>
                      <w:sz w:val="21"/>
                      <w:szCs w:val="21"/>
                      <w:vertAlign w:val="superscript"/>
                    </w:rPr>
                    <w:t>4</w:t>
                  </w:r>
                </w:p>
              </w:tc>
              <w:tc>
                <w:tcPr>
                  <w:tcW w:w="2271" w:type="dxa"/>
                  <w:shd w:val="clear" w:color="auto" w:fill="auto"/>
                  <w:vAlign w:val="center"/>
                </w:tcPr>
                <w:p>
                  <w:pPr>
                    <w:jc w:val="center"/>
                    <w:rPr>
                      <w:rFonts w:cs="Times New Roman"/>
                      <w:bCs/>
                      <w:sz w:val="21"/>
                      <w:szCs w:val="21"/>
                    </w:rPr>
                  </w:pPr>
                  <w:r>
                    <w:rPr>
                      <w:rFonts w:cs="Times New Roman"/>
                      <w:bCs/>
                      <w:sz w:val="21"/>
                      <w:szCs w:val="21"/>
                    </w:rPr>
                    <w:t>1.3</w:t>
                  </w:r>
                  <w:r>
                    <w:rPr>
                      <w:rFonts w:cs="Times New Roman"/>
                      <w:sz w:val="21"/>
                      <w:szCs w:val="21"/>
                    </w:rPr>
                    <w:t>×</w:t>
                  </w:r>
                  <w:r>
                    <w:rPr>
                      <w:rFonts w:cs="Times New Roman"/>
                      <w:bCs/>
                      <w:sz w:val="21"/>
                      <w:szCs w:val="21"/>
                    </w:rPr>
                    <w:t>10</w:t>
                  </w:r>
                  <w:r>
                    <w:rPr>
                      <w:rFonts w:cs="Times New Roman"/>
                      <w:bCs/>
                      <w:sz w:val="21"/>
                      <w:szCs w:val="21"/>
                      <w:vertAlign w:val="superscript"/>
                    </w:rPr>
                    <w:t>4</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widowControl/>
                    <w:jc w:val="center"/>
                    <w:rPr>
                      <w:rFonts w:cs="Times New Roman"/>
                      <w:kern w:val="0"/>
                      <w:sz w:val="21"/>
                      <w:szCs w:val="21"/>
                      <w:highlight w:val="yellow"/>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11月22日</w:t>
                  </w:r>
                </w:p>
              </w:tc>
              <w:tc>
                <w:tcPr>
                  <w:tcW w:w="2272" w:type="dxa"/>
                  <w:shd w:val="clear" w:color="auto" w:fill="auto"/>
                  <w:vAlign w:val="center"/>
                </w:tcPr>
                <w:p>
                  <w:pPr>
                    <w:jc w:val="center"/>
                    <w:rPr>
                      <w:rFonts w:cs="Times New Roman"/>
                      <w:bCs/>
                      <w:sz w:val="21"/>
                      <w:szCs w:val="21"/>
                    </w:rPr>
                  </w:pPr>
                  <w:r>
                    <w:rPr>
                      <w:rFonts w:cs="Times New Roman"/>
                      <w:bCs/>
                      <w:sz w:val="21"/>
                      <w:szCs w:val="21"/>
                    </w:rPr>
                    <w:t>1.1</w:t>
                  </w:r>
                  <w:r>
                    <w:rPr>
                      <w:rFonts w:cs="Times New Roman"/>
                      <w:sz w:val="21"/>
                      <w:szCs w:val="21"/>
                    </w:rPr>
                    <w:t>×</w:t>
                  </w:r>
                  <w:r>
                    <w:rPr>
                      <w:rFonts w:cs="Times New Roman"/>
                      <w:bCs/>
                      <w:sz w:val="21"/>
                      <w:szCs w:val="21"/>
                    </w:rPr>
                    <w:t>10</w:t>
                  </w:r>
                  <w:r>
                    <w:rPr>
                      <w:rFonts w:cs="Times New Roman"/>
                      <w:bCs/>
                      <w:sz w:val="21"/>
                      <w:szCs w:val="21"/>
                      <w:vertAlign w:val="superscript"/>
                    </w:rPr>
                    <w:t>4</w:t>
                  </w:r>
                </w:p>
              </w:tc>
              <w:tc>
                <w:tcPr>
                  <w:tcW w:w="2271" w:type="dxa"/>
                  <w:shd w:val="clear" w:color="auto" w:fill="auto"/>
                  <w:vAlign w:val="center"/>
                </w:tcPr>
                <w:p>
                  <w:pPr>
                    <w:jc w:val="center"/>
                    <w:rPr>
                      <w:rFonts w:cs="Times New Roman"/>
                      <w:b/>
                      <w:sz w:val="21"/>
                      <w:szCs w:val="21"/>
                    </w:rPr>
                  </w:pPr>
                  <w:r>
                    <w:rPr>
                      <w:rFonts w:cs="Times New Roman"/>
                      <w:bCs/>
                      <w:sz w:val="21"/>
                      <w:szCs w:val="21"/>
                    </w:rPr>
                    <w:t>1.2</w:t>
                  </w:r>
                  <w:r>
                    <w:rPr>
                      <w:rFonts w:cs="Times New Roman"/>
                      <w:sz w:val="21"/>
                      <w:szCs w:val="21"/>
                    </w:rPr>
                    <w:t>×</w:t>
                  </w:r>
                  <w:r>
                    <w:rPr>
                      <w:rFonts w:cs="Times New Roman"/>
                      <w:bCs/>
                      <w:sz w:val="21"/>
                      <w:szCs w:val="21"/>
                    </w:rPr>
                    <w:t>10</w:t>
                  </w:r>
                  <w:r>
                    <w:rPr>
                      <w:rFonts w:cs="Times New Roman"/>
                      <w:bCs/>
                      <w:sz w:val="21"/>
                      <w:szCs w:val="21"/>
                      <w:vertAlign w:val="superscript"/>
                    </w:rPr>
                    <w:t>4</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5" w:type="dxa"/>
                  <w:vMerge w:val="continue"/>
                  <w:shd w:val="clear" w:color="auto" w:fill="auto"/>
                  <w:vAlign w:val="center"/>
                </w:tcPr>
                <w:p>
                  <w:pPr>
                    <w:widowControl/>
                    <w:jc w:val="center"/>
                    <w:rPr>
                      <w:rFonts w:cs="Times New Roman"/>
                      <w:kern w:val="0"/>
                      <w:sz w:val="21"/>
                      <w:szCs w:val="21"/>
                      <w:highlight w:val="yellow"/>
                    </w:rPr>
                  </w:pPr>
                </w:p>
              </w:tc>
              <w:tc>
                <w:tcPr>
                  <w:tcW w:w="1637" w:type="dxa"/>
                  <w:shd w:val="clear" w:color="auto" w:fill="auto"/>
                  <w:vAlign w:val="center"/>
                </w:tcPr>
                <w:p>
                  <w:pPr>
                    <w:jc w:val="center"/>
                    <w:rPr>
                      <w:rFonts w:cs="Times New Roman"/>
                      <w:bCs/>
                      <w:sz w:val="21"/>
                      <w:szCs w:val="21"/>
                    </w:rPr>
                  </w:pPr>
                  <w:r>
                    <w:rPr>
                      <w:rFonts w:cs="Times New Roman"/>
                      <w:bCs/>
                      <w:sz w:val="21"/>
                      <w:szCs w:val="21"/>
                    </w:rPr>
                    <w:t>11月23日</w:t>
                  </w:r>
                </w:p>
              </w:tc>
              <w:tc>
                <w:tcPr>
                  <w:tcW w:w="2272" w:type="dxa"/>
                  <w:shd w:val="clear" w:color="auto" w:fill="auto"/>
                  <w:vAlign w:val="center"/>
                </w:tcPr>
                <w:p>
                  <w:pPr>
                    <w:jc w:val="center"/>
                    <w:rPr>
                      <w:rFonts w:cs="Times New Roman"/>
                      <w:bCs/>
                      <w:sz w:val="21"/>
                      <w:szCs w:val="21"/>
                    </w:rPr>
                  </w:pPr>
                  <w:r>
                    <w:rPr>
                      <w:rFonts w:cs="Times New Roman"/>
                      <w:bCs/>
                      <w:sz w:val="21"/>
                      <w:szCs w:val="21"/>
                    </w:rPr>
                    <w:t>1.1</w:t>
                  </w:r>
                  <w:r>
                    <w:rPr>
                      <w:rFonts w:cs="Times New Roman"/>
                      <w:sz w:val="21"/>
                      <w:szCs w:val="21"/>
                    </w:rPr>
                    <w:t>×</w:t>
                  </w:r>
                  <w:r>
                    <w:rPr>
                      <w:rFonts w:cs="Times New Roman"/>
                      <w:bCs/>
                      <w:sz w:val="21"/>
                      <w:szCs w:val="21"/>
                    </w:rPr>
                    <w:t>10</w:t>
                  </w:r>
                  <w:r>
                    <w:rPr>
                      <w:rFonts w:cs="Times New Roman"/>
                      <w:bCs/>
                      <w:sz w:val="21"/>
                      <w:szCs w:val="21"/>
                      <w:vertAlign w:val="superscript"/>
                    </w:rPr>
                    <w:t>4</w:t>
                  </w:r>
                </w:p>
              </w:tc>
              <w:tc>
                <w:tcPr>
                  <w:tcW w:w="2271" w:type="dxa"/>
                  <w:shd w:val="clear" w:color="auto" w:fill="auto"/>
                  <w:vAlign w:val="center"/>
                </w:tcPr>
                <w:p>
                  <w:pPr>
                    <w:jc w:val="center"/>
                    <w:rPr>
                      <w:rFonts w:cs="Times New Roman"/>
                      <w:bCs/>
                      <w:sz w:val="21"/>
                      <w:szCs w:val="21"/>
                    </w:rPr>
                  </w:pPr>
                  <w:r>
                    <w:rPr>
                      <w:rFonts w:cs="Times New Roman"/>
                      <w:bCs/>
                      <w:sz w:val="21"/>
                      <w:szCs w:val="21"/>
                    </w:rPr>
                    <w:t>1.3</w:t>
                  </w:r>
                  <w:r>
                    <w:rPr>
                      <w:rFonts w:cs="Times New Roman"/>
                      <w:sz w:val="21"/>
                      <w:szCs w:val="21"/>
                    </w:rPr>
                    <w:t>×</w:t>
                  </w:r>
                  <w:r>
                    <w:rPr>
                      <w:rFonts w:cs="Times New Roman"/>
                      <w:bCs/>
                      <w:sz w:val="21"/>
                      <w:szCs w:val="21"/>
                    </w:rPr>
                    <w:t>10</w:t>
                  </w:r>
                  <w:r>
                    <w:rPr>
                      <w:rFonts w:cs="Times New Roman"/>
                      <w:bCs/>
                      <w:sz w:val="21"/>
                      <w:szCs w:val="21"/>
                      <w:vertAlign w:val="superscript"/>
                    </w:rPr>
                    <w:t>4</w:t>
                  </w:r>
                </w:p>
              </w:tc>
              <w:tc>
                <w:tcPr>
                  <w:tcW w:w="1027" w:type="dxa"/>
                  <w:shd w:val="clear" w:color="auto" w:fill="auto"/>
                  <w:vAlign w:val="center"/>
                </w:tcPr>
                <w:p>
                  <w:pPr>
                    <w:jc w:val="center"/>
                    <w:rPr>
                      <w:rFonts w:cs="Times New Roman"/>
                      <w:bCs/>
                      <w:sz w:val="21"/>
                      <w:szCs w:val="21"/>
                    </w:rPr>
                  </w:pPr>
                  <w:r>
                    <w:rPr>
                      <w:rFonts w:cs="Times New Roman"/>
                      <w:bCs/>
                      <w:sz w:val="21"/>
                      <w:szCs w:val="21"/>
                    </w:rPr>
                    <w:t>/</w:t>
                  </w:r>
                </w:p>
              </w:tc>
            </w:tr>
          </w:tbl>
          <w:p>
            <w:pPr>
              <w:pStyle w:val="7"/>
              <w:ind w:firstLine="480" w:firstLineChars="200"/>
              <w:rPr>
                <w:szCs w:val="24"/>
              </w:rPr>
            </w:pPr>
            <w:r>
              <w:rPr>
                <w:szCs w:val="24"/>
              </w:rPr>
              <w:t>（1）评价方法</w:t>
            </w:r>
          </w:p>
          <w:p>
            <w:pPr>
              <w:tabs>
                <w:tab w:val="left" w:pos="6030"/>
              </w:tabs>
              <w:adjustRightInd w:val="0"/>
              <w:snapToGrid w:val="0"/>
              <w:spacing w:line="360" w:lineRule="auto"/>
              <w:ind w:firstLine="480" w:firstLineChars="200"/>
            </w:pPr>
            <w:r>
              <w:t>根据监测结果，统计出各监测断面各污染因子的测值范围、超标率、最大超标倍数，并采用</w:t>
            </w:r>
            <w:r>
              <w:rPr>
                <w:rFonts w:hint="eastAsia"/>
              </w:rPr>
              <w:t>水质</w:t>
            </w:r>
            <w:r>
              <w:t>指数法进行现状评价。计算公式如下：</w:t>
            </w:r>
          </w:p>
          <w:p>
            <w:pPr>
              <w:tabs>
                <w:tab w:val="left" w:pos="6030"/>
              </w:tabs>
              <w:adjustRightInd w:val="0"/>
              <w:snapToGrid w:val="0"/>
              <w:spacing w:line="360" w:lineRule="auto"/>
              <w:ind w:left="480" w:leftChars="200"/>
            </w:pPr>
            <w:r>
              <w:t>1）一般</w:t>
            </w:r>
            <w:r>
              <w:rPr>
                <w:rFonts w:hint="eastAsia"/>
              </w:rPr>
              <w:t>水质因子的指数法</w:t>
            </w:r>
            <w:r>
              <w:t>计算公式：</w:t>
            </w:r>
          </w:p>
          <w:p>
            <w:pPr>
              <w:tabs>
                <w:tab w:val="left" w:pos="6030"/>
              </w:tabs>
              <w:adjustRightInd w:val="0"/>
              <w:snapToGrid w:val="0"/>
              <w:spacing w:line="360" w:lineRule="auto"/>
              <w:jc w:val="center"/>
            </w:pPr>
            <w:r>
              <w:object>
                <v:shape id="_x0000_i1025" o:spt="75" type="#_x0000_t75" style="height:38.7pt;width:82.75pt;" o:ole="t" filled="f" o:preferrelative="t" stroked="f" coordsize="21600,21600">
                  <v:path/>
                  <v:fill on="f" focussize="0,0"/>
                  <v:stroke on="f" joinstyle="miter"/>
                  <v:imagedata r:id="rId12" o:title=""/>
                  <o:lock v:ext="edit" aspectratio="t"/>
                  <w10:wrap type="none"/>
                  <w10:anchorlock/>
                </v:shape>
                <o:OLEObject Type="Embed" ProgID="Equation.3" ShapeID="_x0000_i1025" DrawAspect="Content" ObjectID="_1468075725" r:id="rId11">
                  <o:LockedField>false</o:LockedField>
                </o:OLEObject>
              </w:object>
            </w:r>
          </w:p>
          <w:p>
            <w:pPr>
              <w:tabs>
                <w:tab w:val="left" w:pos="6030"/>
              </w:tabs>
              <w:adjustRightInd w:val="0"/>
              <w:snapToGrid w:val="0"/>
              <w:spacing w:line="360" w:lineRule="auto"/>
              <w:ind w:firstLine="480" w:firstLineChars="200"/>
            </w:pPr>
            <w:r>
              <w:t>式中：S</w:t>
            </w:r>
            <w:r>
              <w:rPr>
                <w:vertAlign w:val="subscript"/>
              </w:rPr>
              <w:t>ij</w:t>
            </w:r>
            <w:r>
              <w:t>：评价因子i的水质指数，大于1表示该水质因子超标；</w:t>
            </w:r>
          </w:p>
          <w:p>
            <w:pPr>
              <w:tabs>
                <w:tab w:val="left" w:pos="6030"/>
              </w:tabs>
              <w:adjustRightInd w:val="0"/>
              <w:snapToGrid w:val="0"/>
              <w:spacing w:line="360" w:lineRule="auto"/>
              <w:ind w:firstLine="1200" w:firstLineChars="500"/>
            </w:pPr>
            <w:r>
              <w:t>C</w:t>
            </w:r>
            <w:r>
              <w:rPr>
                <w:vertAlign w:val="subscript"/>
              </w:rPr>
              <w:t>ij</w:t>
            </w:r>
            <w:r>
              <w:t>：评价因子i在j点的实测统计代表值，mg/L；</w:t>
            </w:r>
          </w:p>
          <w:p>
            <w:pPr>
              <w:tabs>
                <w:tab w:val="left" w:pos="6030"/>
              </w:tabs>
              <w:adjustRightInd w:val="0"/>
              <w:snapToGrid w:val="0"/>
              <w:spacing w:line="360" w:lineRule="auto"/>
              <w:ind w:firstLine="1200" w:firstLineChars="500"/>
            </w:pPr>
            <w:r>
              <w:t>C</w:t>
            </w:r>
            <w:r>
              <w:rPr>
                <w:vertAlign w:val="subscript"/>
              </w:rPr>
              <w:t>si</w:t>
            </w:r>
            <w:r>
              <w:t>：评价因子i的评价标准限值，mg/L。</w:t>
            </w:r>
          </w:p>
          <w:p>
            <w:pPr>
              <w:tabs>
                <w:tab w:val="left" w:pos="6030"/>
              </w:tabs>
              <w:adjustRightInd w:val="0"/>
              <w:snapToGrid w:val="0"/>
              <w:spacing w:line="360" w:lineRule="auto"/>
              <w:ind w:firstLine="480" w:firstLineChars="200"/>
            </w:pPr>
            <w:r>
              <w:t>2）pH的标准指数为：</w:t>
            </w:r>
          </w:p>
          <w:p>
            <w:pPr>
              <w:tabs>
                <w:tab w:val="left" w:pos="6030"/>
              </w:tabs>
              <w:adjustRightInd w:val="0"/>
              <w:snapToGrid w:val="0"/>
              <w:spacing w:line="360" w:lineRule="auto"/>
              <w:ind w:firstLine="480" w:firstLineChars="200"/>
            </w:pPr>
            <w:r>
              <w:t>当pH</w:t>
            </w:r>
            <w:r>
              <w:rPr>
                <w:vertAlign w:val="subscript"/>
              </w:rPr>
              <w:t>j</w:t>
            </w:r>
            <w:r>
              <w:t xml:space="preserve">≤7.0      </w:t>
            </w:r>
            <w:r>
              <w:rPr>
                <w:snapToGrid w:val="0"/>
                <w:position w:val="-30"/>
              </w:rPr>
              <w:object>
                <v:shape id="_x0000_i1026" o:spt="75" type="#_x0000_t75" style="height:33.3pt;width:85.95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3">
                  <o:LockedField>false</o:LockedField>
                </o:OLEObject>
              </w:object>
            </w:r>
          </w:p>
          <w:p>
            <w:pPr>
              <w:tabs>
                <w:tab w:val="left" w:pos="6030"/>
              </w:tabs>
              <w:adjustRightInd w:val="0"/>
              <w:snapToGrid w:val="0"/>
              <w:spacing w:line="360" w:lineRule="auto"/>
              <w:ind w:firstLine="480" w:firstLineChars="200"/>
            </w:pPr>
            <w:r>
              <w:t>当pH</w:t>
            </w:r>
            <w:r>
              <w:rPr>
                <w:vertAlign w:val="subscript"/>
              </w:rPr>
              <w:t>j</w:t>
            </w:r>
            <w:r>
              <w:t xml:space="preserve">≥7.0     </w:t>
            </w:r>
            <w:r>
              <w:rPr>
                <w:snapToGrid w:val="0"/>
                <w:position w:val="-30"/>
              </w:rPr>
              <w:object>
                <v:shape id="_x0000_i1027" o:spt="75" type="#_x0000_t75" style="height:35.45pt;width:93.5pt;" o:ole="t" filled="f" o:preferrelative="t" stroked="f" coordsize="21600,21600">
                  <v:path/>
                  <v:fill on="f" focussize="0,0"/>
                  <v:stroke on="f" joinstyle="miter"/>
                  <v:imagedata r:id="rId16" o:title=""/>
                  <o:lock v:ext="edit" aspectratio="t"/>
                  <w10:wrap type="none"/>
                  <w10:anchorlock/>
                </v:shape>
                <o:OLEObject Type="Embed" ProgID="Equation.3" ShapeID="_x0000_i1027" DrawAspect="Content" ObjectID="_1468075727" r:id="rId15">
                  <o:LockedField>false</o:LockedField>
                </o:OLEObject>
              </w:object>
            </w:r>
          </w:p>
          <w:p>
            <w:pPr>
              <w:tabs>
                <w:tab w:val="left" w:pos="6030"/>
              </w:tabs>
              <w:adjustRightInd w:val="0"/>
              <w:snapToGrid w:val="0"/>
              <w:spacing w:line="360" w:lineRule="auto"/>
              <w:ind w:firstLine="480" w:firstLineChars="200"/>
            </w:pPr>
            <w:r>
              <w:t>式中：S</w:t>
            </w:r>
            <w:r>
              <w:rPr>
                <w:vertAlign w:val="subscript"/>
              </w:rPr>
              <w:t>pH，j</w:t>
            </w:r>
            <w:r>
              <w:t>：pH值的指数，大于1表面该水质因子超标；</w:t>
            </w:r>
          </w:p>
          <w:p>
            <w:pPr>
              <w:tabs>
                <w:tab w:val="left" w:pos="6030"/>
              </w:tabs>
              <w:adjustRightInd w:val="0"/>
              <w:snapToGrid w:val="0"/>
              <w:spacing w:line="360" w:lineRule="auto"/>
              <w:ind w:firstLine="1200" w:firstLineChars="500"/>
            </w:pPr>
            <w:r>
              <w:t>pH</w:t>
            </w:r>
            <w:r>
              <w:rPr>
                <w:vertAlign w:val="subscript"/>
              </w:rPr>
              <w:t>j</w:t>
            </w:r>
            <w:r>
              <w:t>：j点的pH值；</w:t>
            </w:r>
          </w:p>
          <w:p>
            <w:pPr>
              <w:tabs>
                <w:tab w:val="left" w:pos="6030"/>
              </w:tabs>
              <w:adjustRightInd w:val="0"/>
              <w:snapToGrid w:val="0"/>
              <w:spacing w:line="360" w:lineRule="auto"/>
              <w:ind w:firstLine="1200" w:firstLineChars="500"/>
            </w:pPr>
            <w:r>
              <w:object>
                <v:shape id="_x0000_i1028" o:spt="75" type="#_x0000_t75" style="height:18.25pt;width:29pt;" o:ole="t" filled="f" o:preferrelative="t" stroked="f" coordsize="21600,21600">
                  <v:path/>
                  <v:fill on="f" focussize="0,0"/>
                  <v:stroke on="f" joinstyle="miter"/>
                  <v:imagedata r:id="rId18" o:title=""/>
                  <o:lock v:ext="edit" aspectratio="t"/>
                  <w10:wrap type="none"/>
                  <w10:anchorlock/>
                </v:shape>
                <o:OLEObject Type="Embed" ProgID="Equation.3" ShapeID="_x0000_i1028" DrawAspect="Content" ObjectID="_1468075728" r:id="rId17">
                  <o:LockedField>false</o:LockedField>
                </o:OLEObject>
              </w:object>
            </w:r>
            <w:r>
              <w:t>：地表水水质标准规定的pH的下限值；</w:t>
            </w:r>
          </w:p>
          <w:p>
            <w:pPr>
              <w:pStyle w:val="7"/>
              <w:ind w:firstLine="1132" w:firstLineChars="472"/>
              <w:rPr>
                <w:szCs w:val="24"/>
              </w:rPr>
            </w:pPr>
            <w:r>
              <w:rPr>
                <w:szCs w:val="24"/>
              </w:rPr>
              <w:object>
                <v:shape id="_x0000_i1029" o:spt="75" type="#_x0000_t75" style="height:18.25pt;width:29pt;" o:ole="t" filled="f" o:preferrelative="t" stroked="f" coordsize="21600,21600">
                  <v:path/>
                  <v:fill on="f" focussize="0,0"/>
                  <v:stroke on="f" joinstyle="miter"/>
                  <v:imagedata r:id="rId20" o:title=""/>
                  <o:lock v:ext="edit" aspectratio="t"/>
                  <w10:wrap type="none"/>
                  <w10:anchorlock/>
                </v:shape>
                <o:OLEObject Type="Embed" ProgID="Equation.3" ShapeID="_x0000_i1029" DrawAspect="Content" ObjectID="_1468075729" r:id="rId19">
                  <o:LockedField>false</o:LockedField>
                </o:OLEObject>
              </w:object>
            </w:r>
            <w:r>
              <w:rPr>
                <w:szCs w:val="24"/>
              </w:rPr>
              <w:t>：地表水水质标准规定的pH的上限值。</w:t>
            </w:r>
          </w:p>
          <w:p>
            <w:pPr>
              <w:adjustRightInd w:val="0"/>
              <w:snapToGrid w:val="0"/>
              <w:spacing w:line="360" w:lineRule="auto"/>
              <w:ind w:firstLine="480" w:firstLineChars="200"/>
            </w:pPr>
            <w:r>
              <w:t>（2）评价标准</w:t>
            </w:r>
          </w:p>
          <w:p>
            <w:pPr>
              <w:autoSpaceDE w:val="0"/>
              <w:autoSpaceDN w:val="0"/>
              <w:adjustRightInd w:val="0"/>
              <w:snapToGrid w:val="0"/>
              <w:spacing w:line="360" w:lineRule="auto"/>
              <w:ind w:firstLine="480" w:firstLineChars="200"/>
              <w:textAlignment w:val="center"/>
            </w:pPr>
            <w:r>
              <w:rPr>
                <w:kern w:val="0"/>
                <w:lang w:bidi="ar"/>
              </w:rPr>
              <w:t>地表水环境质量执行《地表水质量标准》GB3838-2002中</w:t>
            </w:r>
            <w:r>
              <w:rPr>
                <w:rFonts w:hint="eastAsia"/>
                <w:kern w:val="0"/>
                <w:lang w:bidi="ar"/>
              </w:rPr>
              <w:t>Ⅲ</w:t>
            </w:r>
            <w:r>
              <w:rPr>
                <w:kern w:val="0"/>
                <w:lang w:bidi="ar"/>
              </w:rPr>
              <w:t>类标准限值。</w:t>
            </w:r>
          </w:p>
          <w:p>
            <w:pPr>
              <w:adjustRightInd w:val="0"/>
              <w:snapToGrid w:val="0"/>
              <w:spacing w:line="360" w:lineRule="auto"/>
              <w:ind w:firstLine="480" w:firstLineChars="200"/>
            </w:pPr>
            <w:r>
              <w:t>（3）评价结果</w:t>
            </w:r>
          </w:p>
          <w:p>
            <w:pPr>
              <w:adjustRightInd w:val="0"/>
              <w:snapToGrid w:val="0"/>
              <w:jc w:val="center"/>
              <w:rPr>
                <w:rFonts w:cs="Times New Roman"/>
                <w:b/>
                <w:szCs w:val="24"/>
              </w:rPr>
            </w:pPr>
            <w:r>
              <w:rPr>
                <w:rFonts w:cs="Times New Roman"/>
                <w:b/>
                <w:szCs w:val="24"/>
              </w:rPr>
              <w:t>表3-7  地表水水质现状评价结果</w:t>
            </w:r>
          </w:p>
          <w:p>
            <w:pPr>
              <w:adjustRightInd w:val="0"/>
              <w:snapToGrid w:val="0"/>
              <w:spacing w:line="360" w:lineRule="auto"/>
              <w:jc w:val="right"/>
              <w:rPr>
                <w:rFonts w:cs="Times New Roman"/>
                <w:bCs/>
                <w:szCs w:val="24"/>
              </w:rPr>
            </w:pPr>
            <w:r>
              <w:rPr>
                <w:rFonts w:hint="eastAsia" w:cs="Times New Roman"/>
                <w:bCs/>
                <w:szCs w:val="24"/>
              </w:rPr>
              <w:t>单位：mg/</w:t>
            </w:r>
            <w:r>
              <w:rPr>
                <w:rFonts w:cs="Times New Roman"/>
                <w:bCs/>
                <w:szCs w:val="24"/>
              </w:rPr>
              <w:t>L</w:t>
            </w:r>
          </w:p>
          <w:tbl>
            <w:tblPr>
              <w:tblStyle w:val="30"/>
              <w:tblW w:w="9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626"/>
              <w:gridCol w:w="1275"/>
              <w:gridCol w:w="960"/>
              <w:gridCol w:w="1275"/>
              <w:gridCol w:w="1275"/>
              <w:gridCol w:w="1162"/>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3" w:type="dxa"/>
                  <w:vAlign w:val="center"/>
                </w:tcPr>
                <w:p>
                  <w:pPr>
                    <w:pStyle w:val="46"/>
                    <w:rPr>
                      <w:rFonts w:cs="Times New Roman"/>
                      <w:b/>
                      <w:bCs/>
                      <w:sz w:val="21"/>
                      <w:szCs w:val="21"/>
                    </w:rPr>
                  </w:pPr>
                  <w:r>
                    <w:rPr>
                      <w:rFonts w:cs="Times New Roman"/>
                      <w:b/>
                      <w:bCs/>
                      <w:sz w:val="21"/>
                      <w:szCs w:val="21"/>
                    </w:rPr>
                    <w:t>监测断面</w:t>
                  </w:r>
                </w:p>
              </w:tc>
              <w:tc>
                <w:tcPr>
                  <w:tcW w:w="692" w:type="dxa"/>
                  <w:vAlign w:val="center"/>
                </w:tcPr>
                <w:p>
                  <w:pPr>
                    <w:pStyle w:val="46"/>
                    <w:rPr>
                      <w:rFonts w:cs="Times New Roman"/>
                      <w:b/>
                      <w:bCs/>
                      <w:sz w:val="21"/>
                      <w:szCs w:val="21"/>
                    </w:rPr>
                  </w:pPr>
                  <w:r>
                    <w:rPr>
                      <w:rFonts w:cs="Times New Roman"/>
                      <w:b/>
                      <w:bCs/>
                      <w:sz w:val="21"/>
                      <w:szCs w:val="21"/>
                    </w:rPr>
                    <w:t>内容</w:t>
                  </w:r>
                </w:p>
              </w:tc>
              <w:tc>
                <w:tcPr>
                  <w:tcW w:w="1275" w:type="dxa"/>
                  <w:vAlign w:val="center"/>
                </w:tcPr>
                <w:p>
                  <w:pPr>
                    <w:pStyle w:val="46"/>
                    <w:rPr>
                      <w:rFonts w:cs="Times New Roman"/>
                      <w:b/>
                      <w:bCs/>
                      <w:sz w:val="21"/>
                      <w:szCs w:val="21"/>
                    </w:rPr>
                  </w:pPr>
                  <w:r>
                    <w:rPr>
                      <w:rFonts w:cs="Times New Roman"/>
                      <w:b/>
                      <w:bCs/>
                      <w:sz w:val="21"/>
                      <w:szCs w:val="21"/>
                    </w:rPr>
                    <w:t>pH（无量纲）</w:t>
                  </w:r>
                </w:p>
              </w:tc>
              <w:tc>
                <w:tcPr>
                  <w:tcW w:w="960" w:type="dxa"/>
                  <w:vAlign w:val="center"/>
                </w:tcPr>
                <w:p>
                  <w:pPr>
                    <w:pStyle w:val="46"/>
                    <w:rPr>
                      <w:rFonts w:cs="Times New Roman"/>
                      <w:b/>
                      <w:bCs/>
                      <w:sz w:val="21"/>
                      <w:szCs w:val="21"/>
                    </w:rPr>
                  </w:pPr>
                  <w:r>
                    <w:rPr>
                      <w:rFonts w:cs="Times New Roman"/>
                      <w:b/>
                      <w:bCs/>
                      <w:sz w:val="21"/>
                      <w:szCs w:val="21"/>
                    </w:rPr>
                    <w:t>化学需氧量</w:t>
                  </w:r>
                </w:p>
              </w:tc>
              <w:tc>
                <w:tcPr>
                  <w:tcW w:w="1275" w:type="dxa"/>
                  <w:vAlign w:val="center"/>
                </w:tcPr>
                <w:p>
                  <w:pPr>
                    <w:pStyle w:val="46"/>
                    <w:rPr>
                      <w:rFonts w:cs="Times New Roman"/>
                      <w:b/>
                      <w:bCs/>
                      <w:sz w:val="21"/>
                      <w:szCs w:val="21"/>
                    </w:rPr>
                  </w:pPr>
                  <w:r>
                    <w:rPr>
                      <w:rFonts w:cs="Times New Roman"/>
                      <w:b/>
                      <w:bCs/>
                      <w:sz w:val="21"/>
                      <w:szCs w:val="21"/>
                    </w:rPr>
                    <w:t>五日生化需氧量</w:t>
                  </w:r>
                </w:p>
              </w:tc>
              <w:tc>
                <w:tcPr>
                  <w:tcW w:w="1275" w:type="dxa"/>
                  <w:vAlign w:val="center"/>
                </w:tcPr>
                <w:p>
                  <w:pPr>
                    <w:pStyle w:val="46"/>
                    <w:rPr>
                      <w:rFonts w:cs="Times New Roman"/>
                      <w:b/>
                      <w:bCs/>
                      <w:sz w:val="21"/>
                      <w:szCs w:val="21"/>
                    </w:rPr>
                  </w:pPr>
                  <w:r>
                    <w:rPr>
                      <w:rFonts w:cs="Times New Roman"/>
                      <w:b/>
                      <w:bCs/>
                      <w:sz w:val="21"/>
                      <w:szCs w:val="21"/>
                    </w:rPr>
                    <w:t>NH</w:t>
                  </w:r>
                  <w:r>
                    <w:rPr>
                      <w:rFonts w:cs="Times New Roman"/>
                      <w:b/>
                      <w:bCs/>
                      <w:sz w:val="21"/>
                      <w:szCs w:val="21"/>
                      <w:vertAlign w:val="subscript"/>
                    </w:rPr>
                    <w:t>3</w:t>
                  </w:r>
                  <w:r>
                    <w:rPr>
                      <w:rFonts w:cs="Times New Roman"/>
                      <w:b/>
                      <w:bCs/>
                      <w:sz w:val="21"/>
                      <w:szCs w:val="21"/>
                    </w:rPr>
                    <w:t>-N</w:t>
                  </w:r>
                </w:p>
              </w:tc>
              <w:tc>
                <w:tcPr>
                  <w:tcW w:w="1194" w:type="dxa"/>
                  <w:vAlign w:val="center"/>
                </w:tcPr>
                <w:p>
                  <w:pPr>
                    <w:pStyle w:val="46"/>
                    <w:rPr>
                      <w:rFonts w:cs="Times New Roman"/>
                      <w:b/>
                      <w:bCs/>
                      <w:sz w:val="21"/>
                      <w:szCs w:val="21"/>
                    </w:rPr>
                  </w:pPr>
                  <w:r>
                    <w:rPr>
                      <w:rFonts w:cs="Times New Roman"/>
                      <w:b/>
                      <w:bCs/>
                      <w:sz w:val="21"/>
                      <w:szCs w:val="21"/>
                    </w:rPr>
                    <w:t>总磷</w:t>
                  </w:r>
                </w:p>
              </w:tc>
              <w:tc>
                <w:tcPr>
                  <w:tcW w:w="1418" w:type="dxa"/>
                  <w:vAlign w:val="center"/>
                </w:tcPr>
                <w:p>
                  <w:pPr>
                    <w:pStyle w:val="46"/>
                    <w:rPr>
                      <w:rFonts w:cs="Times New Roman"/>
                      <w:b/>
                      <w:bCs/>
                      <w:sz w:val="21"/>
                      <w:szCs w:val="21"/>
                    </w:rPr>
                  </w:pPr>
                  <w:r>
                    <w:rPr>
                      <w:rFonts w:cs="Times New Roman"/>
                      <w:b/>
                      <w:bCs/>
                      <w:sz w:val="21"/>
                      <w:szCs w:val="21"/>
                    </w:rPr>
                    <w:t>粪大肠菌群</w:t>
                  </w:r>
                  <w:r>
                    <w:rPr>
                      <w:rFonts w:cs="Times New Roman"/>
                      <w:sz w:val="21"/>
                      <w:szCs w:val="21"/>
                      <w:lang w:bidi="ar"/>
                    </w:rPr>
                    <w:t>（个/L）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953" w:type="dxa"/>
                  <w:vAlign w:val="center"/>
                </w:tcPr>
                <w:p>
                  <w:pPr>
                    <w:pStyle w:val="46"/>
                    <w:rPr>
                      <w:rFonts w:cs="Times New Roman"/>
                      <w:sz w:val="21"/>
                      <w:szCs w:val="21"/>
                    </w:rPr>
                  </w:pPr>
                  <w:r>
                    <w:rPr>
                      <w:rFonts w:cs="Times New Roman"/>
                      <w:sz w:val="21"/>
                      <w:szCs w:val="21"/>
                    </w:rPr>
                    <w:t>1#</w:t>
                  </w:r>
                </w:p>
              </w:tc>
              <w:tc>
                <w:tcPr>
                  <w:tcW w:w="692" w:type="dxa"/>
                  <w:vMerge w:val="restart"/>
                  <w:vAlign w:val="center"/>
                </w:tcPr>
                <w:p>
                  <w:pPr>
                    <w:pStyle w:val="46"/>
                    <w:rPr>
                      <w:rFonts w:cs="Times New Roman"/>
                      <w:sz w:val="21"/>
                      <w:szCs w:val="21"/>
                    </w:rPr>
                  </w:pPr>
                  <w:r>
                    <w:rPr>
                      <w:rFonts w:cs="Times New Roman"/>
                      <w:sz w:val="21"/>
                      <w:szCs w:val="21"/>
                    </w:rPr>
                    <w:t>浓度值</w:t>
                  </w:r>
                </w:p>
              </w:tc>
              <w:tc>
                <w:tcPr>
                  <w:tcW w:w="1275" w:type="dxa"/>
                  <w:vAlign w:val="center"/>
                </w:tcPr>
                <w:p>
                  <w:pPr>
                    <w:pStyle w:val="46"/>
                    <w:rPr>
                      <w:rFonts w:cs="Times New Roman"/>
                      <w:sz w:val="21"/>
                      <w:szCs w:val="21"/>
                    </w:rPr>
                  </w:pPr>
                  <w:r>
                    <w:rPr>
                      <w:rFonts w:hint="eastAsia" w:cs="Times New Roman"/>
                      <w:sz w:val="21"/>
                      <w:szCs w:val="21"/>
                    </w:rPr>
                    <w:t>7.0</w:t>
                  </w:r>
                  <w:r>
                    <w:rPr>
                      <w:rFonts w:cs="Times New Roman"/>
                      <w:sz w:val="21"/>
                      <w:szCs w:val="21"/>
                    </w:rPr>
                    <w:t>5~7.09</w:t>
                  </w:r>
                </w:p>
              </w:tc>
              <w:tc>
                <w:tcPr>
                  <w:tcW w:w="960" w:type="dxa"/>
                  <w:vAlign w:val="center"/>
                </w:tcPr>
                <w:p>
                  <w:pPr>
                    <w:pStyle w:val="46"/>
                    <w:rPr>
                      <w:rFonts w:cs="Times New Roman"/>
                      <w:sz w:val="21"/>
                      <w:szCs w:val="21"/>
                    </w:rPr>
                  </w:pPr>
                  <w:r>
                    <w:rPr>
                      <w:rFonts w:cs="Times New Roman"/>
                      <w:sz w:val="21"/>
                      <w:szCs w:val="21"/>
                    </w:rPr>
                    <w:t>10~11</w:t>
                  </w:r>
                </w:p>
              </w:tc>
              <w:tc>
                <w:tcPr>
                  <w:tcW w:w="1275" w:type="dxa"/>
                  <w:vAlign w:val="center"/>
                </w:tcPr>
                <w:p>
                  <w:pPr>
                    <w:pStyle w:val="46"/>
                    <w:rPr>
                      <w:rFonts w:cs="Times New Roman"/>
                      <w:sz w:val="21"/>
                      <w:szCs w:val="21"/>
                    </w:rPr>
                  </w:pPr>
                  <w:r>
                    <w:rPr>
                      <w:rFonts w:cs="Times New Roman"/>
                      <w:sz w:val="21"/>
                      <w:szCs w:val="21"/>
                    </w:rPr>
                    <w:t>2.2~2.3</w:t>
                  </w:r>
                </w:p>
              </w:tc>
              <w:tc>
                <w:tcPr>
                  <w:tcW w:w="1275" w:type="dxa"/>
                  <w:vAlign w:val="center"/>
                </w:tcPr>
                <w:p>
                  <w:pPr>
                    <w:pStyle w:val="46"/>
                    <w:rPr>
                      <w:rFonts w:cs="Times New Roman"/>
                      <w:sz w:val="21"/>
                      <w:szCs w:val="21"/>
                    </w:rPr>
                  </w:pPr>
                  <w:r>
                    <w:rPr>
                      <w:rFonts w:hint="eastAsia" w:cs="Times New Roman"/>
                      <w:sz w:val="21"/>
                      <w:szCs w:val="21"/>
                    </w:rPr>
                    <w:t>0.1</w:t>
                  </w:r>
                  <w:r>
                    <w:rPr>
                      <w:rFonts w:cs="Times New Roman"/>
                      <w:sz w:val="21"/>
                      <w:szCs w:val="21"/>
                    </w:rPr>
                    <w:t>07~0.141</w:t>
                  </w:r>
                </w:p>
              </w:tc>
              <w:tc>
                <w:tcPr>
                  <w:tcW w:w="1194" w:type="dxa"/>
                  <w:vAlign w:val="center"/>
                </w:tcPr>
                <w:p>
                  <w:pPr>
                    <w:pStyle w:val="46"/>
                    <w:rPr>
                      <w:rFonts w:cs="Times New Roman"/>
                      <w:sz w:val="21"/>
                      <w:szCs w:val="21"/>
                    </w:rPr>
                  </w:pPr>
                  <w:r>
                    <w:rPr>
                      <w:rFonts w:hint="eastAsia" w:cs="Times New Roman"/>
                      <w:sz w:val="21"/>
                      <w:szCs w:val="21"/>
                    </w:rPr>
                    <w:t>0.1</w:t>
                  </w:r>
                  <w:r>
                    <w:rPr>
                      <w:rFonts w:cs="Times New Roman"/>
                      <w:sz w:val="21"/>
                      <w:szCs w:val="21"/>
                    </w:rPr>
                    <w:t>7~0.18</w:t>
                  </w:r>
                </w:p>
              </w:tc>
              <w:tc>
                <w:tcPr>
                  <w:tcW w:w="1418" w:type="dxa"/>
                  <w:vAlign w:val="center"/>
                </w:tcPr>
                <w:p>
                  <w:pPr>
                    <w:pStyle w:val="46"/>
                    <w:rPr>
                      <w:rFonts w:cs="Times New Roman"/>
                      <w:sz w:val="21"/>
                      <w:szCs w:val="21"/>
                      <w:highlight w:val="yellow"/>
                    </w:rPr>
                  </w:pPr>
                  <w:r>
                    <w:rPr>
                      <w:rFonts w:cs="Times New Roman"/>
                      <w:bCs/>
                      <w:sz w:val="21"/>
                      <w:szCs w:val="21"/>
                    </w:rPr>
                    <w:t>1.1</w:t>
                  </w:r>
                  <w:r>
                    <w:rPr>
                      <w:rFonts w:cs="Times New Roman"/>
                      <w:sz w:val="21"/>
                      <w:szCs w:val="21"/>
                    </w:rPr>
                    <w:t>×</w:t>
                  </w:r>
                  <w:r>
                    <w:rPr>
                      <w:rFonts w:cs="Times New Roman"/>
                      <w:bCs/>
                      <w:sz w:val="21"/>
                      <w:szCs w:val="21"/>
                    </w:rPr>
                    <w:t>10</w:t>
                  </w:r>
                  <w:r>
                    <w:rPr>
                      <w:rFonts w:cs="Times New Roman"/>
                      <w:bCs/>
                      <w:sz w:val="21"/>
                      <w:szCs w:val="21"/>
                      <w:vertAlign w:val="super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vAlign w:val="center"/>
                </w:tcPr>
                <w:p>
                  <w:pPr>
                    <w:pStyle w:val="46"/>
                    <w:rPr>
                      <w:rFonts w:cs="Times New Roman"/>
                      <w:sz w:val="21"/>
                      <w:szCs w:val="21"/>
                    </w:rPr>
                  </w:pPr>
                  <w:r>
                    <w:rPr>
                      <w:rFonts w:cs="Times New Roman"/>
                      <w:sz w:val="21"/>
                      <w:szCs w:val="21"/>
                    </w:rPr>
                    <w:t>2#</w:t>
                  </w:r>
                </w:p>
              </w:tc>
              <w:tc>
                <w:tcPr>
                  <w:tcW w:w="692" w:type="dxa"/>
                  <w:vMerge w:val="continue"/>
                  <w:vAlign w:val="center"/>
                </w:tcPr>
                <w:p>
                  <w:pPr>
                    <w:pStyle w:val="46"/>
                    <w:rPr>
                      <w:rFonts w:cs="Times New Roman"/>
                      <w:sz w:val="21"/>
                      <w:szCs w:val="21"/>
                    </w:rPr>
                  </w:pPr>
                </w:p>
              </w:tc>
              <w:tc>
                <w:tcPr>
                  <w:tcW w:w="1275" w:type="dxa"/>
                  <w:vAlign w:val="center"/>
                </w:tcPr>
                <w:p>
                  <w:pPr>
                    <w:pStyle w:val="46"/>
                    <w:rPr>
                      <w:rFonts w:cs="Times New Roman"/>
                      <w:sz w:val="21"/>
                      <w:szCs w:val="21"/>
                    </w:rPr>
                  </w:pPr>
                  <w:r>
                    <w:rPr>
                      <w:rFonts w:hint="eastAsia" w:cs="Times New Roman"/>
                      <w:sz w:val="21"/>
                      <w:szCs w:val="21"/>
                    </w:rPr>
                    <w:t>7.</w:t>
                  </w:r>
                  <w:r>
                    <w:rPr>
                      <w:rFonts w:cs="Times New Roman"/>
                      <w:sz w:val="21"/>
                      <w:szCs w:val="21"/>
                    </w:rPr>
                    <w:t>1</w:t>
                  </w:r>
                  <w:r>
                    <w:rPr>
                      <w:rFonts w:hint="eastAsia" w:cs="Times New Roman"/>
                      <w:sz w:val="21"/>
                      <w:szCs w:val="21"/>
                    </w:rPr>
                    <w:t>1</w:t>
                  </w:r>
                  <w:r>
                    <w:rPr>
                      <w:rFonts w:cs="Times New Roman"/>
                      <w:sz w:val="21"/>
                      <w:szCs w:val="21"/>
                    </w:rPr>
                    <w:t>~7.17</w:t>
                  </w:r>
                </w:p>
              </w:tc>
              <w:tc>
                <w:tcPr>
                  <w:tcW w:w="960" w:type="dxa"/>
                  <w:vAlign w:val="center"/>
                </w:tcPr>
                <w:p>
                  <w:pPr>
                    <w:pStyle w:val="46"/>
                    <w:rPr>
                      <w:rFonts w:cs="Times New Roman"/>
                      <w:sz w:val="21"/>
                      <w:szCs w:val="21"/>
                    </w:rPr>
                  </w:pPr>
                  <w:r>
                    <w:rPr>
                      <w:rFonts w:hint="eastAsia" w:cs="Times New Roman"/>
                      <w:sz w:val="21"/>
                      <w:szCs w:val="21"/>
                    </w:rPr>
                    <w:t>9</w:t>
                  </w:r>
                  <w:r>
                    <w:rPr>
                      <w:rFonts w:cs="Times New Roman"/>
                      <w:sz w:val="21"/>
                      <w:szCs w:val="21"/>
                    </w:rPr>
                    <w:t>~10</w:t>
                  </w:r>
                </w:p>
              </w:tc>
              <w:tc>
                <w:tcPr>
                  <w:tcW w:w="1275" w:type="dxa"/>
                  <w:vAlign w:val="center"/>
                </w:tcPr>
                <w:p>
                  <w:pPr>
                    <w:pStyle w:val="46"/>
                    <w:rPr>
                      <w:rFonts w:cs="Times New Roman"/>
                      <w:sz w:val="21"/>
                      <w:szCs w:val="21"/>
                    </w:rPr>
                  </w:pPr>
                  <w:r>
                    <w:rPr>
                      <w:rFonts w:hint="eastAsia" w:cs="Times New Roman"/>
                      <w:sz w:val="21"/>
                      <w:szCs w:val="21"/>
                    </w:rPr>
                    <w:t>2.</w:t>
                  </w:r>
                  <w:r>
                    <w:rPr>
                      <w:rFonts w:cs="Times New Roman"/>
                      <w:sz w:val="21"/>
                      <w:szCs w:val="21"/>
                    </w:rPr>
                    <w:t>1~2.3</w:t>
                  </w:r>
                </w:p>
              </w:tc>
              <w:tc>
                <w:tcPr>
                  <w:tcW w:w="1275" w:type="dxa"/>
                  <w:vAlign w:val="center"/>
                </w:tcPr>
                <w:p>
                  <w:pPr>
                    <w:pStyle w:val="46"/>
                    <w:rPr>
                      <w:rFonts w:cs="Times New Roman"/>
                      <w:sz w:val="21"/>
                      <w:szCs w:val="21"/>
                    </w:rPr>
                  </w:pPr>
                  <w:r>
                    <w:rPr>
                      <w:rFonts w:hint="eastAsia" w:cs="Times New Roman"/>
                      <w:sz w:val="21"/>
                      <w:szCs w:val="21"/>
                    </w:rPr>
                    <w:t>0.2</w:t>
                  </w:r>
                  <w:r>
                    <w:rPr>
                      <w:rFonts w:cs="Times New Roman"/>
                      <w:sz w:val="21"/>
                      <w:szCs w:val="21"/>
                    </w:rPr>
                    <w:t>21~0.272</w:t>
                  </w:r>
                </w:p>
              </w:tc>
              <w:tc>
                <w:tcPr>
                  <w:tcW w:w="1194" w:type="dxa"/>
                  <w:vAlign w:val="center"/>
                </w:tcPr>
                <w:p>
                  <w:pPr>
                    <w:pStyle w:val="46"/>
                    <w:rPr>
                      <w:rFonts w:cs="Times New Roman"/>
                      <w:sz w:val="21"/>
                      <w:szCs w:val="21"/>
                    </w:rPr>
                  </w:pPr>
                  <w:r>
                    <w:rPr>
                      <w:rFonts w:hint="eastAsia" w:cs="Times New Roman"/>
                      <w:sz w:val="21"/>
                      <w:szCs w:val="21"/>
                    </w:rPr>
                    <w:t>0.03</w:t>
                  </w:r>
                  <w:r>
                    <w:rPr>
                      <w:rFonts w:cs="Times New Roman"/>
                      <w:sz w:val="21"/>
                      <w:szCs w:val="21"/>
                    </w:rPr>
                    <w:t>~0.04</w:t>
                  </w:r>
                </w:p>
              </w:tc>
              <w:tc>
                <w:tcPr>
                  <w:tcW w:w="1418" w:type="dxa"/>
                  <w:vAlign w:val="center"/>
                </w:tcPr>
                <w:p>
                  <w:pPr>
                    <w:pStyle w:val="46"/>
                    <w:rPr>
                      <w:rFonts w:cs="Times New Roman"/>
                      <w:sz w:val="21"/>
                      <w:szCs w:val="21"/>
                      <w:highlight w:val="yellow"/>
                    </w:rPr>
                  </w:pPr>
                  <w:r>
                    <w:rPr>
                      <w:rFonts w:cs="Times New Roman"/>
                      <w:bCs/>
                      <w:sz w:val="21"/>
                      <w:szCs w:val="21"/>
                    </w:rPr>
                    <w:t>1.2</w:t>
                  </w:r>
                  <w:r>
                    <w:rPr>
                      <w:rFonts w:cs="Times New Roman"/>
                      <w:sz w:val="21"/>
                      <w:szCs w:val="21"/>
                    </w:rPr>
                    <w:t>×</w:t>
                  </w:r>
                  <w:r>
                    <w:rPr>
                      <w:rFonts w:cs="Times New Roman"/>
                      <w:bCs/>
                      <w:sz w:val="21"/>
                      <w:szCs w:val="21"/>
                    </w:rPr>
                    <w:t>10</w:t>
                  </w:r>
                  <w:r>
                    <w:rPr>
                      <w:rFonts w:cs="Times New Roman"/>
                      <w:bCs/>
                      <w:sz w:val="21"/>
                      <w:szCs w:val="21"/>
                      <w:vertAlign w:val="superscript"/>
                    </w:rPr>
                    <w:t>4</w:t>
                  </w:r>
                  <w:r>
                    <w:rPr>
                      <w:rFonts w:cs="Times New Roman"/>
                      <w:bCs/>
                      <w:sz w:val="21"/>
                      <w:szCs w:val="21"/>
                    </w:rPr>
                    <w:t>~1.3</w:t>
                  </w:r>
                  <w:r>
                    <w:rPr>
                      <w:rFonts w:cs="Times New Roman"/>
                      <w:sz w:val="21"/>
                      <w:szCs w:val="21"/>
                    </w:rPr>
                    <w:t>×</w:t>
                  </w:r>
                  <w:r>
                    <w:rPr>
                      <w:rFonts w:cs="Times New Roman"/>
                      <w:bCs/>
                      <w:sz w:val="21"/>
                      <w:szCs w:val="21"/>
                    </w:rPr>
                    <w:t>10</w:t>
                  </w:r>
                  <w:r>
                    <w:rPr>
                      <w:rFonts w:cs="Times New Roman"/>
                      <w:bCs/>
                      <w:sz w:val="21"/>
                      <w:szCs w:val="21"/>
                      <w:vertAlign w:val="super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5" w:type="dxa"/>
                  <w:gridSpan w:val="2"/>
                  <w:vAlign w:val="center"/>
                </w:tcPr>
                <w:p>
                  <w:pPr>
                    <w:pStyle w:val="46"/>
                    <w:rPr>
                      <w:rFonts w:cs="Times New Roman"/>
                      <w:sz w:val="21"/>
                      <w:szCs w:val="21"/>
                    </w:rPr>
                  </w:pPr>
                  <w:r>
                    <w:rPr>
                      <w:rFonts w:cs="Times New Roman"/>
                      <w:sz w:val="21"/>
                      <w:szCs w:val="21"/>
                    </w:rPr>
                    <w:t>标准值</w:t>
                  </w:r>
                </w:p>
              </w:tc>
              <w:tc>
                <w:tcPr>
                  <w:tcW w:w="1275" w:type="dxa"/>
                  <w:vAlign w:val="center"/>
                </w:tcPr>
                <w:p>
                  <w:pPr>
                    <w:pStyle w:val="46"/>
                    <w:rPr>
                      <w:rFonts w:cs="Times New Roman"/>
                      <w:sz w:val="21"/>
                      <w:szCs w:val="21"/>
                    </w:rPr>
                  </w:pPr>
                  <w:r>
                    <w:rPr>
                      <w:rFonts w:cs="Times New Roman"/>
                      <w:sz w:val="21"/>
                      <w:szCs w:val="21"/>
                    </w:rPr>
                    <w:t>6～9</w:t>
                  </w:r>
                </w:p>
              </w:tc>
              <w:tc>
                <w:tcPr>
                  <w:tcW w:w="960" w:type="dxa"/>
                  <w:vAlign w:val="center"/>
                </w:tcPr>
                <w:p>
                  <w:pPr>
                    <w:pStyle w:val="46"/>
                    <w:rPr>
                      <w:rFonts w:cs="Times New Roman"/>
                      <w:sz w:val="21"/>
                      <w:szCs w:val="21"/>
                    </w:rPr>
                  </w:pPr>
                  <w:r>
                    <w:rPr>
                      <w:rFonts w:cs="Times New Roman"/>
                      <w:sz w:val="21"/>
                      <w:szCs w:val="21"/>
                    </w:rPr>
                    <w:t>20</w:t>
                  </w:r>
                </w:p>
              </w:tc>
              <w:tc>
                <w:tcPr>
                  <w:tcW w:w="1275" w:type="dxa"/>
                  <w:vAlign w:val="center"/>
                </w:tcPr>
                <w:p>
                  <w:pPr>
                    <w:pStyle w:val="46"/>
                    <w:rPr>
                      <w:rFonts w:cs="Times New Roman"/>
                      <w:sz w:val="21"/>
                      <w:szCs w:val="21"/>
                    </w:rPr>
                  </w:pPr>
                  <w:r>
                    <w:rPr>
                      <w:rFonts w:cs="Times New Roman"/>
                      <w:sz w:val="21"/>
                      <w:szCs w:val="21"/>
                    </w:rPr>
                    <w:t>4</w:t>
                  </w:r>
                </w:p>
              </w:tc>
              <w:tc>
                <w:tcPr>
                  <w:tcW w:w="1275" w:type="dxa"/>
                  <w:vAlign w:val="center"/>
                </w:tcPr>
                <w:p>
                  <w:pPr>
                    <w:pStyle w:val="46"/>
                    <w:rPr>
                      <w:rFonts w:cs="Times New Roman"/>
                      <w:sz w:val="21"/>
                      <w:szCs w:val="21"/>
                    </w:rPr>
                  </w:pPr>
                  <w:r>
                    <w:rPr>
                      <w:rFonts w:cs="Times New Roman"/>
                      <w:sz w:val="21"/>
                      <w:szCs w:val="21"/>
                    </w:rPr>
                    <w:t>1</w:t>
                  </w:r>
                </w:p>
              </w:tc>
              <w:tc>
                <w:tcPr>
                  <w:tcW w:w="1194" w:type="dxa"/>
                  <w:vAlign w:val="center"/>
                </w:tcPr>
                <w:p>
                  <w:pPr>
                    <w:pStyle w:val="46"/>
                    <w:rPr>
                      <w:rFonts w:cs="Times New Roman"/>
                      <w:sz w:val="21"/>
                      <w:szCs w:val="21"/>
                    </w:rPr>
                  </w:pPr>
                  <w:r>
                    <w:rPr>
                      <w:rFonts w:cs="Times New Roman"/>
                      <w:sz w:val="21"/>
                      <w:szCs w:val="21"/>
                    </w:rPr>
                    <w:t>0.2</w:t>
                  </w:r>
                </w:p>
              </w:tc>
              <w:tc>
                <w:tcPr>
                  <w:tcW w:w="1418" w:type="dxa"/>
                  <w:vAlign w:val="center"/>
                </w:tcPr>
                <w:p>
                  <w:pPr>
                    <w:jc w:val="center"/>
                    <w:rPr>
                      <w:rFonts w:cs="Times New Roman"/>
                      <w:sz w:val="21"/>
                      <w:szCs w:val="21"/>
                    </w:rPr>
                  </w:pPr>
                  <w:r>
                    <w:rPr>
                      <w:rFonts w:cs="Times New Roman"/>
                      <w:bCs/>
                      <w:sz w:val="21"/>
                      <w:szCs w:val="21"/>
                    </w:rPr>
                    <w:t>≤1×10</w:t>
                  </w:r>
                  <w:r>
                    <w:rPr>
                      <w:rFonts w:cs="Times New Roman"/>
                      <w:bCs/>
                      <w:sz w:val="21"/>
                      <w:szCs w:val="21"/>
                      <w:vertAlign w:val="superscript"/>
                    </w:rPr>
                    <w:t>4</w:t>
                  </w:r>
                  <w:r>
                    <w:rPr>
                      <w:rFonts w:ascii="宋体" w:hAnsi="宋体"/>
                      <w:sz w:val="21"/>
                      <w:szCs w:val="21"/>
                    </w:rPr>
                    <w:t>个</w:t>
                  </w:r>
                  <w:r>
                    <w:rPr>
                      <w:sz w:val="21"/>
                      <w:szCs w:val="21"/>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dxa"/>
                  <w:gridSpan w:val="2"/>
                  <w:vMerge w:val="restart"/>
                  <w:vAlign w:val="center"/>
                </w:tcPr>
                <w:p>
                  <w:pPr>
                    <w:pStyle w:val="46"/>
                    <w:rPr>
                      <w:rFonts w:cs="Times New Roman"/>
                      <w:sz w:val="21"/>
                      <w:szCs w:val="21"/>
                    </w:rPr>
                  </w:pPr>
                  <w:r>
                    <w:rPr>
                      <w:rFonts w:hint="eastAsia" w:cs="Times New Roman"/>
                      <w:sz w:val="21"/>
                      <w:szCs w:val="21"/>
                    </w:rPr>
                    <w:t>水质</w:t>
                  </w:r>
                  <w:r>
                    <w:rPr>
                      <w:rFonts w:cs="Times New Roman"/>
                      <w:sz w:val="21"/>
                      <w:szCs w:val="21"/>
                    </w:rPr>
                    <w:t>指数</w:t>
                  </w:r>
                </w:p>
              </w:tc>
              <w:tc>
                <w:tcPr>
                  <w:tcW w:w="1275" w:type="dxa"/>
                  <w:vAlign w:val="center"/>
                </w:tcPr>
                <w:p>
                  <w:pPr>
                    <w:pStyle w:val="46"/>
                    <w:rPr>
                      <w:rFonts w:cs="Times New Roman"/>
                      <w:sz w:val="21"/>
                      <w:szCs w:val="21"/>
                    </w:rPr>
                  </w:pPr>
                  <w:r>
                    <w:rPr>
                      <w:rFonts w:hint="eastAsia" w:cs="Times New Roman"/>
                      <w:sz w:val="21"/>
                      <w:szCs w:val="21"/>
                    </w:rPr>
                    <w:t>0.02</w:t>
                  </w:r>
                  <w:r>
                    <w:rPr>
                      <w:rFonts w:cs="Times New Roman"/>
                      <w:sz w:val="21"/>
                      <w:szCs w:val="21"/>
                    </w:rPr>
                    <w:t>5~0.045</w:t>
                  </w:r>
                </w:p>
              </w:tc>
              <w:tc>
                <w:tcPr>
                  <w:tcW w:w="960" w:type="dxa"/>
                  <w:vAlign w:val="center"/>
                </w:tcPr>
                <w:p>
                  <w:pPr>
                    <w:pStyle w:val="46"/>
                    <w:rPr>
                      <w:rFonts w:cs="Times New Roman"/>
                      <w:sz w:val="21"/>
                      <w:szCs w:val="21"/>
                    </w:rPr>
                  </w:pPr>
                  <w:r>
                    <w:rPr>
                      <w:rFonts w:hint="eastAsia" w:cs="Times New Roman"/>
                      <w:sz w:val="21"/>
                      <w:szCs w:val="21"/>
                    </w:rPr>
                    <w:t>0.5</w:t>
                  </w:r>
                  <w:r>
                    <w:rPr>
                      <w:rFonts w:cs="Times New Roman"/>
                      <w:sz w:val="21"/>
                      <w:szCs w:val="21"/>
                    </w:rPr>
                    <w:t>~0.55</w:t>
                  </w:r>
                </w:p>
              </w:tc>
              <w:tc>
                <w:tcPr>
                  <w:tcW w:w="1275" w:type="dxa"/>
                  <w:vAlign w:val="center"/>
                </w:tcPr>
                <w:p>
                  <w:pPr>
                    <w:pStyle w:val="46"/>
                    <w:rPr>
                      <w:rFonts w:cs="Times New Roman"/>
                      <w:sz w:val="21"/>
                      <w:szCs w:val="21"/>
                    </w:rPr>
                  </w:pPr>
                  <w:r>
                    <w:rPr>
                      <w:rFonts w:hint="eastAsia" w:cs="Times New Roman"/>
                      <w:sz w:val="21"/>
                      <w:szCs w:val="21"/>
                    </w:rPr>
                    <w:t>0.55</w:t>
                  </w:r>
                  <w:r>
                    <w:rPr>
                      <w:rFonts w:cs="Times New Roman"/>
                      <w:sz w:val="21"/>
                      <w:szCs w:val="21"/>
                    </w:rPr>
                    <w:t>~0.575</w:t>
                  </w:r>
                </w:p>
              </w:tc>
              <w:tc>
                <w:tcPr>
                  <w:tcW w:w="1275" w:type="dxa"/>
                  <w:vAlign w:val="center"/>
                </w:tcPr>
                <w:p>
                  <w:pPr>
                    <w:pStyle w:val="46"/>
                    <w:rPr>
                      <w:rFonts w:cs="Times New Roman"/>
                      <w:sz w:val="21"/>
                      <w:szCs w:val="21"/>
                    </w:rPr>
                  </w:pPr>
                  <w:r>
                    <w:rPr>
                      <w:rFonts w:hint="eastAsia" w:cs="Times New Roman"/>
                      <w:sz w:val="21"/>
                      <w:szCs w:val="21"/>
                    </w:rPr>
                    <w:t>0.107</w:t>
                  </w:r>
                  <w:r>
                    <w:rPr>
                      <w:rFonts w:cs="Times New Roman"/>
                      <w:sz w:val="21"/>
                      <w:szCs w:val="21"/>
                    </w:rPr>
                    <w:t>~0.141</w:t>
                  </w:r>
                </w:p>
              </w:tc>
              <w:tc>
                <w:tcPr>
                  <w:tcW w:w="1194" w:type="dxa"/>
                  <w:vAlign w:val="center"/>
                </w:tcPr>
                <w:p>
                  <w:pPr>
                    <w:pStyle w:val="46"/>
                    <w:rPr>
                      <w:rFonts w:cs="Times New Roman"/>
                      <w:sz w:val="21"/>
                      <w:szCs w:val="21"/>
                    </w:rPr>
                  </w:pPr>
                  <w:r>
                    <w:rPr>
                      <w:rFonts w:hint="eastAsia" w:cs="Times New Roman"/>
                      <w:sz w:val="21"/>
                      <w:szCs w:val="21"/>
                    </w:rPr>
                    <w:t>0.85</w:t>
                  </w:r>
                  <w:r>
                    <w:rPr>
                      <w:rFonts w:cs="Times New Roman"/>
                      <w:sz w:val="21"/>
                      <w:szCs w:val="21"/>
                    </w:rPr>
                    <w:t>~0.9</w:t>
                  </w:r>
                </w:p>
              </w:tc>
              <w:tc>
                <w:tcPr>
                  <w:tcW w:w="1418" w:type="dxa"/>
                  <w:vAlign w:val="center"/>
                </w:tcPr>
                <w:p>
                  <w:pPr>
                    <w:pStyle w:val="46"/>
                    <w:rPr>
                      <w:rFonts w:cs="Times New Roman"/>
                      <w:bCs/>
                      <w:sz w:val="21"/>
                      <w:szCs w:val="21"/>
                    </w:rPr>
                  </w:pPr>
                  <w:r>
                    <w:rPr>
                      <w:rFonts w:hint="eastAsia" w:cs="Times New Roman"/>
                      <w:bCs/>
                      <w:sz w:val="21"/>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dxa"/>
                  <w:gridSpan w:val="2"/>
                  <w:vMerge w:val="continue"/>
                  <w:vAlign w:val="center"/>
                </w:tcPr>
                <w:p>
                  <w:pPr>
                    <w:pStyle w:val="46"/>
                    <w:rPr>
                      <w:rFonts w:cs="Times New Roman"/>
                      <w:sz w:val="21"/>
                      <w:szCs w:val="21"/>
                    </w:rPr>
                  </w:pPr>
                </w:p>
              </w:tc>
              <w:tc>
                <w:tcPr>
                  <w:tcW w:w="1275" w:type="dxa"/>
                  <w:vAlign w:val="center"/>
                </w:tcPr>
                <w:p>
                  <w:pPr>
                    <w:pStyle w:val="46"/>
                    <w:rPr>
                      <w:rFonts w:cs="Times New Roman"/>
                      <w:sz w:val="21"/>
                      <w:szCs w:val="21"/>
                    </w:rPr>
                  </w:pPr>
                  <w:r>
                    <w:rPr>
                      <w:rFonts w:hint="eastAsia" w:cs="Times New Roman"/>
                      <w:sz w:val="21"/>
                      <w:szCs w:val="21"/>
                    </w:rPr>
                    <w:t>0.0</w:t>
                  </w:r>
                  <w:r>
                    <w:rPr>
                      <w:rFonts w:cs="Times New Roman"/>
                      <w:sz w:val="21"/>
                      <w:szCs w:val="21"/>
                    </w:rPr>
                    <w:t>55~0.085</w:t>
                  </w:r>
                </w:p>
              </w:tc>
              <w:tc>
                <w:tcPr>
                  <w:tcW w:w="960" w:type="dxa"/>
                  <w:vAlign w:val="center"/>
                </w:tcPr>
                <w:p>
                  <w:pPr>
                    <w:pStyle w:val="46"/>
                    <w:rPr>
                      <w:rFonts w:cs="Times New Roman"/>
                      <w:sz w:val="21"/>
                      <w:szCs w:val="21"/>
                    </w:rPr>
                  </w:pPr>
                  <w:r>
                    <w:rPr>
                      <w:rFonts w:hint="eastAsia" w:cs="Times New Roman"/>
                      <w:sz w:val="21"/>
                      <w:szCs w:val="21"/>
                    </w:rPr>
                    <w:t>0.45</w:t>
                  </w:r>
                  <w:r>
                    <w:rPr>
                      <w:rFonts w:cs="Times New Roman"/>
                      <w:sz w:val="21"/>
                      <w:szCs w:val="21"/>
                    </w:rPr>
                    <w:t>~0.5</w:t>
                  </w:r>
                </w:p>
              </w:tc>
              <w:tc>
                <w:tcPr>
                  <w:tcW w:w="1275" w:type="dxa"/>
                  <w:vAlign w:val="center"/>
                </w:tcPr>
                <w:p>
                  <w:pPr>
                    <w:pStyle w:val="46"/>
                    <w:rPr>
                      <w:rFonts w:cs="Times New Roman"/>
                      <w:sz w:val="21"/>
                      <w:szCs w:val="21"/>
                    </w:rPr>
                  </w:pPr>
                  <w:r>
                    <w:rPr>
                      <w:rFonts w:hint="eastAsia" w:cs="Times New Roman"/>
                      <w:sz w:val="21"/>
                      <w:szCs w:val="21"/>
                    </w:rPr>
                    <w:t>0.525</w:t>
                  </w:r>
                  <w:r>
                    <w:rPr>
                      <w:rFonts w:cs="Times New Roman"/>
                      <w:sz w:val="21"/>
                      <w:szCs w:val="21"/>
                    </w:rPr>
                    <w:t>~0.575</w:t>
                  </w:r>
                </w:p>
              </w:tc>
              <w:tc>
                <w:tcPr>
                  <w:tcW w:w="1275" w:type="dxa"/>
                  <w:vAlign w:val="center"/>
                </w:tcPr>
                <w:p>
                  <w:pPr>
                    <w:pStyle w:val="46"/>
                    <w:rPr>
                      <w:rFonts w:cs="Times New Roman"/>
                      <w:sz w:val="21"/>
                      <w:szCs w:val="21"/>
                    </w:rPr>
                  </w:pPr>
                  <w:r>
                    <w:rPr>
                      <w:rFonts w:hint="eastAsia" w:cs="Times New Roman"/>
                      <w:sz w:val="21"/>
                      <w:szCs w:val="21"/>
                    </w:rPr>
                    <w:t>0.221</w:t>
                  </w:r>
                  <w:r>
                    <w:rPr>
                      <w:rFonts w:cs="Times New Roman"/>
                      <w:sz w:val="21"/>
                      <w:szCs w:val="21"/>
                    </w:rPr>
                    <w:t>~0.272</w:t>
                  </w:r>
                </w:p>
              </w:tc>
              <w:tc>
                <w:tcPr>
                  <w:tcW w:w="1194" w:type="dxa"/>
                  <w:vAlign w:val="center"/>
                </w:tcPr>
                <w:p>
                  <w:pPr>
                    <w:pStyle w:val="46"/>
                    <w:rPr>
                      <w:rFonts w:cs="Times New Roman"/>
                      <w:sz w:val="21"/>
                      <w:szCs w:val="21"/>
                    </w:rPr>
                  </w:pPr>
                  <w:r>
                    <w:rPr>
                      <w:rFonts w:hint="eastAsia" w:cs="Times New Roman"/>
                      <w:sz w:val="21"/>
                      <w:szCs w:val="21"/>
                    </w:rPr>
                    <w:t>0.15</w:t>
                  </w:r>
                  <w:r>
                    <w:rPr>
                      <w:rFonts w:cs="Times New Roman"/>
                      <w:sz w:val="21"/>
                      <w:szCs w:val="21"/>
                    </w:rPr>
                    <w:t>~0..2</w:t>
                  </w:r>
                </w:p>
              </w:tc>
              <w:tc>
                <w:tcPr>
                  <w:tcW w:w="1418" w:type="dxa"/>
                  <w:vAlign w:val="center"/>
                </w:tcPr>
                <w:p>
                  <w:pPr>
                    <w:pStyle w:val="46"/>
                    <w:rPr>
                      <w:rFonts w:cs="Times New Roman"/>
                      <w:sz w:val="21"/>
                      <w:szCs w:val="21"/>
                    </w:rPr>
                  </w:pPr>
                  <w:r>
                    <w:rPr>
                      <w:rFonts w:hint="eastAsia" w:cs="Times New Roman"/>
                      <w:sz w:val="21"/>
                      <w:szCs w:val="21"/>
                    </w:rPr>
                    <w:t>1.2</w:t>
                  </w:r>
                  <w:r>
                    <w:rPr>
                      <w:rFonts w:cs="Times New Roman"/>
                      <w:sz w:val="21"/>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dxa"/>
                  <w:gridSpan w:val="2"/>
                  <w:vAlign w:val="center"/>
                </w:tcPr>
                <w:p>
                  <w:pPr>
                    <w:pStyle w:val="46"/>
                    <w:rPr>
                      <w:rFonts w:cs="Times New Roman"/>
                      <w:sz w:val="21"/>
                      <w:szCs w:val="21"/>
                    </w:rPr>
                  </w:pPr>
                  <w:r>
                    <w:rPr>
                      <w:rFonts w:cs="Times New Roman"/>
                      <w:sz w:val="21"/>
                      <w:szCs w:val="21"/>
                    </w:rPr>
                    <w:t>结果</w:t>
                  </w:r>
                </w:p>
              </w:tc>
              <w:tc>
                <w:tcPr>
                  <w:tcW w:w="1275" w:type="dxa"/>
                  <w:vAlign w:val="center"/>
                </w:tcPr>
                <w:p>
                  <w:pPr>
                    <w:pStyle w:val="46"/>
                    <w:rPr>
                      <w:rFonts w:cs="Times New Roman"/>
                      <w:sz w:val="21"/>
                      <w:szCs w:val="21"/>
                    </w:rPr>
                  </w:pPr>
                  <w:r>
                    <w:rPr>
                      <w:rFonts w:cs="Times New Roman"/>
                      <w:sz w:val="21"/>
                      <w:szCs w:val="21"/>
                    </w:rPr>
                    <w:t>达标</w:t>
                  </w:r>
                </w:p>
              </w:tc>
              <w:tc>
                <w:tcPr>
                  <w:tcW w:w="960" w:type="dxa"/>
                  <w:vAlign w:val="center"/>
                </w:tcPr>
                <w:p>
                  <w:pPr>
                    <w:pStyle w:val="46"/>
                    <w:rPr>
                      <w:rFonts w:cs="Times New Roman"/>
                      <w:sz w:val="21"/>
                      <w:szCs w:val="21"/>
                    </w:rPr>
                  </w:pPr>
                  <w:r>
                    <w:rPr>
                      <w:rFonts w:cs="Times New Roman"/>
                      <w:sz w:val="21"/>
                      <w:szCs w:val="21"/>
                    </w:rPr>
                    <w:t>达标</w:t>
                  </w:r>
                </w:p>
              </w:tc>
              <w:tc>
                <w:tcPr>
                  <w:tcW w:w="1275" w:type="dxa"/>
                  <w:vAlign w:val="center"/>
                </w:tcPr>
                <w:p>
                  <w:pPr>
                    <w:pStyle w:val="46"/>
                    <w:rPr>
                      <w:rFonts w:cs="Times New Roman"/>
                      <w:sz w:val="21"/>
                      <w:szCs w:val="21"/>
                    </w:rPr>
                  </w:pPr>
                  <w:r>
                    <w:rPr>
                      <w:rFonts w:cs="Times New Roman"/>
                      <w:sz w:val="21"/>
                      <w:szCs w:val="21"/>
                    </w:rPr>
                    <w:t>达标</w:t>
                  </w:r>
                </w:p>
              </w:tc>
              <w:tc>
                <w:tcPr>
                  <w:tcW w:w="1275" w:type="dxa"/>
                  <w:vAlign w:val="center"/>
                </w:tcPr>
                <w:p>
                  <w:pPr>
                    <w:pStyle w:val="46"/>
                    <w:rPr>
                      <w:rFonts w:cs="Times New Roman"/>
                      <w:sz w:val="21"/>
                      <w:szCs w:val="21"/>
                    </w:rPr>
                  </w:pPr>
                  <w:r>
                    <w:rPr>
                      <w:rFonts w:cs="Times New Roman"/>
                      <w:sz w:val="21"/>
                      <w:szCs w:val="21"/>
                    </w:rPr>
                    <w:t>达标</w:t>
                  </w:r>
                </w:p>
              </w:tc>
              <w:tc>
                <w:tcPr>
                  <w:tcW w:w="1194" w:type="dxa"/>
                  <w:vAlign w:val="center"/>
                </w:tcPr>
                <w:p>
                  <w:pPr>
                    <w:pStyle w:val="46"/>
                    <w:rPr>
                      <w:rFonts w:cs="Times New Roman"/>
                      <w:sz w:val="21"/>
                      <w:szCs w:val="21"/>
                    </w:rPr>
                  </w:pPr>
                  <w:r>
                    <w:rPr>
                      <w:rFonts w:cs="Times New Roman"/>
                      <w:sz w:val="21"/>
                      <w:szCs w:val="21"/>
                    </w:rPr>
                    <w:t>达标</w:t>
                  </w:r>
                </w:p>
              </w:tc>
              <w:tc>
                <w:tcPr>
                  <w:tcW w:w="1418" w:type="dxa"/>
                  <w:vAlign w:val="center"/>
                </w:tcPr>
                <w:p>
                  <w:pPr>
                    <w:pStyle w:val="46"/>
                    <w:rPr>
                      <w:rFonts w:cs="Times New Roman"/>
                      <w:sz w:val="21"/>
                      <w:szCs w:val="21"/>
                    </w:rPr>
                  </w:pPr>
                  <w:r>
                    <w:rPr>
                      <w:rFonts w:hint="eastAsia" w:cs="Times New Roman"/>
                      <w:sz w:val="21"/>
                      <w:szCs w:val="21"/>
                    </w:rPr>
                    <w:t>不达标</w:t>
                  </w:r>
                </w:p>
              </w:tc>
            </w:tr>
          </w:tbl>
          <w:p>
            <w:pPr>
              <w:adjustRightInd w:val="0"/>
              <w:snapToGrid w:val="0"/>
              <w:spacing w:line="360" w:lineRule="auto"/>
              <w:ind w:firstLine="480" w:firstLineChars="200"/>
              <w:rPr>
                <w:rFonts w:cs="Times New Roman"/>
                <w:bCs/>
                <w:szCs w:val="24"/>
              </w:rPr>
            </w:pPr>
            <w:r>
              <w:t>监测数据表明，</w:t>
            </w:r>
            <w:r>
              <w:rPr>
                <w:rFonts w:hint="eastAsia"/>
              </w:rPr>
              <w:t>项目</w:t>
            </w:r>
            <w:r>
              <w:t>所在地</w:t>
            </w:r>
            <w:r>
              <w:rPr>
                <w:rFonts w:hint="eastAsia"/>
              </w:rPr>
              <w:t>大渡河</w:t>
            </w:r>
            <w:r>
              <w:t>地表水断面上游约500m处和下游1000m处检测河段水质指标均</w:t>
            </w:r>
            <w:r>
              <w:rPr>
                <w:rFonts w:hint="eastAsia"/>
              </w:rPr>
              <w:t>（除</w:t>
            </w:r>
            <w:r>
              <w:t>粪大肠菌群外</w:t>
            </w:r>
            <w:r>
              <w:rPr>
                <w:rFonts w:hint="eastAsia"/>
              </w:rPr>
              <w:t>）</w:t>
            </w:r>
            <w:r>
              <w:t>符合《地表水环境质量标准》（GB3838-2002）中</w:t>
            </w:r>
            <w:r>
              <w:rPr>
                <w:rFonts w:hint="eastAsia" w:ascii="宋体" w:hAnsi="宋体" w:cs="宋体"/>
              </w:rPr>
              <w:t>Ⅲ</w:t>
            </w:r>
            <w:r>
              <w:t>类标准要求，说明当地监测河段水环境质量</w:t>
            </w:r>
            <w:r>
              <w:rPr>
                <w:rFonts w:hint="eastAsia"/>
              </w:rPr>
              <w:t>较好</w:t>
            </w:r>
            <w:r>
              <w:t>。</w:t>
            </w:r>
            <w:r>
              <w:rPr>
                <w:rFonts w:hint="eastAsia"/>
              </w:rPr>
              <w:t>项目</w:t>
            </w:r>
            <w:r>
              <w:rPr>
                <w:rFonts w:hint="eastAsia" w:cs="Times New Roman"/>
                <w:bCs/>
                <w:szCs w:val="24"/>
              </w:rPr>
              <w:t>马嘶溪火车站片区现无污水处理设施，也没有完整的污水收集系统，居民生活污水未经处理直接排入周边地表水，对水体污染严重，</w:t>
            </w:r>
            <w:r>
              <w:rPr>
                <w:rFonts w:cs="Times New Roman"/>
                <w:bCs/>
                <w:szCs w:val="24"/>
              </w:rPr>
              <w:t>故项目</w:t>
            </w:r>
            <w:r>
              <w:t>粪大肠菌群</w:t>
            </w:r>
            <w:r>
              <w:rPr>
                <w:rFonts w:hint="eastAsia"/>
              </w:rPr>
              <w:t>指标不达标</w:t>
            </w:r>
            <w:r>
              <w:t>，本项目建成</w:t>
            </w:r>
            <w:r>
              <w:rPr>
                <w:rFonts w:hint="eastAsia"/>
              </w:rPr>
              <w:t>投入使用</w:t>
            </w:r>
            <w:r>
              <w:t>后，将大大减少排入大渡河污染物的量</w:t>
            </w:r>
            <w:r>
              <w:rPr>
                <w:rFonts w:hint="eastAsia"/>
              </w:rPr>
              <w:t>，</w:t>
            </w:r>
            <w:r>
              <w:t>实现</w:t>
            </w:r>
            <w:r>
              <w:rPr>
                <w:rFonts w:hint="eastAsia" w:cs="Times New Roman"/>
                <w:bCs/>
                <w:szCs w:val="24"/>
              </w:rPr>
              <w:t>马嘶溪火车站片区生活污水达标排放</w:t>
            </w:r>
            <w:r>
              <w:rPr>
                <w:rFonts w:cs="Times New Roman"/>
                <w:bCs/>
                <w:szCs w:val="24"/>
              </w:rPr>
              <w:t>。</w:t>
            </w:r>
          </w:p>
          <w:p>
            <w:pPr>
              <w:spacing w:line="480" w:lineRule="exact"/>
              <w:rPr>
                <w:rFonts w:cs="Times New Roman"/>
                <w:b/>
                <w:szCs w:val="24"/>
              </w:rPr>
            </w:pPr>
            <w:r>
              <w:rPr>
                <w:rFonts w:hint="eastAsia" w:cs="Times New Roman"/>
                <w:b/>
                <w:szCs w:val="24"/>
              </w:rPr>
              <w:t>三</w:t>
            </w:r>
            <w:r>
              <w:rPr>
                <w:rFonts w:cs="Times New Roman"/>
                <w:b/>
                <w:szCs w:val="24"/>
              </w:rPr>
              <w:t>、</w:t>
            </w:r>
            <w:r>
              <w:rPr>
                <w:rFonts w:hint="eastAsia" w:cs="Times New Roman"/>
                <w:b/>
                <w:szCs w:val="24"/>
              </w:rPr>
              <w:t>地下水</w:t>
            </w:r>
            <w:r>
              <w:rPr>
                <w:rFonts w:cs="Times New Roman"/>
                <w:b/>
                <w:szCs w:val="24"/>
              </w:rPr>
              <w:t>质量现状监测及评价</w:t>
            </w:r>
          </w:p>
          <w:p>
            <w:pPr>
              <w:autoSpaceDE w:val="0"/>
              <w:autoSpaceDN w:val="0"/>
              <w:adjustRightInd w:val="0"/>
              <w:snapToGrid w:val="0"/>
              <w:spacing w:line="360" w:lineRule="auto"/>
              <w:ind w:firstLine="482" w:firstLineChars="200"/>
              <w:textAlignment w:val="center"/>
              <w:rPr>
                <w:rFonts w:cs="Times New Roman"/>
                <w:b/>
                <w:bCs/>
                <w:kern w:val="0"/>
              </w:rPr>
            </w:pPr>
            <w:r>
              <w:rPr>
                <w:b/>
                <w:bCs/>
                <w:kern w:val="0"/>
              </w:rPr>
              <w:t>1.</w:t>
            </w:r>
            <w:r>
              <w:rPr>
                <w:rFonts w:ascii="宋体" w:hAnsi="宋体"/>
                <w:b/>
                <w:bCs/>
                <w:kern w:val="0"/>
              </w:rPr>
              <w:t>监测点位布置</w:t>
            </w:r>
          </w:p>
          <w:p>
            <w:pPr>
              <w:autoSpaceDE w:val="0"/>
              <w:autoSpaceDN w:val="0"/>
              <w:adjustRightInd w:val="0"/>
              <w:snapToGrid w:val="0"/>
              <w:spacing w:line="360" w:lineRule="auto"/>
              <w:ind w:firstLine="480" w:firstLineChars="200"/>
              <w:textAlignment w:val="center"/>
              <w:rPr>
                <w:kern w:val="0"/>
              </w:rPr>
            </w:pPr>
            <w:r>
              <w:rPr>
                <w:rFonts w:ascii="宋体" w:hAnsi="宋体"/>
                <w:kern w:val="0"/>
              </w:rPr>
              <w:t>本次</w:t>
            </w:r>
            <w:r>
              <w:rPr>
                <w:rFonts w:hint="eastAsia" w:ascii="宋体" w:hAnsi="宋体"/>
                <w:kern w:val="0"/>
              </w:rPr>
              <w:t>地下水</w:t>
            </w:r>
            <w:r>
              <w:rPr>
                <w:rFonts w:ascii="宋体" w:hAnsi="宋体"/>
                <w:kern w:val="0"/>
              </w:rPr>
              <w:t>监测点位</w:t>
            </w:r>
            <w:r>
              <w:rPr>
                <w:rFonts w:cs="Times New Roman"/>
                <w:kern w:val="0"/>
              </w:rPr>
              <w:t>共设置3个，地下水现状监测点位布置见表3-8。</w:t>
            </w:r>
          </w:p>
          <w:p>
            <w:pPr>
              <w:adjustRightInd w:val="0"/>
              <w:snapToGrid w:val="0"/>
              <w:spacing w:line="360" w:lineRule="auto"/>
              <w:jc w:val="center"/>
              <w:rPr>
                <w:rFonts w:cs="Times New Roman"/>
                <w:b/>
                <w:szCs w:val="24"/>
              </w:rPr>
            </w:pPr>
            <w:r>
              <w:rPr>
                <w:rFonts w:cs="Times New Roman"/>
                <w:b/>
                <w:szCs w:val="24"/>
              </w:rPr>
              <w:t>表3-</w:t>
            </w:r>
            <w:r>
              <w:rPr>
                <w:rFonts w:hint="eastAsia" w:cs="Times New Roman"/>
                <w:b/>
                <w:szCs w:val="24"/>
              </w:rPr>
              <w:t>8</w:t>
            </w:r>
            <w:r>
              <w:rPr>
                <w:rFonts w:cs="Times New Roman"/>
                <w:b/>
                <w:szCs w:val="24"/>
              </w:rPr>
              <w:t xml:space="preserve">  </w:t>
            </w:r>
            <w:r>
              <w:rPr>
                <w:rFonts w:hint="eastAsia" w:cs="Times New Roman"/>
                <w:b/>
                <w:szCs w:val="24"/>
              </w:rPr>
              <w:t>地下水</w:t>
            </w:r>
            <w:r>
              <w:rPr>
                <w:rFonts w:cs="Times New Roman"/>
                <w:b/>
                <w:szCs w:val="24"/>
              </w:rPr>
              <w:t>现状监测布点</w:t>
            </w:r>
          </w:p>
          <w:tbl>
            <w:tblPr>
              <w:tblStyle w:val="30"/>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2"/>
              <w:gridCol w:w="3110"/>
              <w:gridCol w:w="3258"/>
              <w:gridCol w:w="1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02" w:type="dxa"/>
                  <w:vAlign w:val="center"/>
                </w:tcPr>
                <w:p>
                  <w:pPr>
                    <w:jc w:val="center"/>
                    <w:rPr>
                      <w:kern w:val="0"/>
                      <w:sz w:val="21"/>
                      <w:szCs w:val="21"/>
                    </w:rPr>
                  </w:pPr>
                  <w:r>
                    <w:rPr>
                      <w:rFonts w:hint="eastAsia" w:hAnsi="宋体"/>
                      <w:b/>
                      <w:bCs/>
                      <w:sz w:val="21"/>
                      <w:szCs w:val="21"/>
                    </w:rPr>
                    <w:t>检</w:t>
                  </w:r>
                  <w:r>
                    <w:rPr>
                      <w:rFonts w:hAnsi="宋体"/>
                      <w:b/>
                      <w:bCs/>
                      <w:sz w:val="21"/>
                      <w:szCs w:val="21"/>
                    </w:rPr>
                    <w:t>测类别</w:t>
                  </w:r>
                </w:p>
              </w:tc>
              <w:tc>
                <w:tcPr>
                  <w:tcW w:w="3110" w:type="dxa"/>
                  <w:vAlign w:val="center"/>
                </w:tcPr>
                <w:p>
                  <w:pPr>
                    <w:jc w:val="center"/>
                    <w:rPr>
                      <w:rFonts w:cs="Times New Roman"/>
                      <w:kern w:val="0"/>
                      <w:sz w:val="21"/>
                      <w:szCs w:val="21"/>
                    </w:rPr>
                  </w:pPr>
                  <w:r>
                    <w:rPr>
                      <w:rFonts w:hint="eastAsia" w:hAnsi="宋体"/>
                      <w:b/>
                      <w:bCs/>
                      <w:sz w:val="21"/>
                      <w:szCs w:val="21"/>
                    </w:rPr>
                    <w:t>检</w:t>
                  </w:r>
                  <w:r>
                    <w:rPr>
                      <w:rFonts w:hAnsi="宋体"/>
                      <w:b/>
                      <w:bCs/>
                      <w:sz w:val="21"/>
                      <w:szCs w:val="21"/>
                    </w:rPr>
                    <w:t>测点位</w:t>
                  </w:r>
                </w:p>
              </w:tc>
              <w:tc>
                <w:tcPr>
                  <w:tcW w:w="3258" w:type="dxa"/>
                  <w:shd w:val="clear" w:color="auto" w:fill="auto"/>
                  <w:vAlign w:val="center"/>
                </w:tcPr>
                <w:p>
                  <w:pPr>
                    <w:jc w:val="center"/>
                    <w:rPr>
                      <w:sz w:val="21"/>
                      <w:szCs w:val="21"/>
                    </w:rPr>
                  </w:pPr>
                  <w:r>
                    <w:rPr>
                      <w:rFonts w:hint="eastAsia" w:hAnsi="宋体"/>
                      <w:b/>
                      <w:bCs/>
                      <w:sz w:val="21"/>
                      <w:szCs w:val="21"/>
                    </w:rPr>
                    <w:t>检</w:t>
                  </w:r>
                  <w:r>
                    <w:rPr>
                      <w:rFonts w:hAnsi="宋体"/>
                      <w:b/>
                      <w:bCs/>
                      <w:sz w:val="21"/>
                      <w:szCs w:val="21"/>
                    </w:rPr>
                    <w:t>测项目</w:t>
                  </w:r>
                </w:p>
              </w:tc>
              <w:tc>
                <w:tcPr>
                  <w:tcW w:w="1503" w:type="dxa"/>
                  <w:vAlign w:val="center"/>
                </w:tcPr>
                <w:p>
                  <w:pPr>
                    <w:jc w:val="center"/>
                    <w:rPr>
                      <w:kern w:val="0"/>
                      <w:sz w:val="21"/>
                      <w:szCs w:val="21"/>
                    </w:rPr>
                  </w:pPr>
                  <w:r>
                    <w:rPr>
                      <w:rFonts w:hint="eastAsia" w:hAnsi="宋体"/>
                      <w:b/>
                      <w:bCs/>
                      <w:sz w:val="21"/>
                      <w:szCs w:val="21"/>
                    </w:rPr>
                    <w:t>检</w:t>
                  </w:r>
                  <w:r>
                    <w:rPr>
                      <w:rFonts w:hAnsi="宋体"/>
                      <w:b/>
                      <w:bCs/>
                      <w:sz w:val="21"/>
                      <w:szCs w:val="21"/>
                    </w:rPr>
                    <w:t>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02" w:type="dxa"/>
                  <w:vAlign w:val="center"/>
                </w:tcPr>
                <w:p>
                  <w:pPr>
                    <w:spacing w:line="360" w:lineRule="auto"/>
                    <w:jc w:val="center"/>
                    <w:rPr>
                      <w:rFonts w:cs="Times New Roman"/>
                      <w:bCs/>
                      <w:sz w:val="21"/>
                      <w:szCs w:val="21"/>
                    </w:rPr>
                  </w:pPr>
                  <w:r>
                    <w:rPr>
                      <w:rFonts w:hint="eastAsia" w:cs="Times New Roman"/>
                      <w:bCs/>
                      <w:sz w:val="21"/>
                      <w:szCs w:val="21"/>
                    </w:rPr>
                    <w:t>地下水</w:t>
                  </w:r>
                </w:p>
              </w:tc>
              <w:tc>
                <w:tcPr>
                  <w:tcW w:w="3110" w:type="dxa"/>
                  <w:vAlign w:val="center"/>
                </w:tcPr>
                <w:p>
                  <w:pPr>
                    <w:jc w:val="center"/>
                    <w:rPr>
                      <w:rFonts w:cs="Times New Roman"/>
                      <w:bCs/>
                      <w:sz w:val="21"/>
                      <w:szCs w:val="21"/>
                    </w:rPr>
                  </w:pPr>
                  <w:r>
                    <w:rPr>
                      <w:rFonts w:hint="eastAsia" w:cs="Times New Roman"/>
                      <w:bCs/>
                      <w:sz w:val="21"/>
                      <w:szCs w:val="21"/>
                    </w:rPr>
                    <w:t>1#：</w:t>
                  </w:r>
                  <w:r>
                    <w:rPr>
                      <w:rFonts w:hint="eastAsia"/>
                      <w:sz w:val="21"/>
                      <w:szCs w:val="21"/>
                    </w:rPr>
                    <w:t>项目西南侧居民民井</w:t>
                  </w:r>
                </w:p>
                <w:p>
                  <w:pPr>
                    <w:jc w:val="center"/>
                    <w:rPr>
                      <w:sz w:val="21"/>
                      <w:szCs w:val="21"/>
                    </w:rPr>
                  </w:pPr>
                  <w:r>
                    <w:rPr>
                      <w:rFonts w:cs="Times New Roman"/>
                      <w:bCs/>
                      <w:sz w:val="21"/>
                      <w:szCs w:val="21"/>
                    </w:rPr>
                    <w:t>2#：</w:t>
                  </w:r>
                  <w:r>
                    <w:rPr>
                      <w:rFonts w:hint="eastAsia"/>
                      <w:sz w:val="21"/>
                      <w:szCs w:val="21"/>
                    </w:rPr>
                    <w:t>项目东北侧居民民井</w:t>
                  </w:r>
                </w:p>
                <w:p>
                  <w:pPr>
                    <w:jc w:val="center"/>
                    <w:rPr>
                      <w:rFonts w:cs="Times New Roman"/>
                      <w:bCs/>
                      <w:sz w:val="21"/>
                      <w:szCs w:val="21"/>
                    </w:rPr>
                  </w:pPr>
                  <w:r>
                    <w:rPr>
                      <w:rFonts w:hint="eastAsia" w:cs="Times New Roman"/>
                      <w:sz w:val="21"/>
                      <w:szCs w:val="21"/>
                    </w:rPr>
                    <w:t>3#：</w:t>
                  </w:r>
                  <w:r>
                    <w:rPr>
                      <w:rFonts w:hint="eastAsia"/>
                      <w:sz w:val="21"/>
                      <w:szCs w:val="21"/>
                    </w:rPr>
                    <w:t>项目西北侧居民民井</w:t>
                  </w:r>
                </w:p>
              </w:tc>
              <w:tc>
                <w:tcPr>
                  <w:tcW w:w="3258" w:type="dxa"/>
                  <w:shd w:val="clear" w:color="auto" w:fill="auto"/>
                  <w:vAlign w:val="center"/>
                </w:tcPr>
                <w:p>
                  <w:pPr>
                    <w:jc w:val="center"/>
                    <w:rPr>
                      <w:sz w:val="21"/>
                      <w:szCs w:val="21"/>
                    </w:rPr>
                  </w:pPr>
                  <w:r>
                    <w:rPr>
                      <w:rFonts w:hint="eastAsia" w:cs="Times New Roman"/>
                      <w:sz w:val="21"/>
                      <w:szCs w:val="21"/>
                    </w:rPr>
                    <w:t>钾、钠、钙、镁、碳酸根、碳酸氢根、</w:t>
                  </w:r>
                  <w:r>
                    <w:rPr>
                      <w:rFonts w:hint="eastAsia"/>
                      <w:sz w:val="21"/>
                      <w:szCs w:val="21"/>
                    </w:rPr>
                    <w:t>氯化物、硫酸盐、</w:t>
                  </w:r>
                  <w:r>
                    <w:rPr>
                      <w:rFonts w:cs="Times New Roman"/>
                      <w:sz w:val="21"/>
                      <w:szCs w:val="21"/>
                    </w:rPr>
                    <w:t>pH</w:t>
                  </w:r>
                  <w:r>
                    <w:rPr>
                      <w:rFonts w:hint="eastAsia" w:cs="Times New Roman"/>
                      <w:sz w:val="21"/>
                      <w:szCs w:val="21"/>
                    </w:rPr>
                    <w:t>、</w:t>
                  </w:r>
                  <w:r>
                    <w:rPr>
                      <w:rFonts w:hint="eastAsia"/>
                      <w:sz w:val="21"/>
                      <w:szCs w:val="21"/>
                    </w:rPr>
                    <w:t>溶解性总固体、</w:t>
                  </w:r>
                  <w:r>
                    <w:rPr>
                      <w:rFonts w:hAnsi="宋体"/>
                      <w:sz w:val="21"/>
                      <w:szCs w:val="21"/>
                    </w:rPr>
                    <w:t>氨氮</w:t>
                  </w:r>
                  <w:r>
                    <w:rPr>
                      <w:rFonts w:hint="eastAsia" w:cs="Times New Roman"/>
                      <w:sz w:val="21"/>
                      <w:szCs w:val="21"/>
                    </w:rPr>
                    <w:t>、硝酸盐、亚硝酸盐、</w:t>
                  </w:r>
                  <w:r>
                    <w:rPr>
                      <w:rFonts w:hint="eastAsia" w:cs="Times New Roman"/>
                      <w:kern w:val="0"/>
                      <w:sz w:val="21"/>
                      <w:szCs w:val="21"/>
                    </w:rPr>
                    <w:t>耗氧量</w:t>
                  </w:r>
                  <w:r>
                    <w:rPr>
                      <w:rFonts w:hint="eastAsia" w:cs="Times New Roman"/>
                      <w:sz w:val="21"/>
                      <w:szCs w:val="21"/>
                    </w:rPr>
                    <w:t>、</w:t>
                  </w:r>
                  <w:r>
                    <w:rPr>
                      <w:rFonts w:hint="eastAsia"/>
                      <w:sz w:val="21"/>
                      <w:szCs w:val="21"/>
                    </w:rPr>
                    <w:t>六价铬</w:t>
                  </w:r>
                </w:p>
              </w:tc>
              <w:tc>
                <w:tcPr>
                  <w:tcW w:w="1503" w:type="dxa"/>
                  <w:vAlign w:val="center"/>
                </w:tcPr>
                <w:p>
                  <w:pPr>
                    <w:jc w:val="center"/>
                    <w:rPr>
                      <w:kern w:val="0"/>
                      <w:sz w:val="21"/>
                      <w:szCs w:val="21"/>
                    </w:rPr>
                  </w:pPr>
                  <w:r>
                    <w:rPr>
                      <w:rFonts w:hint="eastAsia"/>
                      <w:kern w:val="0"/>
                      <w:sz w:val="21"/>
                      <w:szCs w:val="21"/>
                    </w:rPr>
                    <w:t>检测</w:t>
                  </w:r>
                  <w:r>
                    <w:rPr>
                      <w:rFonts w:hint="eastAsia" w:cs="Times New Roman"/>
                      <w:kern w:val="0"/>
                      <w:sz w:val="21"/>
                      <w:szCs w:val="21"/>
                    </w:rPr>
                    <w:t>1</w:t>
                  </w:r>
                  <w:r>
                    <w:rPr>
                      <w:rFonts w:hint="eastAsia"/>
                      <w:kern w:val="0"/>
                      <w:sz w:val="21"/>
                      <w:szCs w:val="21"/>
                    </w:rPr>
                    <w:t>天，每天</w:t>
                  </w:r>
                  <w:r>
                    <w:rPr>
                      <w:rFonts w:cs="Times New Roman"/>
                      <w:kern w:val="0"/>
                      <w:sz w:val="21"/>
                      <w:szCs w:val="21"/>
                    </w:rPr>
                    <w:t>1</w:t>
                  </w:r>
                  <w:r>
                    <w:rPr>
                      <w:rFonts w:hint="eastAsia"/>
                      <w:kern w:val="0"/>
                      <w:sz w:val="21"/>
                      <w:szCs w:val="21"/>
                    </w:rPr>
                    <w:t>次</w:t>
                  </w:r>
                </w:p>
              </w:tc>
            </w:tr>
          </w:tbl>
          <w:p>
            <w:pPr>
              <w:autoSpaceDE w:val="0"/>
              <w:autoSpaceDN w:val="0"/>
              <w:adjustRightInd w:val="0"/>
              <w:snapToGrid w:val="0"/>
              <w:spacing w:line="360" w:lineRule="auto"/>
              <w:ind w:firstLine="482" w:firstLineChars="200"/>
              <w:jc w:val="left"/>
              <w:textAlignment w:val="center"/>
              <w:rPr>
                <w:rFonts w:cs="Times New Roman"/>
                <w:b/>
                <w:bCs/>
                <w:kern w:val="0"/>
                <w:szCs w:val="24"/>
              </w:rPr>
            </w:pPr>
            <w:r>
              <w:rPr>
                <w:b/>
                <w:bCs/>
                <w:kern w:val="0"/>
              </w:rPr>
              <w:t>2.</w:t>
            </w:r>
            <w:r>
              <w:rPr>
                <w:rFonts w:ascii="宋体" w:hAnsi="宋体"/>
                <w:b/>
                <w:bCs/>
                <w:kern w:val="0"/>
              </w:rPr>
              <w:t>监测项目：</w:t>
            </w:r>
            <w:r>
              <w:rPr>
                <w:rFonts w:hint="eastAsia" w:ascii="宋体" w:hAnsi="宋体"/>
                <w:b/>
                <w:bCs/>
                <w:kern w:val="0"/>
              </w:rPr>
              <w:t>地下水</w:t>
            </w:r>
            <w:r>
              <w:rPr>
                <w:rFonts w:ascii="宋体" w:hAnsi="宋体"/>
                <w:kern w:val="0"/>
              </w:rPr>
              <w:t>。</w:t>
            </w:r>
          </w:p>
          <w:p>
            <w:pPr>
              <w:autoSpaceDE w:val="0"/>
              <w:autoSpaceDN w:val="0"/>
              <w:adjustRightInd w:val="0"/>
              <w:snapToGrid w:val="0"/>
              <w:spacing w:line="360" w:lineRule="auto"/>
              <w:ind w:firstLine="482" w:firstLineChars="200"/>
              <w:jc w:val="left"/>
              <w:textAlignment w:val="center"/>
              <w:rPr>
                <w:kern w:val="0"/>
              </w:rPr>
            </w:pPr>
            <w:r>
              <w:rPr>
                <w:b/>
                <w:bCs/>
                <w:kern w:val="0"/>
              </w:rPr>
              <w:t>3.</w:t>
            </w:r>
            <w:r>
              <w:rPr>
                <w:rFonts w:ascii="宋体" w:hAnsi="宋体"/>
                <w:b/>
                <w:bCs/>
                <w:kern w:val="0"/>
              </w:rPr>
              <w:t>监测时间、监测频次</w:t>
            </w:r>
          </w:p>
          <w:p>
            <w:pPr>
              <w:autoSpaceDE w:val="0"/>
              <w:autoSpaceDN w:val="0"/>
              <w:adjustRightInd w:val="0"/>
              <w:snapToGrid w:val="0"/>
              <w:spacing w:line="360" w:lineRule="auto"/>
              <w:ind w:firstLine="480" w:firstLineChars="200"/>
              <w:jc w:val="left"/>
              <w:textAlignment w:val="center"/>
              <w:rPr>
                <w:kern w:val="0"/>
              </w:rPr>
            </w:pPr>
            <w:r>
              <w:t>2020</w:t>
            </w:r>
            <w:r>
              <w:rPr>
                <w:rFonts w:hint="eastAsia" w:ascii="宋体" w:hAnsi="宋体"/>
              </w:rPr>
              <w:t>年</w:t>
            </w:r>
            <w:r>
              <w:t>11</w:t>
            </w:r>
            <w:r>
              <w:rPr>
                <w:rFonts w:hint="eastAsia" w:ascii="宋体" w:hAnsi="宋体"/>
              </w:rPr>
              <w:t>月</w:t>
            </w:r>
            <w:r>
              <w:t>21</w:t>
            </w:r>
            <w:r>
              <w:rPr>
                <w:rFonts w:hint="eastAsia" w:ascii="宋体" w:hAnsi="宋体"/>
              </w:rPr>
              <w:t>日检测</w:t>
            </w:r>
            <w:r>
              <w:t>1</w:t>
            </w:r>
            <w:r>
              <w:rPr>
                <w:rFonts w:hint="eastAsia" w:ascii="宋体" w:hAnsi="宋体"/>
              </w:rPr>
              <w:t>天，每天</w:t>
            </w:r>
            <w:r>
              <w:t>1</w:t>
            </w:r>
            <w:r>
              <w:rPr>
                <w:rFonts w:hint="eastAsia" w:ascii="宋体" w:hAnsi="宋体"/>
              </w:rPr>
              <w:t>次</w:t>
            </w:r>
            <w:r>
              <w:rPr>
                <w:rFonts w:ascii="宋体" w:hAnsi="宋体"/>
                <w:kern w:val="0"/>
              </w:rPr>
              <w:t>。</w:t>
            </w:r>
          </w:p>
          <w:p>
            <w:pPr>
              <w:autoSpaceDE w:val="0"/>
              <w:autoSpaceDN w:val="0"/>
              <w:adjustRightInd w:val="0"/>
              <w:snapToGrid w:val="0"/>
              <w:spacing w:line="360" w:lineRule="auto"/>
              <w:ind w:firstLine="482" w:firstLineChars="200"/>
              <w:jc w:val="left"/>
              <w:textAlignment w:val="center"/>
              <w:rPr>
                <w:b/>
                <w:bCs/>
                <w:kern w:val="0"/>
              </w:rPr>
            </w:pPr>
            <w:r>
              <w:rPr>
                <w:b/>
                <w:bCs/>
                <w:kern w:val="0"/>
              </w:rPr>
              <w:t>4.</w:t>
            </w:r>
            <w:r>
              <w:rPr>
                <w:rFonts w:ascii="宋体" w:hAnsi="宋体"/>
                <w:b/>
                <w:bCs/>
                <w:kern w:val="0"/>
              </w:rPr>
              <w:t>监测结果</w:t>
            </w:r>
          </w:p>
          <w:p>
            <w:pPr>
              <w:autoSpaceDE w:val="0"/>
              <w:autoSpaceDN w:val="0"/>
              <w:adjustRightInd w:val="0"/>
              <w:snapToGrid w:val="0"/>
              <w:spacing w:line="360" w:lineRule="auto"/>
              <w:ind w:firstLine="480" w:firstLineChars="200"/>
              <w:jc w:val="left"/>
              <w:textAlignment w:val="center"/>
              <w:rPr>
                <w:rFonts w:cs="Times New Roman"/>
                <w:kern w:val="0"/>
              </w:rPr>
            </w:pPr>
            <w:r>
              <w:rPr>
                <w:rFonts w:ascii="宋体" w:hAnsi="宋体"/>
                <w:kern w:val="0"/>
              </w:rPr>
              <w:t>检测结果见</w:t>
            </w:r>
            <w:r>
              <w:rPr>
                <w:rFonts w:cs="Times New Roman"/>
                <w:kern w:val="0"/>
              </w:rPr>
              <w:t>表3-9。</w:t>
            </w:r>
          </w:p>
          <w:p>
            <w:pPr>
              <w:adjustRightInd w:val="0"/>
              <w:snapToGrid w:val="0"/>
              <w:spacing w:line="360" w:lineRule="auto"/>
              <w:jc w:val="center"/>
              <w:rPr>
                <w:rFonts w:cs="Times New Roman"/>
                <w:b/>
                <w:szCs w:val="24"/>
              </w:rPr>
            </w:pPr>
            <w:r>
              <w:rPr>
                <w:rFonts w:cs="Times New Roman"/>
                <w:b/>
                <w:szCs w:val="24"/>
              </w:rPr>
              <w:t xml:space="preserve">表3-9  </w:t>
            </w:r>
            <w:r>
              <w:rPr>
                <w:rFonts w:hint="eastAsia" w:cs="Times New Roman"/>
                <w:b/>
                <w:szCs w:val="24"/>
              </w:rPr>
              <w:t>地下水</w:t>
            </w:r>
            <w:r>
              <w:rPr>
                <w:rFonts w:cs="Times New Roman"/>
                <w:b/>
                <w:szCs w:val="24"/>
              </w:rPr>
              <w:t>现状检测结果</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3"/>
              <w:gridCol w:w="2090"/>
              <w:gridCol w:w="2073"/>
              <w:gridCol w:w="2073"/>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jc w:val="center"/>
                    <w:outlineLvl w:val="0"/>
                    <w:rPr>
                      <w:rFonts w:cs="Times New Roman"/>
                      <w:b/>
                      <w:sz w:val="21"/>
                      <w:szCs w:val="21"/>
                    </w:rPr>
                  </w:pPr>
                  <w:r>
                    <w:rPr>
                      <w:rFonts w:hint="eastAsia" w:cs="Times New Roman"/>
                      <w:b/>
                      <w:sz w:val="21"/>
                      <w:szCs w:val="21"/>
                    </w:rPr>
                    <w:t>采样时间</w:t>
                  </w:r>
                </w:p>
              </w:tc>
              <w:tc>
                <w:tcPr>
                  <w:tcW w:w="4050" w:type="pct"/>
                  <w:gridSpan w:val="4"/>
                  <w:shd w:val="clear" w:color="auto" w:fill="auto"/>
                  <w:vAlign w:val="center"/>
                </w:tcPr>
                <w:p>
                  <w:pPr>
                    <w:jc w:val="center"/>
                    <w:rPr>
                      <w:rFonts w:cs="Times New Roman"/>
                      <w:b/>
                      <w:sz w:val="21"/>
                      <w:szCs w:val="21"/>
                    </w:rPr>
                  </w:pPr>
                  <w:r>
                    <w:rPr>
                      <w:rFonts w:hint="eastAsia" w:cs="Times New Roman"/>
                      <w:bCs/>
                      <w:sz w:val="21"/>
                      <w:szCs w:val="21"/>
                    </w:rPr>
                    <w:t>2020年11月21日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vMerge w:val="restart"/>
                  <w:shd w:val="clear" w:color="auto" w:fill="auto"/>
                  <w:vAlign w:val="center"/>
                </w:tcPr>
                <w:p>
                  <w:pPr>
                    <w:jc w:val="center"/>
                    <w:outlineLvl w:val="0"/>
                    <w:rPr>
                      <w:rFonts w:cs="Times New Roman"/>
                      <w:b/>
                      <w:sz w:val="21"/>
                      <w:szCs w:val="21"/>
                    </w:rPr>
                  </w:pPr>
                  <w:r>
                    <w:rPr>
                      <w:rFonts w:hint="eastAsia" w:cs="Times New Roman"/>
                      <w:b/>
                      <w:sz w:val="21"/>
                      <w:szCs w:val="21"/>
                    </w:rPr>
                    <w:t>检测项目</w:t>
                  </w:r>
                </w:p>
              </w:tc>
              <w:tc>
                <w:tcPr>
                  <w:tcW w:w="3399" w:type="pct"/>
                  <w:gridSpan w:val="3"/>
                  <w:shd w:val="clear" w:color="auto" w:fill="auto"/>
                  <w:vAlign w:val="center"/>
                </w:tcPr>
                <w:p>
                  <w:pPr>
                    <w:jc w:val="center"/>
                    <w:rPr>
                      <w:rFonts w:cs="Times New Roman"/>
                      <w:b/>
                      <w:sz w:val="21"/>
                      <w:szCs w:val="21"/>
                    </w:rPr>
                  </w:pPr>
                  <w:r>
                    <w:rPr>
                      <w:rFonts w:hint="eastAsia" w:cs="Times New Roman"/>
                      <w:b/>
                      <w:sz w:val="21"/>
                      <w:szCs w:val="21"/>
                    </w:rPr>
                    <w:t>检测结果</w:t>
                  </w:r>
                  <w:r>
                    <w:rPr>
                      <w:rFonts w:cs="Times New Roman" w:eastAsiaTheme="minorEastAsia"/>
                      <w:b/>
                      <w:bCs/>
                      <w:sz w:val="21"/>
                      <w:szCs w:val="21"/>
                    </w:rPr>
                    <w:t>（mg/</w:t>
                  </w:r>
                  <w:r>
                    <w:rPr>
                      <w:rFonts w:hint="eastAsia" w:cs="Times New Roman"/>
                      <w:b/>
                      <w:bCs/>
                      <w:sz w:val="21"/>
                      <w:szCs w:val="21"/>
                    </w:rPr>
                    <w:t>L</w:t>
                  </w:r>
                  <w:r>
                    <w:rPr>
                      <w:rFonts w:cs="Times New Roman" w:eastAsiaTheme="minorEastAsia"/>
                      <w:b/>
                      <w:bCs/>
                      <w:sz w:val="21"/>
                      <w:szCs w:val="21"/>
                    </w:rPr>
                    <w:t>）</w:t>
                  </w:r>
                </w:p>
              </w:tc>
              <w:tc>
                <w:tcPr>
                  <w:tcW w:w="651" w:type="pct"/>
                  <w:vMerge w:val="restart"/>
                  <w:shd w:val="clear" w:color="auto" w:fill="auto"/>
                  <w:vAlign w:val="center"/>
                </w:tcPr>
                <w:p>
                  <w:pPr>
                    <w:jc w:val="center"/>
                    <w:rPr>
                      <w:rFonts w:cs="Times New Roman"/>
                      <w:b/>
                      <w:sz w:val="21"/>
                      <w:szCs w:val="21"/>
                    </w:rPr>
                  </w:pPr>
                  <w:r>
                    <w:rPr>
                      <w:rFonts w:hint="eastAsia" w:cs="Times New Roman"/>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vMerge w:val="continue"/>
                  <w:shd w:val="clear" w:color="auto" w:fill="auto"/>
                  <w:vAlign w:val="center"/>
                </w:tcPr>
                <w:p>
                  <w:pPr>
                    <w:jc w:val="center"/>
                    <w:rPr>
                      <w:sz w:val="21"/>
                      <w:szCs w:val="21"/>
                    </w:rPr>
                  </w:pP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1#：</w:t>
                  </w:r>
                  <w:r>
                    <w:rPr>
                      <w:rFonts w:hint="eastAsia"/>
                      <w:sz w:val="21"/>
                      <w:szCs w:val="21"/>
                    </w:rPr>
                    <w:t>项目西南侧居民民井</w:t>
                  </w:r>
                </w:p>
              </w:tc>
              <w:tc>
                <w:tcPr>
                  <w:tcW w:w="1130" w:type="pct"/>
                  <w:shd w:val="clear" w:color="auto" w:fill="auto"/>
                  <w:vAlign w:val="center"/>
                </w:tcPr>
                <w:p>
                  <w:pPr>
                    <w:jc w:val="center"/>
                    <w:rPr>
                      <w:rFonts w:cs="Times New Roman"/>
                      <w:bCs/>
                      <w:sz w:val="21"/>
                      <w:szCs w:val="21"/>
                    </w:rPr>
                  </w:pPr>
                  <w:r>
                    <w:rPr>
                      <w:rFonts w:cs="Times New Roman"/>
                      <w:bCs/>
                      <w:sz w:val="21"/>
                      <w:szCs w:val="21"/>
                    </w:rPr>
                    <w:t>2#：</w:t>
                  </w:r>
                  <w:r>
                    <w:rPr>
                      <w:rFonts w:hint="eastAsia"/>
                      <w:sz w:val="21"/>
                      <w:szCs w:val="21"/>
                    </w:rPr>
                    <w:t>项目东北侧居民民井</w:t>
                  </w:r>
                </w:p>
              </w:tc>
              <w:tc>
                <w:tcPr>
                  <w:tcW w:w="1130" w:type="pct"/>
                  <w:shd w:val="clear" w:color="auto" w:fill="auto"/>
                  <w:vAlign w:val="center"/>
                </w:tcPr>
                <w:p>
                  <w:pPr>
                    <w:jc w:val="center"/>
                    <w:rPr>
                      <w:rFonts w:cs="Times New Roman"/>
                      <w:bCs/>
                      <w:sz w:val="21"/>
                      <w:szCs w:val="21"/>
                    </w:rPr>
                  </w:pPr>
                  <w:r>
                    <w:rPr>
                      <w:rFonts w:hint="eastAsia" w:cs="Times New Roman"/>
                      <w:sz w:val="21"/>
                      <w:szCs w:val="21"/>
                    </w:rPr>
                    <w:t>3#：</w:t>
                  </w:r>
                  <w:r>
                    <w:rPr>
                      <w:rFonts w:hint="eastAsia"/>
                      <w:sz w:val="21"/>
                      <w:szCs w:val="21"/>
                    </w:rPr>
                    <w:t>项目西北侧居民民井</w:t>
                  </w:r>
                </w:p>
              </w:tc>
              <w:tc>
                <w:tcPr>
                  <w:tcW w:w="651" w:type="pct"/>
                  <w:vMerge w:val="continue"/>
                  <w:shd w:val="clear" w:color="auto" w:fill="auto"/>
                  <w:vAlign w:val="center"/>
                </w:tcPr>
                <w:p>
                  <w:pPr>
                    <w:jc w:val="center"/>
                    <w:rPr>
                      <w:rFonts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jc w:val="center"/>
                    <w:rPr>
                      <w:rFonts w:cs="Times New Roman"/>
                      <w:b/>
                      <w:sz w:val="21"/>
                      <w:szCs w:val="21"/>
                    </w:rPr>
                  </w:pPr>
                  <w:r>
                    <w:rPr>
                      <w:rFonts w:hint="eastAsia" w:cs="Times New Roman"/>
                      <w:bCs/>
                      <w:sz w:val="21"/>
                      <w:szCs w:val="21"/>
                    </w:rPr>
                    <w:t>钾</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0.46</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0.46</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0.45</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jc w:val="center"/>
                    <w:rPr>
                      <w:rFonts w:cs="Times New Roman"/>
                      <w:b/>
                      <w:sz w:val="21"/>
                      <w:szCs w:val="21"/>
                    </w:rPr>
                  </w:pPr>
                  <w:r>
                    <w:rPr>
                      <w:rFonts w:hint="eastAsia" w:cs="Times New Roman"/>
                      <w:bCs/>
                      <w:sz w:val="21"/>
                      <w:szCs w:val="21"/>
                    </w:rPr>
                    <w:t>钠</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13.2</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13.6</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12.8</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rPr>
                      <w:rFonts w:cs="Times New Roman"/>
                      <w:b/>
                      <w:sz w:val="21"/>
                      <w:szCs w:val="21"/>
                    </w:rPr>
                  </w:pPr>
                  <w:r>
                    <w:rPr>
                      <w:rFonts w:hint="eastAsia" w:cs="Times New Roman"/>
                      <w:bCs/>
                      <w:sz w:val="21"/>
                      <w:szCs w:val="21"/>
                    </w:rPr>
                    <w:t>钙</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33.8</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33.2</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34.4</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jc w:val="center"/>
                    <w:rPr>
                      <w:rFonts w:cs="Times New Roman"/>
                      <w:b/>
                      <w:sz w:val="21"/>
                      <w:szCs w:val="21"/>
                    </w:rPr>
                  </w:pPr>
                  <w:r>
                    <w:rPr>
                      <w:rFonts w:hint="eastAsia" w:cs="Times New Roman"/>
                      <w:sz w:val="21"/>
                      <w:szCs w:val="21"/>
                    </w:rPr>
                    <w:t>镁</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22.4</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18.0</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19.8</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rPr>
                      <w:rFonts w:cs="Times New Roman"/>
                      <w:b/>
                      <w:sz w:val="21"/>
                      <w:szCs w:val="21"/>
                    </w:rPr>
                  </w:pPr>
                  <w:r>
                    <w:rPr>
                      <w:rFonts w:hint="eastAsia" w:cs="Times New Roman"/>
                      <w:sz w:val="21"/>
                      <w:szCs w:val="21"/>
                    </w:rPr>
                    <w:t>碳酸根</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未检出</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未检出</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未检出</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textAlignment w:val="center"/>
                    <w:rPr>
                      <w:rFonts w:cs="Times New Roman"/>
                      <w:b/>
                      <w:sz w:val="21"/>
                      <w:szCs w:val="21"/>
                    </w:rPr>
                  </w:pPr>
                  <w:r>
                    <w:rPr>
                      <w:rFonts w:hint="eastAsia" w:cs="Times New Roman"/>
                      <w:sz w:val="21"/>
                      <w:szCs w:val="21"/>
                    </w:rPr>
                    <w:t>碳酸氢根</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189</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190</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191</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rPr>
                      <w:rFonts w:cs="Times New Roman"/>
                      <w:b/>
                      <w:sz w:val="21"/>
                      <w:szCs w:val="21"/>
                    </w:rPr>
                  </w:pPr>
                  <w:r>
                    <w:rPr>
                      <w:rFonts w:hint="eastAsia"/>
                      <w:sz w:val="21"/>
                      <w:szCs w:val="21"/>
                    </w:rPr>
                    <w:t>硫酸盐</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25.8</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28.5</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28.2</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textAlignment w:val="center"/>
                    <w:rPr>
                      <w:rFonts w:cs="Times New Roman"/>
                      <w:b/>
                      <w:sz w:val="21"/>
                      <w:szCs w:val="21"/>
                    </w:rPr>
                  </w:pPr>
                  <w:r>
                    <w:rPr>
                      <w:rFonts w:hint="eastAsia" w:cs="Times New Roman"/>
                      <w:sz w:val="21"/>
                      <w:szCs w:val="21"/>
                    </w:rPr>
                    <w:t>硝酸盐</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1.79</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2.23</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2.07</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textAlignment w:val="center"/>
                    <w:rPr>
                      <w:rFonts w:cs="Times New Roman"/>
                      <w:b/>
                      <w:sz w:val="21"/>
                      <w:szCs w:val="21"/>
                    </w:rPr>
                  </w:pPr>
                  <w:r>
                    <w:rPr>
                      <w:rFonts w:hint="eastAsia" w:cs="Times New Roman"/>
                      <w:sz w:val="21"/>
                      <w:szCs w:val="21"/>
                    </w:rPr>
                    <w:t>亚硝酸盐</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未检出</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未检出</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未检出</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textAlignment w:val="center"/>
                    <w:rPr>
                      <w:rFonts w:cs="Times New Roman"/>
                      <w:sz w:val="21"/>
                      <w:szCs w:val="21"/>
                    </w:rPr>
                  </w:pPr>
                  <w:r>
                    <w:rPr>
                      <w:rFonts w:hint="eastAsia" w:cs="Times New Roman"/>
                      <w:sz w:val="21"/>
                      <w:szCs w:val="21"/>
                    </w:rPr>
                    <w:t>氯化物</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4.27</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4.42</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4.38</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textAlignment w:val="center"/>
                    <w:rPr>
                      <w:rFonts w:cs="Times New Roman"/>
                      <w:b/>
                      <w:sz w:val="21"/>
                      <w:szCs w:val="21"/>
                    </w:rPr>
                  </w:pPr>
                  <w:r>
                    <w:rPr>
                      <w:rFonts w:cs="Times New Roman"/>
                      <w:sz w:val="21"/>
                      <w:szCs w:val="21"/>
                    </w:rPr>
                    <w:t>pH</w:t>
                  </w:r>
                  <w:r>
                    <w:rPr>
                      <w:rFonts w:hint="eastAsia" w:cs="Times New Roman"/>
                      <w:sz w:val="21"/>
                      <w:szCs w:val="21"/>
                    </w:rPr>
                    <w:t>（无量纲）</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7.32</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7.44</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7.46</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textAlignment w:val="center"/>
                    <w:rPr>
                      <w:rFonts w:cs="Times New Roman"/>
                      <w:b/>
                      <w:sz w:val="21"/>
                      <w:szCs w:val="21"/>
                    </w:rPr>
                  </w:pPr>
                  <w:r>
                    <w:rPr>
                      <w:rFonts w:hAnsi="宋体"/>
                      <w:sz w:val="21"/>
                      <w:szCs w:val="21"/>
                    </w:rPr>
                    <w:t>氨氮</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0.049</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0.029</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0.041</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textAlignment w:val="center"/>
                    <w:rPr>
                      <w:rFonts w:cs="Times New Roman"/>
                      <w:b/>
                      <w:sz w:val="21"/>
                      <w:szCs w:val="21"/>
                    </w:rPr>
                  </w:pPr>
                  <w:r>
                    <w:rPr>
                      <w:rFonts w:hint="eastAsia"/>
                      <w:sz w:val="21"/>
                      <w:szCs w:val="21"/>
                    </w:rPr>
                    <w:t>六价铬</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未检出</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未检出</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未检出</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textAlignment w:val="center"/>
                    <w:rPr>
                      <w:rFonts w:cs="Times New Roman"/>
                      <w:b/>
                      <w:sz w:val="21"/>
                      <w:szCs w:val="21"/>
                    </w:rPr>
                  </w:pPr>
                  <w:r>
                    <w:rPr>
                      <w:rFonts w:hint="eastAsia"/>
                      <w:sz w:val="21"/>
                      <w:szCs w:val="21"/>
                    </w:rPr>
                    <w:t>溶解性总固体</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198</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210</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211</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50" w:type="pct"/>
                  <w:shd w:val="clear" w:color="auto" w:fill="auto"/>
                  <w:vAlign w:val="center"/>
                </w:tcPr>
                <w:p>
                  <w:pPr>
                    <w:widowControl/>
                    <w:jc w:val="center"/>
                    <w:textAlignment w:val="center"/>
                    <w:rPr>
                      <w:rFonts w:cs="Times New Roman"/>
                      <w:b/>
                      <w:sz w:val="21"/>
                      <w:szCs w:val="21"/>
                    </w:rPr>
                  </w:pPr>
                  <w:r>
                    <w:rPr>
                      <w:rFonts w:hint="eastAsia"/>
                      <w:sz w:val="21"/>
                      <w:szCs w:val="21"/>
                    </w:rPr>
                    <w:t>耗氧量（</w:t>
                  </w:r>
                  <w:r>
                    <w:rPr>
                      <w:rFonts w:cs="Times New Roman"/>
                      <w:sz w:val="21"/>
                      <w:szCs w:val="21"/>
                    </w:rPr>
                    <w:t>COD</w:t>
                  </w:r>
                  <w:r>
                    <w:rPr>
                      <w:rFonts w:cs="Times New Roman"/>
                      <w:sz w:val="21"/>
                      <w:szCs w:val="21"/>
                      <w:vertAlign w:val="subscript"/>
                    </w:rPr>
                    <w:t>Mn</w:t>
                  </w:r>
                  <w:r>
                    <w:rPr>
                      <w:rFonts w:cs="Times New Roman"/>
                      <w:sz w:val="21"/>
                      <w:szCs w:val="21"/>
                    </w:rPr>
                    <w:t>法</w:t>
                  </w:r>
                  <w:r>
                    <w:rPr>
                      <w:rFonts w:hint="eastAsia" w:cs="Times New Roman"/>
                      <w:sz w:val="21"/>
                      <w:szCs w:val="21"/>
                    </w:rPr>
                    <w:t>，</w:t>
                  </w:r>
                  <w:r>
                    <w:rPr>
                      <w:rFonts w:cs="Times New Roman"/>
                      <w:sz w:val="21"/>
                      <w:szCs w:val="21"/>
                    </w:rPr>
                    <w:t>以O</w:t>
                  </w:r>
                  <w:r>
                    <w:rPr>
                      <w:rFonts w:cs="Times New Roman"/>
                      <w:sz w:val="21"/>
                      <w:szCs w:val="21"/>
                      <w:vertAlign w:val="subscript"/>
                    </w:rPr>
                    <w:t>2</w:t>
                  </w:r>
                  <w:r>
                    <w:rPr>
                      <w:rFonts w:cs="Times New Roman"/>
                      <w:sz w:val="21"/>
                      <w:szCs w:val="21"/>
                    </w:rPr>
                    <w:t>计</w:t>
                  </w:r>
                  <w:r>
                    <w:rPr>
                      <w:rFonts w:hint="eastAsia"/>
                      <w:sz w:val="21"/>
                      <w:szCs w:val="21"/>
                    </w:rPr>
                    <w:t>）</w:t>
                  </w:r>
                </w:p>
              </w:tc>
              <w:tc>
                <w:tcPr>
                  <w:tcW w:w="1139" w:type="pct"/>
                  <w:shd w:val="clear" w:color="auto" w:fill="auto"/>
                  <w:vAlign w:val="center"/>
                </w:tcPr>
                <w:p>
                  <w:pPr>
                    <w:jc w:val="center"/>
                    <w:rPr>
                      <w:rFonts w:cs="Times New Roman"/>
                      <w:bCs/>
                      <w:sz w:val="21"/>
                      <w:szCs w:val="21"/>
                    </w:rPr>
                  </w:pPr>
                  <w:r>
                    <w:rPr>
                      <w:rFonts w:hint="eastAsia" w:cs="Times New Roman"/>
                      <w:bCs/>
                      <w:sz w:val="21"/>
                      <w:szCs w:val="21"/>
                    </w:rPr>
                    <w:t>0.6</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0.5</w:t>
                  </w:r>
                </w:p>
              </w:tc>
              <w:tc>
                <w:tcPr>
                  <w:tcW w:w="1130" w:type="pct"/>
                  <w:shd w:val="clear" w:color="auto" w:fill="auto"/>
                  <w:vAlign w:val="center"/>
                </w:tcPr>
                <w:p>
                  <w:pPr>
                    <w:jc w:val="center"/>
                    <w:rPr>
                      <w:rFonts w:cs="Times New Roman"/>
                      <w:bCs/>
                      <w:sz w:val="21"/>
                      <w:szCs w:val="21"/>
                    </w:rPr>
                  </w:pPr>
                  <w:r>
                    <w:rPr>
                      <w:rFonts w:hint="eastAsia" w:cs="Times New Roman"/>
                      <w:bCs/>
                      <w:sz w:val="21"/>
                      <w:szCs w:val="21"/>
                    </w:rPr>
                    <w:t>0.5</w:t>
                  </w:r>
                </w:p>
              </w:tc>
              <w:tc>
                <w:tcPr>
                  <w:tcW w:w="651" w:type="pct"/>
                  <w:shd w:val="clear" w:color="auto" w:fill="auto"/>
                  <w:vAlign w:val="center"/>
                </w:tcPr>
                <w:p>
                  <w:pPr>
                    <w:jc w:val="center"/>
                    <w:rPr>
                      <w:rFonts w:cs="Times New Roman"/>
                      <w:bCs/>
                      <w:sz w:val="21"/>
                      <w:szCs w:val="21"/>
                    </w:rPr>
                  </w:pPr>
                  <w:r>
                    <w:rPr>
                      <w:rFonts w:hint="eastAsia" w:cs="Times New Roman"/>
                      <w:bCs/>
                      <w:sz w:val="21"/>
                      <w:szCs w:val="21"/>
                    </w:rPr>
                    <w:t>/</w:t>
                  </w:r>
                </w:p>
              </w:tc>
            </w:tr>
          </w:tbl>
          <w:p>
            <w:pPr>
              <w:adjustRightInd w:val="0"/>
              <w:snapToGrid w:val="0"/>
              <w:spacing w:before="120" w:beforeLines="50" w:line="360" w:lineRule="auto"/>
              <w:ind w:firstLine="482" w:firstLineChars="200"/>
              <w:jc w:val="left"/>
              <w:rPr>
                <w:b/>
                <w:bCs/>
              </w:rPr>
            </w:pPr>
            <w:r>
              <w:rPr>
                <w:rFonts w:hint="eastAsia"/>
                <w:b/>
                <w:bCs/>
              </w:rPr>
              <w:t>5、</w:t>
            </w:r>
            <w:r>
              <w:rPr>
                <w:rFonts w:hint="eastAsia" w:ascii="宋体" w:hAnsi="宋体"/>
                <w:b/>
                <w:bCs/>
              </w:rPr>
              <w:t>地下水环境质量</w:t>
            </w:r>
            <w:r>
              <w:rPr>
                <w:rFonts w:ascii="宋体" w:hAnsi="宋体"/>
                <w:b/>
                <w:bCs/>
              </w:rPr>
              <w:t>评价标准</w:t>
            </w:r>
          </w:p>
          <w:p>
            <w:pPr>
              <w:autoSpaceDE w:val="0"/>
              <w:adjustRightInd w:val="0"/>
              <w:snapToGrid w:val="0"/>
              <w:spacing w:line="360" w:lineRule="auto"/>
              <w:ind w:firstLine="480" w:firstLineChars="200"/>
              <w:rPr>
                <w:rFonts w:eastAsia="黑体"/>
              </w:rPr>
            </w:pPr>
            <w:r>
              <w:rPr>
                <w:rFonts w:ascii="宋体" w:hAnsi="宋体"/>
              </w:rPr>
              <w:t>项目区域地下水执行《地下水质量标准》（</w:t>
            </w:r>
            <w:r>
              <w:t>GB/T1484-2017</w:t>
            </w:r>
            <w:r>
              <w:rPr>
                <w:rFonts w:ascii="宋体" w:hAnsi="宋体"/>
              </w:rPr>
              <w:t>）中的</w:t>
            </w:r>
            <w:r>
              <w:rPr>
                <w:rFonts w:hint="eastAsia" w:ascii="宋体" w:hAnsi="宋体" w:cs="宋体"/>
              </w:rPr>
              <w:t>Ⅲ</w:t>
            </w:r>
            <w:r>
              <w:rPr>
                <w:rFonts w:ascii="宋体" w:hAnsi="宋体"/>
              </w:rPr>
              <w:t>类标准，</w:t>
            </w:r>
            <w:r>
              <w:rPr>
                <w:rFonts w:ascii="宋体" w:hAnsi="宋体"/>
                <w:kern w:val="0"/>
              </w:rPr>
              <w:t>具体标准限值见下表</w:t>
            </w:r>
            <w:r>
              <w:rPr>
                <w:rFonts w:hint="eastAsia"/>
                <w:kern w:val="0"/>
              </w:rPr>
              <w:t>3-</w:t>
            </w:r>
            <w:r>
              <w:rPr>
                <w:kern w:val="0"/>
              </w:rPr>
              <w:t>10</w:t>
            </w:r>
            <w:r>
              <w:rPr>
                <w:rFonts w:ascii="宋体" w:hAnsi="宋体"/>
                <w:kern w:val="0"/>
              </w:rPr>
              <w:t>：</w:t>
            </w:r>
          </w:p>
          <w:p>
            <w:pPr>
              <w:autoSpaceDE w:val="0"/>
              <w:adjustRightInd w:val="0"/>
              <w:snapToGrid w:val="0"/>
              <w:spacing w:line="360" w:lineRule="auto"/>
              <w:jc w:val="center"/>
              <w:rPr>
                <w:rFonts w:cs="Times New Roman"/>
                <w:b/>
                <w:szCs w:val="24"/>
              </w:rPr>
            </w:pPr>
            <w:r>
              <w:rPr>
                <w:rFonts w:cs="Times New Roman"/>
                <w:b/>
                <w:szCs w:val="24"/>
              </w:rPr>
              <w:t>表</w:t>
            </w:r>
            <w:r>
              <w:rPr>
                <w:rFonts w:hint="eastAsia" w:cs="Times New Roman"/>
                <w:b/>
                <w:szCs w:val="24"/>
              </w:rPr>
              <w:t>3-1</w:t>
            </w:r>
            <w:r>
              <w:rPr>
                <w:rFonts w:cs="Times New Roman"/>
                <w:b/>
                <w:szCs w:val="24"/>
              </w:rPr>
              <w:t>0</w:t>
            </w:r>
            <w:r>
              <w:rPr>
                <w:rFonts w:hint="eastAsia" w:cs="Times New Roman"/>
                <w:b/>
                <w:szCs w:val="24"/>
              </w:rPr>
              <w:t xml:space="preserve">  </w:t>
            </w:r>
            <w:r>
              <w:rPr>
                <w:rFonts w:cs="Times New Roman"/>
                <w:b/>
                <w:szCs w:val="24"/>
              </w:rPr>
              <w:t>地下水质量现状评价标准</w:t>
            </w:r>
          </w:p>
          <w:tbl>
            <w:tblPr>
              <w:tblStyle w:val="30"/>
              <w:tblW w:w="90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92"/>
              <w:gridCol w:w="1758"/>
              <w:gridCol w:w="2102"/>
              <w:gridCol w:w="25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2692" w:type="dxa"/>
                  <w:tcBorders>
                    <w:top w:val="single" w:color="auto" w:sz="6" w:space="0"/>
                    <w:left w:val="single" w:color="auto" w:sz="6" w:space="0"/>
                    <w:bottom w:val="single" w:color="auto" w:sz="4" w:space="0"/>
                    <w:right w:val="single" w:color="auto" w:sz="4" w:space="0"/>
                  </w:tcBorders>
                  <w:vAlign w:val="center"/>
                </w:tcPr>
                <w:p>
                  <w:pPr>
                    <w:widowControl/>
                    <w:adjustRightInd w:val="0"/>
                    <w:snapToGrid w:val="0"/>
                    <w:spacing w:line="288" w:lineRule="auto"/>
                    <w:jc w:val="center"/>
                    <w:rPr>
                      <w:b/>
                      <w:bCs/>
                      <w:kern w:val="0"/>
                      <w:sz w:val="21"/>
                      <w:szCs w:val="21"/>
                    </w:rPr>
                  </w:pPr>
                  <w:r>
                    <w:rPr>
                      <w:b/>
                      <w:bCs/>
                      <w:kern w:val="0"/>
                      <w:sz w:val="21"/>
                      <w:szCs w:val="21"/>
                    </w:rPr>
                    <w:t>项目</w:t>
                  </w:r>
                </w:p>
              </w:tc>
              <w:tc>
                <w:tcPr>
                  <w:tcW w:w="1758" w:type="dxa"/>
                  <w:tcBorders>
                    <w:top w:val="single" w:color="auto" w:sz="6" w:space="0"/>
                    <w:left w:val="single" w:color="auto" w:sz="4" w:space="0"/>
                    <w:bottom w:val="single" w:color="auto" w:sz="4" w:space="0"/>
                    <w:right w:val="single" w:color="auto" w:sz="4" w:space="0"/>
                  </w:tcBorders>
                  <w:vAlign w:val="center"/>
                </w:tcPr>
                <w:p>
                  <w:pPr>
                    <w:widowControl/>
                    <w:adjustRightInd w:val="0"/>
                    <w:snapToGrid w:val="0"/>
                    <w:spacing w:line="288" w:lineRule="auto"/>
                    <w:jc w:val="center"/>
                    <w:rPr>
                      <w:b/>
                      <w:bCs/>
                      <w:kern w:val="0"/>
                      <w:sz w:val="21"/>
                      <w:szCs w:val="21"/>
                    </w:rPr>
                  </w:pPr>
                  <w:r>
                    <w:rPr>
                      <w:b/>
                      <w:bCs/>
                      <w:kern w:val="0"/>
                      <w:sz w:val="21"/>
                      <w:szCs w:val="21"/>
                    </w:rPr>
                    <w:t>单位</w:t>
                  </w:r>
                </w:p>
              </w:tc>
              <w:tc>
                <w:tcPr>
                  <w:tcW w:w="2102" w:type="dxa"/>
                  <w:tcBorders>
                    <w:top w:val="single" w:color="auto" w:sz="6" w:space="0"/>
                    <w:left w:val="single" w:color="auto" w:sz="4" w:space="0"/>
                    <w:bottom w:val="single" w:color="auto" w:sz="4" w:space="0"/>
                    <w:right w:val="single" w:color="auto" w:sz="4" w:space="0"/>
                  </w:tcBorders>
                  <w:vAlign w:val="center"/>
                </w:tcPr>
                <w:p>
                  <w:pPr>
                    <w:widowControl/>
                    <w:adjustRightInd w:val="0"/>
                    <w:snapToGrid w:val="0"/>
                    <w:spacing w:line="288" w:lineRule="auto"/>
                    <w:jc w:val="center"/>
                    <w:rPr>
                      <w:b/>
                      <w:bCs/>
                      <w:kern w:val="0"/>
                      <w:sz w:val="21"/>
                      <w:szCs w:val="21"/>
                    </w:rPr>
                  </w:pPr>
                  <w:r>
                    <w:rPr>
                      <w:b/>
                      <w:bCs/>
                      <w:kern w:val="0"/>
                      <w:sz w:val="21"/>
                      <w:szCs w:val="21"/>
                    </w:rPr>
                    <w:t>评价标准值</w:t>
                  </w:r>
                </w:p>
              </w:tc>
              <w:tc>
                <w:tcPr>
                  <w:tcW w:w="2508" w:type="dxa"/>
                  <w:tcBorders>
                    <w:top w:val="single" w:color="auto" w:sz="6" w:space="0"/>
                    <w:left w:val="single" w:color="auto" w:sz="4" w:space="0"/>
                    <w:bottom w:val="single" w:color="auto" w:sz="4" w:space="0"/>
                    <w:right w:val="single" w:color="auto" w:sz="6" w:space="0"/>
                  </w:tcBorders>
                  <w:vAlign w:val="center"/>
                </w:tcPr>
                <w:p>
                  <w:pPr>
                    <w:widowControl/>
                    <w:adjustRightInd w:val="0"/>
                    <w:snapToGrid w:val="0"/>
                    <w:spacing w:line="288" w:lineRule="auto"/>
                    <w:jc w:val="center"/>
                    <w:rPr>
                      <w:b/>
                      <w:bCs/>
                      <w:kern w:val="0"/>
                      <w:sz w:val="21"/>
                      <w:szCs w:val="21"/>
                    </w:rPr>
                  </w:pPr>
                  <w:r>
                    <w:rPr>
                      <w:b/>
                      <w:bCs/>
                      <w:kern w:val="0"/>
                      <w:sz w:val="21"/>
                      <w:szCs w:val="21"/>
                    </w:rPr>
                    <w:t>来源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2692" w:type="dxa"/>
                  <w:tcBorders>
                    <w:top w:val="single" w:color="auto" w:sz="4" w:space="0"/>
                    <w:left w:val="single" w:color="auto" w:sz="6" w:space="0"/>
                    <w:bottom w:val="single" w:color="auto" w:sz="4" w:space="0"/>
                    <w:right w:val="single" w:color="auto" w:sz="4" w:space="0"/>
                  </w:tcBorders>
                  <w:vAlign w:val="center"/>
                </w:tcPr>
                <w:p>
                  <w:pPr>
                    <w:autoSpaceDE w:val="0"/>
                    <w:jc w:val="center"/>
                    <w:rPr>
                      <w:kern w:val="0"/>
                      <w:sz w:val="21"/>
                      <w:szCs w:val="21"/>
                    </w:rPr>
                  </w:pPr>
                  <w:r>
                    <w:rPr>
                      <w:sz w:val="21"/>
                      <w:szCs w:val="21"/>
                    </w:rPr>
                    <w:t>钾</w:t>
                  </w:r>
                </w:p>
              </w:tc>
              <w:tc>
                <w:tcPr>
                  <w:tcW w:w="17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rFonts w:hint="eastAsia"/>
                      <w:kern w:val="0"/>
                      <w:sz w:val="21"/>
                      <w:szCs w:val="21"/>
                    </w:rPr>
                    <w:t>/</w:t>
                  </w:r>
                </w:p>
              </w:tc>
              <w:tc>
                <w:tcPr>
                  <w:tcW w:w="2508" w:type="dxa"/>
                  <w:tcBorders>
                    <w:top w:val="single" w:color="auto" w:sz="4" w:space="0"/>
                    <w:left w:val="single" w:color="auto" w:sz="4" w:space="0"/>
                    <w:bottom w:val="single" w:color="auto" w:sz="4" w:space="0"/>
                    <w:right w:val="single" w:color="auto" w:sz="6" w:space="0"/>
                  </w:tcBorders>
                  <w:vAlign w:val="center"/>
                </w:tcPr>
                <w:p>
                  <w:pPr>
                    <w:widowControl/>
                    <w:adjustRightInd w:val="0"/>
                    <w:snapToGrid w:val="0"/>
                    <w:spacing w:line="288" w:lineRule="auto"/>
                    <w:jc w:val="center"/>
                    <w:rPr>
                      <w:kern w:val="0"/>
                      <w:sz w:val="21"/>
                      <w:szCs w:val="21"/>
                    </w:rPr>
                  </w:pPr>
                  <w:r>
                    <w:rPr>
                      <w:rFonts w:hint="eastAsia"/>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2692" w:type="dxa"/>
                  <w:tcBorders>
                    <w:top w:val="single" w:color="auto" w:sz="4" w:space="0"/>
                    <w:left w:val="single" w:color="auto" w:sz="6" w:space="0"/>
                    <w:bottom w:val="single" w:color="auto" w:sz="4" w:space="0"/>
                    <w:right w:val="single" w:color="auto" w:sz="4" w:space="0"/>
                  </w:tcBorders>
                  <w:vAlign w:val="center"/>
                </w:tcPr>
                <w:p>
                  <w:pPr>
                    <w:autoSpaceDE w:val="0"/>
                    <w:jc w:val="center"/>
                    <w:rPr>
                      <w:kern w:val="0"/>
                      <w:sz w:val="21"/>
                      <w:szCs w:val="21"/>
                    </w:rPr>
                  </w:pPr>
                  <w:r>
                    <w:rPr>
                      <w:sz w:val="21"/>
                      <w:szCs w:val="21"/>
                    </w:rPr>
                    <w:t>钠</w:t>
                  </w:r>
                </w:p>
              </w:tc>
              <w:tc>
                <w:tcPr>
                  <w:tcW w:w="17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w:t>
                  </w:r>
                  <w:r>
                    <w:rPr>
                      <w:rFonts w:hint="eastAsia"/>
                      <w:kern w:val="0"/>
                      <w:sz w:val="21"/>
                      <w:szCs w:val="21"/>
                    </w:rPr>
                    <w:t>200</w:t>
                  </w:r>
                </w:p>
              </w:tc>
              <w:tc>
                <w:tcPr>
                  <w:tcW w:w="2508" w:type="dxa"/>
                  <w:tcBorders>
                    <w:top w:val="single" w:color="auto" w:sz="4" w:space="0"/>
                    <w:left w:val="single" w:color="auto" w:sz="4" w:space="0"/>
                    <w:bottom w:val="single" w:color="auto" w:sz="4" w:space="0"/>
                    <w:right w:val="single" w:color="auto" w:sz="6" w:space="0"/>
                  </w:tcBorders>
                  <w:vAlign w:val="center"/>
                </w:tcPr>
                <w:p>
                  <w:pPr>
                    <w:adjustRightInd w:val="0"/>
                    <w:snapToGrid w:val="0"/>
                    <w:spacing w:line="288" w:lineRule="auto"/>
                    <w:jc w:val="center"/>
                    <w:rPr>
                      <w:b/>
                      <w:bCs/>
                      <w:kern w:val="0"/>
                      <w:sz w:val="21"/>
                      <w:szCs w:val="21"/>
                    </w:rPr>
                  </w:pPr>
                  <w:r>
                    <w:rPr>
                      <w:rFonts w:hint="eastAsia"/>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2" w:type="dxa"/>
                  <w:tcBorders>
                    <w:top w:val="single" w:color="auto" w:sz="4" w:space="0"/>
                    <w:left w:val="single" w:color="auto" w:sz="6" w:space="0"/>
                    <w:bottom w:val="single" w:color="auto" w:sz="4" w:space="0"/>
                    <w:right w:val="single" w:color="auto" w:sz="4" w:space="0"/>
                  </w:tcBorders>
                  <w:vAlign w:val="center"/>
                </w:tcPr>
                <w:p>
                  <w:pPr>
                    <w:widowControl/>
                    <w:autoSpaceDE w:val="0"/>
                    <w:spacing w:line="320" w:lineRule="exact"/>
                    <w:jc w:val="center"/>
                    <w:rPr>
                      <w:kern w:val="0"/>
                      <w:sz w:val="21"/>
                      <w:szCs w:val="21"/>
                    </w:rPr>
                  </w:pPr>
                  <w:r>
                    <w:rPr>
                      <w:sz w:val="21"/>
                      <w:szCs w:val="21"/>
                    </w:rPr>
                    <w:t>钙</w:t>
                  </w:r>
                </w:p>
              </w:tc>
              <w:tc>
                <w:tcPr>
                  <w:tcW w:w="17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rFonts w:hint="eastAsia"/>
                      <w:kern w:val="0"/>
                      <w:sz w:val="21"/>
                      <w:szCs w:val="21"/>
                    </w:rPr>
                    <w:t>/</w:t>
                  </w:r>
                </w:p>
              </w:tc>
              <w:tc>
                <w:tcPr>
                  <w:tcW w:w="2508" w:type="dxa"/>
                  <w:tcBorders>
                    <w:top w:val="single" w:color="auto" w:sz="4" w:space="0"/>
                    <w:left w:val="single" w:color="auto" w:sz="4" w:space="0"/>
                    <w:bottom w:val="single" w:color="auto" w:sz="4" w:space="0"/>
                    <w:right w:val="single" w:color="auto" w:sz="6" w:space="0"/>
                  </w:tcBorders>
                  <w:vAlign w:val="center"/>
                </w:tcPr>
                <w:p>
                  <w:pPr>
                    <w:widowControl/>
                    <w:adjustRightInd w:val="0"/>
                    <w:snapToGrid w:val="0"/>
                    <w:spacing w:line="288" w:lineRule="auto"/>
                    <w:jc w:val="center"/>
                    <w:rPr>
                      <w:kern w:val="0"/>
                      <w:sz w:val="21"/>
                      <w:szCs w:val="21"/>
                    </w:rPr>
                  </w:pPr>
                  <w:r>
                    <w:rPr>
                      <w:rFonts w:hint="eastAsia"/>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2692" w:type="dxa"/>
                  <w:tcBorders>
                    <w:top w:val="single" w:color="auto" w:sz="4" w:space="0"/>
                    <w:left w:val="single" w:color="auto" w:sz="6" w:space="0"/>
                    <w:bottom w:val="single" w:color="auto" w:sz="4" w:space="0"/>
                    <w:right w:val="single" w:color="auto" w:sz="4" w:space="0"/>
                  </w:tcBorders>
                  <w:vAlign w:val="center"/>
                </w:tcPr>
                <w:p>
                  <w:pPr>
                    <w:autoSpaceDE w:val="0"/>
                    <w:jc w:val="center"/>
                    <w:rPr>
                      <w:kern w:val="0"/>
                      <w:sz w:val="21"/>
                      <w:szCs w:val="21"/>
                    </w:rPr>
                  </w:pPr>
                  <w:r>
                    <w:rPr>
                      <w:sz w:val="21"/>
                      <w:szCs w:val="21"/>
                    </w:rPr>
                    <w:t>镁</w:t>
                  </w:r>
                </w:p>
              </w:tc>
              <w:tc>
                <w:tcPr>
                  <w:tcW w:w="17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rFonts w:hint="eastAsia"/>
                      <w:kern w:val="0"/>
                      <w:sz w:val="21"/>
                      <w:szCs w:val="21"/>
                    </w:rPr>
                    <w:t>/</w:t>
                  </w:r>
                </w:p>
              </w:tc>
              <w:tc>
                <w:tcPr>
                  <w:tcW w:w="2508" w:type="dxa"/>
                  <w:tcBorders>
                    <w:top w:val="single" w:color="auto" w:sz="4" w:space="0"/>
                    <w:left w:val="single" w:color="auto" w:sz="4" w:space="0"/>
                    <w:bottom w:val="single" w:color="auto" w:sz="4" w:space="0"/>
                    <w:right w:val="single" w:color="auto" w:sz="6" w:space="0"/>
                  </w:tcBorders>
                  <w:vAlign w:val="center"/>
                </w:tcPr>
                <w:p>
                  <w:pPr>
                    <w:adjustRightInd w:val="0"/>
                    <w:snapToGrid w:val="0"/>
                    <w:spacing w:line="288" w:lineRule="auto"/>
                    <w:jc w:val="center"/>
                    <w:rPr>
                      <w:kern w:val="0"/>
                      <w:sz w:val="21"/>
                      <w:szCs w:val="21"/>
                    </w:rPr>
                  </w:pPr>
                  <w:r>
                    <w:rPr>
                      <w:rFonts w:hint="eastAsia"/>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2692" w:type="dxa"/>
                  <w:tcBorders>
                    <w:top w:val="single" w:color="auto" w:sz="4" w:space="0"/>
                    <w:left w:val="single" w:color="auto" w:sz="6" w:space="0"/>
                    <w:bottom w:val="single" w:color="auto" w:sz="4" w:space="0"/>
                    <w:right w:val="single" w:color="auto" w:sz="4" w:space="0"/>
                  </w:tcBorders>
                  <w:vAlign w:val="center"/>
                </w:tcPr>
                <w:p>
                  <w:pPr>
                    <w:widowControl/>
                    <w:autoSpaceDE w:val="0"/>
                    <w:spacing w:line="320" w:lineRule="exact"/>
                    <w:jc w:val="center"/>
                    <w:rPr>
                      <w:kern w:val="0"/>
                      <w:sz w:val="21"/>
                      <w:szCs w:val="21"/>
                    </w:rPr>
                  </w:pPr>
                  <w:r>
                    <w:rPr>
                      <w:sz w:val="21"/>
                      <w:szCs w:val="21"/>
                    </w:rPr>
                    <w:t>碳酸根</w:t>
                  </w:r>
                </w:p>
              </w:tc>
              <w:tc>
                <w:tcPr>
                  <w:tcW w:w="17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rFonts w:hint="eastAsia"/>
                      <w:kern w:val="0"/>
                      <w:sz w:val="21"/>
                      <w:szCs w:val="21"/>
                    </w:rPr>
                    <w:t>/</w:t>
                  </w:r>
                </w:p>
              </w:tc>
              <w:tc>
                <w:tcPr>
                  <w:tcW w:w="2508" w:type="dxa"/>
                  <w:tcBorders>
                    <w:top w:val="single" w:color="auto" w:sz="4" w:space="0"/>
                    <w:left w:val="single" w:color="auto" w:sz="4" w:space="0"/>
                    <w:bottom w:val="single" w:color="auto" w:sz="4" w:space="0"/>
                    <w:right w:val="single" w:color="auto" w:sz="6" w:space="0"/>
                  </w:tcBorders>
                  <w:vAlign w:val="center"/>
                </w:tcPr>
                <w:p>
                  <w:pPr>
                    <w:adjustRightInd w:val="0"/>
                    <w:snapToGrid w:val="0"/>
                    <w:spacing w:line="288" w:lineRule="auto"/>
                    <w:jc w:val="center"/>
                    <w:rPr>
                      <w:kern w:val="0"/>
                      <w:sz w:val="21"/>
                      <w:szCs w:val="21"/>
                    </w:rPr>
                  </w:pPr>
                  <w:r>
                    <w:rPr>
                      <w:rFonts w:hint="eastAsia"/>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2692"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kern w:val="0"/>
                      <w:sz w:val="21"/>
                      <w:szCs w:val="21"/>
                    </w:rPr>
                  </w:pPr>
                  <w:r>
                    <w:rPr>
                      <w:sz w:val="21"/>
                      <w:szCs w:val="21"/>
                    </w:rPr>
                    <w:t>碳酸氢根</w:t>
                  </w:r>
                </w:p>
              </w:tc>
              <w:tc>
                <w:tcPr>
                  <w:tcW w:w="17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rFonts w:hint="eastAsia"/>
                      <w:kern w:val="0"/>
                      <w:sz w:val="21"/>
                      <w:szCs w:val="21"/>
                    </w:rPr>
                    <w:t>/</w:t>
                  </w:r>
                </w:p>
              </w:tc>
              <w:tc>
                <w:tcPr>
                  <w:tcW w:w="2508" w:type="dxa"/>
                  <w:tcBorders>
                    <w:top w:val="single" w:color="auto" w:sz="4" w:space="0"/>
                    <w:left w:val="single" w:color="auto" w:sz="4" w:space="0"/>
                    <w:bottom w:val="single" w:color="auto" w:sz="4" w:space="0"/>
                    <w:right w:val="single" w:color="auto" w:sz="6" w:space="0"/>
                  </w:tcBorders>
                  <w:vAlign w:val="center"/>
                </w:tcPr>
                <w:p>
                  <w:pPr>
                    <w:adjustRightInd w:val="0"/>
                    <w:snapToGrid w:val="0"/>
                    <w:spacing w:line="288" w:lineRule="auto"/>
                    <w:jc w:val="center"/>
                    <w:rPr>
                      <w:kern w:val="0"/>
                      <w:sz w:val="21"/>
                      <w:szCs w:val="21"/>
                    </w:rPr>
                  </w:pPr>
                  <w:r>
                    <w:rPr>
                      <w:rFonts w:hint="eastAsia"/>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2692" w:type="dxa"/>
                  <w:tcBorders>
                    <w:top w:val="single" w:color="auto" w:sz="4" w:space="0"/>
                    <w:left w:val="single" w:color="auto" w:sz="6" w:space="0"/>
                    <w:bottom w:val="single" w:color="auto" w:sz="4" w:space="0"/>
                    <w:right w:val="single" w:color="auto" w:sz="4" w:space="0"/>
                  </w:tcBorders>
                  <w:vAlign w:val="center"/>
                </w:tcPr>
                <w:p>
                  <w:pPr>
                    <w:widowControl/>
                    <w:autoSpaceDE w:val="0"/>
                    <w:spacing w:line="320" w:lineRule="exact"/>
                    <w:jc w:val="center"/>
                    <w:rPr>
                      <w:kern w:val="0"/>
                      <w:sz w:val="21"/>
                      <w:szCs w:val="21"/>
                    </w:rPr>
                  </w:pPr>
                  <w:r>
                    <w:rPr>
                      <w:sz w:val="21"/>
                      <w:szCs w:val="21"/>
                    </w:rPr>
                    <w:t>硫酸盐</w:t>
                  </w:r>
                </w:p>
              </w:tc>
              <w:tc>
                <w:tcPr>
                  <w:tcW w:w="17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w:t>
                  </w:r>
                  <w:r>
                    <w:rPr>
                      <w:rFonts w:hint="eastAsia"/>
                      <w:kern w:val="0"/>
                      <w:sz w:val="21"/>
                      <w:szCs w:val="21"/>
                    </w:rPr>
                    <w:t>250</w:t>
                  </w:r>
                </w:p>
              </w:tc>
              <w:tc>
                <w:tcPr>
                  <w:tcW w:w="2508" w:type="dxa"/>
                  <w:tcBorders>
                    <w:top w:val="single" w:color="auto" w:sz="4" w:space="0"/>
                    <w:left w:val="single" w:color="auto" w:sz="4" w:space="0"/>
                    <w:bottom w:val="single" w:color="auto" w:sz="4" w:space="0"/>
                    <w:right w:val="single" w:color="auto" w:sz="6" w:space="0"/>
                  </w:tcBorders>
                  <w:vAlign w:val="center"/>
                </w:tcPr>
                <w:p>
                  <w:pPr>
                    <w:adjustRightInd w:val="0"/>
                    <w:snapToGrid w:val="0"/>
                    <w:spacing w:line="288" w:lineRule="auto"/>
                    <w:jc w:val="center"/>
                    <w:rPr>
                      <w:kern w:val="0"/>
                      <w:sz w:val="21"/>
                      <w:szCs w:val="21"/>
                    </w:rPr>
                  </w:pPr>
                  <w:r>
                    <w:rPr>
                      <w:kern w:val="0"/>
                      <w:sz w:val="21"/>
                      <w:szCs w:val="21"/>
                    </w:rPr>
                    <w:t>GB/T14848-2017</w:t>
                  </w:r>
                  <w:r>
                    <w:rPr>
                      <w:rFonts w:ascii="宋体" w:hAnsi="宋体"/>
                      <w:kern w:val="0"/>
                      <w:sz w:val="21"/>
                      <w:szCs w:val="21"/>
                    </w:rPr>
                    <w:t>表</w:t>
                  </w:r>
                  <w:r>
                    <w:rPr>
                      <w:kern w:val="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2692"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kern w:val="0"/>
                      <w:sz w:val="21"/>
                      <w:szCs w:val="21"/>
                      <w:highlight w:val="yellow"/>
                    </w:rPr>
                  </w:pPr>
                  <w:r>
                    <w:rPr>
                      <w:sz w:val="21"/>
                      <w:szCs w:val="21"/>
                    </w:rPr>
                    <w:t>硝酸盐</w:t>
                  </w:r>
                </w:p>
              </w:tc>
              <w:tc>
                <w:tcPr>
                  <w:tcW w:w="17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w:t>
                  </w:r>
                  <w:r>
                    <w:rPr>
                      <w:rFonts w:hint="eastAsia"/>
                      <w:kern w:val="0"/>
                      <w:sz w:val="21"/>
                      <w:szCs w:val="21"/>
                    </w:rPr>
                    <w:t>20</w:t>
                  </w:r>
                </w:p>
              </w:tc>
              <w:tc>
                <w:tcPr>
                  <w:tcW w:w="2508" w:type="dxa"/>
                  <w:tcBorders>
                    <w:top w:val="single" w:color="auto" w:sz="4" w:space="0"/>
                    <w:left w:val="single" w:color="auto" w:sz="4" w:space="0"/>
                    <w:bottom w:val="single" w:color="auto" w:sz="4" w:space="0"/>
                    <w:right w:val="single" w:color="auto" w:sz="6" w:space="0"/>
                  </w:tcBorders>
                  <w:vAlign w:val="center"/>
                </w:tcPr>
                <w:p>
                  <w:pPr>
                    <w:adjustRightInd w:val="0"/>
                    <w:snapToGrid w:val="0"/>
                    <w:spacing w:line="288" w:lineRule="auto"/>
                    <w:jc w:val="center"/>
                    <w:rPr>
                      <w:kern w:val="0"/>
                      <w:sz w:val="21"/>
                      <w:szCs w:val="21"/>
                    </w:rPr>
                  </w:pPr>
                  <w:r>
                    <w:rPr>
                      <w:kern w:val="0"/>
                      <w:sz w:val="21"/>
                      <w:szCs w:val="21"/>
                    </w:rPr>
                    <w:t>GB/T14848-2017</w:t>
                  </w:r>
                  <w:r>
                    <w:rPr>
                      <w:rFonts w:ascii="宋体" w:hAnsi="宋体"/>
                      <w:kern w:val="0"/>
                      <w:sz w:val="21"/>
                      <w:szCs w:val="21"/>
                    </w:rPr>
                    <w:t>表</w:t>
                  </w:r>
                  <w:r>
                    <w:rPr>
                      <w:kern w:val="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2692"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kern w:val="0"/>
                      <w:sz w:val="21"/>
                      <w:szCs w:val="21"/>
                      <w:highlight w:val="yellow"/>
                    </w:rPr>
                  </w:pPr>
                  <w:r>
                    <w:rPr>
                      <w:sz w:val="21"/>
                      <w:szCs w:val="21"/>
                    </w:rPr>
                    <w:t>亚硝酸盐</w:t>
                  </w:r>
                </w:p>
              </w:tc>
              <w:tc>
                <w:tcPr>
                  <w:tcW w:w="17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w:t>
                  </w:r>
                  <w:r>
                    <w:rPr>
                      <w:rFonts w:hint="eastAsia"/>
                      <w:kern w:val="0"/>
                      <w:sz w:val="21"/>
                      <w:szCs w:val="21"/>
                    </w:rPr>
                    <w:t>1.00</w:t>
                  </w:r>
                </w:p>
              </w:tc>
              <w:tc>
                <w:tcPr>
                  <w:tcW w:w="2508" w:type="dxa"/>
                  <w:tcBorders>
                    <w:top w:val="single" w:color="auto" w:sz="4" w:space="0"/>
                    <w:left w:val="single" w:color="auto" w:sz="4" w:space="0"/>
                    <w:bottom w:val="single" w:color="auto" w:sz="4" w:space="0"/>
                    <w:right w:val="single" w:color="auto" w:sz="6" w:space="0"/>
                  </w:tcBorders>
                  <w:vAlign w:val="center"/>
                </w:tcPr>
                <w:p>
                  <w:pPr>
                    <w:adjustRightInd w:val="0"/>
                    <w:snapToGrid w:val="0"/>
                    <w:spacing w:line="288" w:lineRule="auto"/>
                    <w:jc w:val="center"/>
                    <w:rPr>
                      <w:kern w:val="0"/>
                      <w:sz w:val="21"/>
                      <w:szCs w:val="21"/>
                    </w:rPr>
                  </w:pPr>
                  <w:r>
                    <w:rPr>
                      <w:kern w:val="0"/>
                      <w:sz w:val="21"/>
                      <w:szCs w:val="21"/>
                    </w:rPr>
                    <w:t>GB/T14848-2017</w:t>
                  </w:r>
                  <w:r>
                    <w:rPr>
                      <w:rFonts w:ascii="宋体" w:hAnsi="宋体"/>
                      <w:kern w:val="0"/>
                      <w:sz w:val="21"/>
                      <w:szCs w:val="21"/>
                    </w:rPr>
                    <w:t>表</w:t>
                  </w:r>
                  <w:r>
                    <w:rPr>
                      <w:kern w:val="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2692" w:type="dxa"/>
                  <w:tcBorders>
                    <w:top w:val="single" w:color="auto" w:sz="4" w:space="0"/>
                    <w:left w:val="single" w:color="auto" w:sz="6" w:space="0"/>
                    <w:bottom w:val="single" w:color="auto" w:sz="6" w:space="0"/>
                    <w:right w:val="single" w:color="auto" w:sz="4" w:space="0"/>
                  </w:tcBorders>
                  <w:vAlign w:val="center"/>
                </w:tcPr>
                <w:p>
                  <w:pPr>
                    <w:widowControl/>
                    <w:autoSpaceDE w:val="0"/>
                    <w:jc w:val="center"/>
                    <w:rPr>
                      <w:kern w:val="0"/>
                      <w:sz w:val="21"/>
                      <w:szCs w:val="21"/>
                      <w:highlight w:val="yellow"/>
                    </w:rPr>
                  </w:pPr>
                  <w:r>
                    <w:rPr>
                      <w:sz w:val="21"/>
                      <w:szCs w:val="21"/>
                    </w:rPr>
                    <w:t>氯化物</w:t>
                  </w:r>
                </w:p>
              </w:tc>
              <w:tc>
                <w:tcPr>
                  <w:tcW w:w="1758"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highlight w:val="yellow"/>
                    </w:rPr>
                  </w:pPr>
                  <w:r>
                    <w:rPr>
                      <w:kern w:val="0"/>
                      <w:sz w:val="21"/>
                      <w:szCs w:val="21"/>
                    </w:rPr>
                    <w:t>mg/L</w:t>
                  </w:r>
                </w:p>
              </w:tc>
              <w:tc>
                <w:tcPr>
                  <w:tcW w:w="2102"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highlight w:val="yellow"/>
                    </w:rPr>
                  </w:pPr>
                  <w:r>
                    <w:rPr>
                      <w:kern w:val="0"/>
                      <w:sz w:val="21"/>
                      <w:szCs w:val="21"/>
                    </w:rPr>
                    <w:t>≤</w:t>
                  </w:r>
                  <w:r>
                    <w:rPr>
                      <w:rFonts w:hint="eastAsia"/>
                      <w:kern w:val="0"/>
                      <w:sz w:val="21"/>
                      <w:szCs w:val="21"/>
                    </w:rPr>
                    <w:t>250</w:t>
                  </w:r>
                </w:p>
              </w:tc>
              <w:tc>
                <w:tcPr>
                  <w:tcW w:w="2508" w:type="dxa"/>
                  <w:tcBorders>
                    <w:top w:val="single" w:color="auto" w:sz="4" w:space="0"/>
                    <w:left w:val="single" w:color="auto" w:sz="4" w:space="0"/>
                    <w:bottom w:val="single" w:color="auto" w:sz="6" w:space="0"/>
                    <w:right w:val="single" w:color="auto" w:sz="6" w:space="0"/>
                  </w:tcBorders>
                  <w:vAlign w:val="center"/>
                </w:tcPr>
                <w:p>
                  <w:pPr>
                    <w:adjustRightInd w:val="0"/>
                    <w:snapToGrid w:val="0"/>
                    <w:spacing w:line="288" w:lineRule="auto"/>
                    <w:jc w:val="center"/>
                    <w:rPr>
                      <w:kern w:val="0"/>
                      <w:sz w:val="21"/>
                      <w:szCs w:val="21"/>
                      <w:highlight w:val="yellow"/>
                    </w:rPr>
                  </w:pPr>
                  <w:r>
                    <w:rPr>
                      <w:kern w:val="0"/>
                      <w:sz w:val="21"/>
                      <w:szCs w:val="21"/>
                    </w:rPr>
                    <w:t>GB/T14848-2017</w:t>
                  </w:r>
                  <w:r>
                    <w:rPr>
                      <w:rFonts w:ascii="宋体" w:hAnsi="宋体"/>
                      <w:kern w:val="0"/>
                      <w:sz w:val="21"/>
                      <w:szCs w:val="21"/>
                    </w:rPr>
                    <w:t>表</w:t>
                  </w:r>
                  <w:r>
                    <w:rPr>
                      <w:kern w:val="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692" w:type="dxa"/>
                  <w:tcBorders>
                    <w:top w:val="single" w:color="auto" w:sz="4" w:space="0"/>
                    <w:left w:val="single" w:color="auto" w:sz="6" w:space="0"/>
                    <w:bottom w:val="single" w:color="auto" w:sz="6" w:space="0"/>
                    <w:right w:val="single" w:color="auto" w:sz="4" w:space="0"/>
                  </w:tcBorders>
                  <w:vAlign w:val="center"/>
                </w:tcPr>
                <w:p>
                  <w:pPr>
                    <w:widowControl/>
                    <w:autoSpaceDE w:val="0"/>
                    <w:jc w:val="center"/>
                    <w:rPr>
                      <w:kern w:val="0"/>
                      <w:sz w:val="21"/>
                      <w:szCs w:val="21"/>
                      <w:highlight w:val="yellow"/>
                    </w:rPr>
                  </w:pPr>
                  <w:r>
                    <w:rPr>
                      <w:sz w:val="21"/>
                      <w:szCs w:val="21"/>
                    </w:rPr>
                    <w:t>pH</w:t>
                  </w:r>
                  <w:r>
                    <w:rPr>
                      <w:rFonts w:ascii="宋体" w:hAnsi="宋体"/>
                      <w:sz w:val="21"/>
                      <w:szCs w:val="21"/>
                    </w:rPr>
                    <w:t>（无量纲）</w:t>
                  </w:r>
                </w:p>
              </w:tc>
              <w:tc>
                <w:tcPr>
                  <w:tcW w:w="1758"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highlight w:val="yellow"/>
                    </w:rPr>
                  </w:pPr>
                  <w:r>
                    <w:rPr>
                      <w:kern w:val="0"/>
                      <w:sz w:val="21"/>
                      <w:szCs w:val="21"/>
                    </w:rPr>
                    <w:t>无量纲</w:t>
                  </w:r>
                </w:p>
              </w:tc>
              <w:tc>
                <w:tcPr>
                  <w:tcW w:w="2102"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highlight w:val="yellow"/>
                    </w:rPr>
                  </w:pPr>
                  <w:r>
                    <w:rPr>
                      <w:kern w:val="0"/>
                      <w:sz w:val="21"/>
                      <w:szCs w:val="21"/>
                    </w:rPr>
                    <w:t>6.5~8.5</w:t>
                  </w:r>
                </w:p>
              </w:tc>
              <w:tc>
                <w:tcPr>
                  <w:tcW w:w="2508" w:type="dxa"/>
                  <w:tcBorders>
                    <w:top w:val="single" w:color="auto" w:sz="4" w:space="0"/>
                    <w:left w:val="single" w:color="auto" w:sz="4" w:space="0"/>
                    <w:bottom w:val="single" w:color="auto" w:sz="6" w:space="0"/>
                    <w:right w:val="single" w:color="auto" w:sz="6" w:space="0"/>
                  </w:tcBorders>
                  <w:vAlign w:val="center"/>
                </w:tcPr>
                <w:p>
                  <w:pPr>
                    <w:adjustRightInd w:val="0"/>
                    <w:snapToGrid w:val="0"/>
                    <w:spacing w:line="288" w:lineRule="auto"/>
                    <w:jc w:val="center"/>
                    <w:rPr>
                      <w:kern w:val="0"/>
                      <w:sz w:val="21"/>
                      <w:szCs w:val="21"/>
                      <w:highlight w:val="yellow"/>
                    </w:rPr>
                  </w:pPr>
                  <w:r>
                    <w:rPr>
                      <w:kern w:val="0"/>
                      <w:sz w:val="21"/>
                      <w:szCs w:val="21"/>
                    </w:rPr>
                    <w:t>GB/T14848-2017</w:t>
                  </w:r>
                  <w:r>
                    <w:rPr>
                      <w:rFonts w:ascii="宋体" w:hAnsi="宋体"/>
                      <w:kern w:val="0"/>
                      <w:sz w:val="21"/>
                      <w:szCs w:val="21"/>
                    </w:rPr>
                    <w:t>表</w:t>
                  </w:r>
                  <w:r>
                    <w:rPr>
                      <w:kern w:val="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2692" w:type="dxa"/>
                  <w:tcBorders>
                    <w:top w:val="single" w:color="auto" w:sz="4" w:space="0"/>
                    <w:left w:val="single" w:color="auto" w:sz="6" w:space="0"/>
                    <w:bottom w:val="single" w:color="auto" w:sz="6" w:space="0"/>
                    <w:right w:val="single" w:color="auto" w:sz="4" w:space="0"/>
                  </w:tcBorders>
                  <w:vAlign w:val="center"/>
                </w:tcPr>
                <w:p>
                  <w:pPr>
                    <w:widowControl/>
                    <w:autoSpaceDE w:val="0"/>
                    <w:jc w:val="center"/>
                    <w:rPr>
                      <w:kern w:val="0"/>
                      <w:sz w:val="21"/>
                      <w:szCs w:val="21"/>
                    </w:rPr>
                  </w:pPr>
                  <w:r>
                    <w:rPr>
                      <w:sz w:val="21"/>
                      <w:szCs w:val="21"/>
                    </w:rPr>
                    <w:t>氨氮</w:t>
                  </w:r>
                </w:p>
              </w:tc>
              <w:tc>
                <w:tcPr>
                  <w:tcW w:w="1758"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w:t>
                  </w:r>
                  <w:r>
                    <w:rPr>
                      <w:rFonts w:hint="eastAsia"/>
                      <w:kern w:val="0"/>
                      <w:sz w:val="21"/>
                      <w:szCs w:val="21"/>
                    </w:rPr>
                    <w:t>0.5</w:t>
                  </w:r>
                </w:p>
              </w:tc>
              <w:tc>
                <w:tcPr>
                  <w:tcW w:w="2508" w:type="dxa"/>
                  <w:tcBorders>
                    <w:top w:val="single" w:color="auto" w:sz="4" w:space="0"/>
                    <w:left w:val="single" w:color="auto" w:sz="4" w:space="0"/>
                    <w:bottom w:val="single" w:color="auto" w:sz="6" w:space="0"/>
                    <w:right w:val="single" w:color="auto" w:sz="6" w:space="0"/>
                  </w:tcBorders>
                  <w:vAlign w:val="center"/>
                </w:tcPr>
                <w:p>
                  <w:pPr>
                    <w:adjustRightInd w:val="0"/>
                    <w:snapToGrid w:val="0"/>
                    <w:spacing w:line="288" w:lineRule="auto"/>
                    <w:jc w:val="center"/>
                    <w:rPr>
                      <w:kern w:val="0"/>
                      <w:sz w:val="21"/>
                      <w:szCs w:val="21"/>
                    </w:rPr>
                  </w:pPr>
                  <w:r>
                    <w:rPr>
                      <w:kern w:val="0"/>
                      <w:sz w:val="21"/>
                      <w:szCs w:val="21"/>
                    </w:rPr>
                    <w:t>GB/T14848-2017</w:t>
                  </w:r>
                  <w:r>
                    <w:rPr>
                      <w:rFonts w:ascii="宋体" w:hAnsi="宋体"/>
                      <w:kern w:val="0"/>
                      <w:sz w:val="21"/>
                      <w:szCs w:val="21"/>
                    </w:rPr>
                    <w:t>表</w:t>
                  </w:r>
                  <w:r>
                    <w:rPr>
                      <w:kern w:val="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2692" w:type="dxa"/>
                  <w:tcBorders>
                    <w:top w:val="single" w:color="auto" w:sz="4" w:space="0"/>
                    <w:left w:val="single" w:color="auto" w:sz="6" w:space="0"/>
                    <w:bottom w:val="single" w:color="auto" w:sz="6" w:space="0"/>
                    <w:right w:val="single" w:color="auto" w:sz="4" w:space="0"/>
                  </w:tcBorders>
                  <w:vAlign w:val="center"/>
                </w:tcPr>
                <w:p>
                  <w:pPr>
                    <w:widowControl/>
                    <w:autoSpaceDE w:val="0"/>
                    <w:jc w:val="center"/>
                    <w:rPr>
                      <w:kern w:val="0"/>
                      <w:sz w:val="21"/>
                      <w:szCs w:val="21"/>
                    </w:rPr>
                  </w:pPr>
                  <w:r>
                    <w:rPr>
                      <w:sz w:val="21"/>
                      <w:szCs w:val="21"/>
                    </w:rPr>
                    <w:t>六价铬</w:t>
                  </w:r>
                </w:p>
              </w:tc>
              <w:tc>
                <w:tcPr>
                  <w:tcW w:w="1758"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w:t>
                  </w:r>
                  <w:r>
                    <w:rPr>
                      <w:rFonts w:hint="eastAsia"/>
                      <w:kern w:val="0"/>
                      <w:sz w:val="21"/>
                      <w:szCs w:val="21"/>
                    </w:rPr>
                    <w:t>0.05</w:t>
                  </w:r>
                </w:p>
              </w:tc>
              <w:tc>
                <w:tcPr>
                  <w:tcW w:w="2508" w:type="dxa"/>
                  <w:tcBorders>
                    <w:top w:val="single" w:color="auto" w:sz="4" w:space="0"/>
                    <w:left w:val="single" w:color="auto" w:sz="4" w:space="0"/>
                    <w:bottom w:val="single" w:color="auto" w:sz="6" w:space="0"/>
                    <w:right w:val="single" w:color="auto" w:sz="6" w:space="0"/>
                  </w:tcBorders>
                  <w:vAlign w:val="center"/>
                </w:tcPr>
                <w:p>
                  <w:pPr>
                    <w:widowControl/>
                    <w:adjustRightInd w:val="0"/>
                    <w:snapToGrid w:val="0"/>
                    <w:spacing w:line="288" w:lineRule="auto"/>
                    <w:jc w:val="center"/>
                    <w:rPr>
                      <w:kern w:val="0"/>
                      <w:sz w:val="21"/>
                      <w:szCs w:val="21"/>
                    </w:rPr>
                  </w:pPr>
                  <w:r>
                    <w:rPr>
                      <w:kern w:val="0"/>
                      <w:sz w:val="21"/>
                      <w:szCs w:val="21"/>
                    </w:rPr>
                    <w:t>GB/T14848-2017</w:t>
                  </w:r>
                  <w:r>
                    <w:rPr>
                      <w:rFonts w:ascii="宋体" w:hAnsi="宋体"/>
                      <w:kern w:val="0"/>
                      <w:sz w:val="21"/>
                      <w:szCs w:val="21"/>
                    </w:rPr>
                    <w:t>表</w:t>
                  </w:r>
                  <w:r>
                    <w:rPr>
                      <w:kern w:val="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2692" w:type="dxa"/>
                  <w:tcBorders>
                    <w:top w:val="single" w:color="auto" w:sz="4" w:space="0"/>
                    <w:left w:val="single" w:color="auto" w:sz="6" w:space="0"/>
                    <w:bottom w:val="single" w:color="auto" w:sz="6" w:space="0"/>
                    <w:right w:val="single" w:color="auto" w:sz="4" w:space="0"/>
                  </w:tcBorders>
                  <w:vAlign w:val="center"/>
                </w:tcPr>
                <w:p>
                  <w:pPr>
                    <w:widowControl/>
                    <w:autoSpaceDE w:val="0"/>
                    <w:jc w:val="center"/>
                    <w:rPr>
                      <w:kern w:val="0"/>
                      <w:sz w:val="21"/>
                      <w:szCs w:val="21"/>
                      <w:highlight w:val="yellow"/>
                    </w:rPr>
                  </w:pPr>
                  <w:r>
                    <w:rPr>
                      <w:sz w:val="21"/>
                      <w:szCs w:val="21"/>
                    </w:rPr>
                    <w:t>溶解性总固体</w:t>
                  </w:r>
                </w:p>
              </w:tc>
              <w:tc>
                <w:tcPr>
                  <w:tcW w:w="1758"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highlight w:val="yellow"/>
                    </w:rPr>
                  </w:pPr>
                  <w:r>
                    <w:rPr>
                      <w:kern w:val="0"/>
                      <w:sz w:val="21"/>
                      <w:szCs w:val="21"/>
                    </w:rPr>
                    <w:t>≤</w:t>
                  </w:r>
                  <w:r>
                    <w:rPr>
                      <w:rFonts w:hint="eastAsia"/>
                      <w:kern w:val="0"/>
                      <w:sz w:val="21"/>
                      <w:szCs w:val="21"/>
                    </w:rPr>
                    <w:t>1000</w:t>
                  </w:r>
                </w:p>
              </w:tc>
              <w:tc>
                <w:tcPr>
                  <w:tcW w:w="2508" w:type="dxa"/>
                  <w:tcBorders>
                    <w:top w:val="single" w:color="auto" w:sz="4" w:space="0"/>
                    <w:left w:val="single" w:color="auto" w:sz="4" w:space="0"/>
                    <w:bottom w:val="single" w:color="auto" w:sz="6" w:space="0"/>
                    <w:right w:val="single" w:color="auto" w:sz="6" w:space="0"/>
                  </w:tcBorders>
                  <w:vAlign w:val="center"/>
                </w:tcPr>
                <w:p>
                  <w:pPr>
                    <w:adjustRightInd w:val="0"/>
                    <w:snapToGrid w:val="0"/>
                    <w:spacing w:line="288" w:lineRule="auto"/>
                    <w:jc w:val="center"/>
                    <w:rPr>
                      <w:kern w:val="0"/>
                      <w:sz w:val="21"/>
                      <w:szCs w:val="21"/>
                      <w:highlight w:val="yellow"/>
                    </w:rPr>
                  </w:pPr>
                  <w:r>
                    <w:rPr>
                      <w:kern w:val="0"/>
                      <w:sz w:val="21"/>
                      <w:szCs w:val="21"/>
                    </w:rPr>
                    <w:t>GB/T14848-2017</w:t>
                  </w:r>
                  <w:r>
                    <w:rPr>
                      <w:rFonts w:ascii="宋体" w:hAnsi="宋体"/>
                      <w:kern w:val="0"/>
                      <w:sz w:val="21"/>
                      <w:szCs w:val="21"/>
                    </w:rPr>
                    <w:t>表</w:t>
                  </w:r>
                  <w:r>
                    <w:rPr>
                      <w:kern w:val="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2692" w:type="dxa"/>
                  <w:tcBorders>
                    <w:top w:val="single" w:color="auto" w:sz="4" w:space="0"/>
                    <w:left w:val="single" w:color="auto" w:sz="6" w:space="0"/>
                    <w:bottom w:val="single" w:color="auto" w:sz="6" w:space="0"/>
                    <w:right w:val="single" w:color="auto" w:sz="4" w:space="0"/>
                  </w:tcBorders>
                  <w:vAlign w:val="center"/>
                </w:tcPr>
                <w:p>
                  <w:pPr>
                    <w:widowControl/>
                    <w:autoSpaceDE w:val="0"/>
                    <w:jc w:val="center"/>
                    <w:rPr>
                      <w:kern w:val="0"/>
                      <w:sz w:val="21"/>
                      <w:szCs w:val="21"/>
                      <w:highlight w:val="yellow"/>
                    </w:rPr>
                  </w:pPr>
                  <w:r>
                    <w:rPr>
                      <w:sz w:val="21"/>
                      <w:szCs w:val="21"/>
                    </w:rPr>
                    <w:t>耗氧量（COD</w:t>
                  </w:r>
                  <w:r>
                    <w:rPr>
                      <w:sz w:val="21"/>
                      <w:szCs w:val="21"/>
                      <w:vertAlign w:val="subscript"/>
                    </w:rPr>
                    <w:t>Mn</w:t>
                  </w:r>
                  <w:r>
                    <w:rPr>
                      <w:sz w:val="21"/>
                      <w:szCs w:val="21"/>
                    </w:rPr>
                    <w:t>法，以O</w:t>
                  </w:r>
                  <w:r>
                    <w:rPr>
                      <w:sz w:val="21"/>
                      <w:szCs w:val="21"/>
                      <w:vertAlign w:val="subscript"/>
                    </w:rPr>
                    <w:t>2</w:t>
                  </w:r>
                  <w:r>
                    <w:rPr>
                      <w:sz w:val="21"/>
                      <w:szCs w:val="21"/>
                    </w:rPr>
                    <w:t>计）</w:t>
                  </w:r>
                </w:p>
              </w:tc>
              <w:tc>
                <w:tcPr>
                  <w:tcW w:w="1758"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rPr>
                  </w:pPr>
                  <w:r>
                    <w:rPr>
                      <w:kern w:val="0"/>
                      <w:sz w:val="21"/>
                      <w:szCs w:val="21"/>
                    </w:rPr>
                    <w:t>mg/L</w:t>
                  </w:r>
                </w:p>
              </w:tc>
              <w:tc>
                <w:tcPr>
                  <w:tcW w:w="2102" w:type="dxa"/>
                  <w:tcBorders>
                    <w:top w:val="single" w:color="auto" w:sz="4" w:space="0"/>
                    <w:left w:val="single" w:color="auto" w:sz="4" w:space="0"/>
                    <w:bottom w:val="single" w:color="auto" w:sz="6" w:space="0"/>
                    <w:right w:val="single" w:color="auto" w:sz="4" w:space="0"/>
                  </w:tcBorders>
                  <w:vAlign w:val="center"/>
                </w:tcPr>
                <w:p>
                  <w:pPr>
                    <w:adjustRightInd w:val="0"/>
                    <w:snapToGrid w:val="0"/>
                    <w:spacing w:line="288" w:lineRule="auto"/>
                    <w:jc w:val="center"/>
                    <w:rPr>
                      <w:kern w:val="0"/>
                      <w:sz w:val="21"/>
                      <w:szCs w:val="21"/>
                      <w:highlight w:val="yellow"/>
                    </w:rPr>
                  </w:pPr>
                  <w:r>
                    <w:rPr>
                      <w:kern w:val="0"/>
                      <w:sz w:val="21"/>
                      <w:szCs w:val="21"/>
                    </w:rPr>
                    <w:t>≤</w:t>
                  </w:r>
                  <w:r>
                    <w:rPr>
                      <w:rFonts w:hint="eastAsia"/>
                      <w:kern w:val="0"/>
                      <w:sz w:val="21"/>
                      <w:szCs w:val="21"/>
                    </w:rPr>
                    <w:t>3.0</w:t>
                  </w:r>
                </w:p>
              </w:tc>
              <w:tc>
                <w:tcPr>
                  <w:tcW w:w="2508" w:type="dxa"/>
                  <w:tcBorders>
                    <w:top w:val="single" w:color="auto" w:sz="4" w:space="0"/>
                    <w:left w:val="single" w:color="auto" w:sz="4" w:space="0"/>
                    <w:bottom w:val="single" w:color="auto" w:sz="6" w:space="0"/>
                    <w:right w:val="single" w:color="auto" w:sz="6" w:space="0"/>
                  </w:tcBorders>
                  <w:vAlign w:val="center"/>
                </w:tcPr>
                <w:p>
                  <w:pPr>
                    <w:adjustRightInd w:val="0"/>
                    <w:snapToGrid w:val="0"/>
                    <w:spacing w:line="288" w:lineRule="auto"/>
                    <w:jc w:val="center"/>
                    <w:rPr>
                      <w:kern w:val="0"/>
                      <w:sz w:val="21"/>
                      <w:szCs w:val="21"/>
                      <w:highlight w:val="yellow"/>
                    </w:rPr>
                  </w:pPr>
                  <w:r>
                    <w:rPr>
                      <w:kern w:val="0"/>
                      <w:sz w:val="21"/>
                      <w:szCs w:val="21"/>
                    </w:rPr>
                    <w:t>GB/T14848-2017</w:t>
                  </w:r>
                  <w:r>
                    <w:rPr>
                      <w:rFonts w:ascii="宋体" w:hAnsi="宋体"/>
                      <w:kern w:val="0"/>
                      <w:sz w:val="21"/>
                      <w:szCs w:val="21"/>
                    </w:rPr>
                    <w:t>表</w:t>
                  </w:r>
                  <w:r>
                    <w:rPr>
                      <w:kern w:val="0"/>
                      <w:sz w:val="21"/>
                      <w:szCs w:val="21"/>
                    </w:rPr>
                    <w:t>1</w:t>
                  </w:r>
                </w:p>
              </w:tc>
            </w:tr>
          </w:tbl>
          <w:p>
            <w:pPr>
              <w:adjustRightInd w:val="0"/>
              <w:snapToGrid w:val="0"/>
              <w:spacing w:line="360" w:lineRule="auto"/>
              <w:jc w:val="center"/>
              <w:rPr>
                <w:rFonts w:cs="Times New Roman"/>
                <w:b/>
                <w:szCs w:val="24"/>
              </w:rPr>
            </w:pPr>
            <w:r>
              <w:rPr>
                <w:rFonts w:cs="Times New Roman"/>
                <w:b/>
                <w:szCs w:val="24"/>
              </w:rPr>
              <w:t>表</w:t>
            </w:r>
            <w:r>
              <w:rPr>
                <w:rFonts w:hint="eastAsia" w:cs="Times New Roman"/>
                <w:b/>
                <w:szCs w:val="24"/>
              </w:rPr>
              <w:t>3-1</w:t>
            </w:r>
            <w:r>
              <w:rPr>
                <w:rFonts w:cs="Times New Roman"/>
                <w:b/>
                <w:szCs w:val="24"/>
              </w:rPr>
              <w:t>1</w:t>
            </w:r>
            <w:r>
              <w:rPr>
                <w:rFonts w:hint="eastAsia" w:cs="Times New Roman"/>
                <w:b/>
                <w:szCs w:val="24"/>
              </w:rPr>
              <w:t xml:space="preserve">  水位检测结果</w:t>
            </w:r>
          </w:p>
          <w:tbl>
            <w:tblPr>
              <w:tblStyle w:val="31"/>
              <w:tblW w:w="906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6"/>
              <w:gridCol w:w="3921"/>
              <w:gridCol w:w="2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6" w:type="dxa"/>
                  <w:tcBorders>
                    <w:top w:val="single" w:color="auto" w:sz="4" w:space="0"/>
                    <w:left w:val="single" w:color="auto" w:sz="4" w:space="0"/>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检测类别</w:t>
                  </w:r>
                </w:p>
              </w:tc>
              <w:tc>
                <w:tcPr>
                  <w:tcW w:w="3921"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名称</w:t>
                  </w:r>
                </w:p>
              </w:tc>
              <w:tc>
                <w:tcPr>
                  <w:tcW w:w="2493"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水位高程（m</w:t>
                  </w:r>
                  <w:r>
                    <w:rPr>
                      <w:rFonts w:hint="eastAsia" w:ascii="宋体" w:hAnsi="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6" w:type="dxa"/>
                  <w:vMerge w:val="restar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地下水</w:t>
                  </w:r>
                </w:p>
              </w:tc>
              <w:tc>
                <w:tcPr>
                  <w:tcW w:w="3921"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1#</w:t>
                  </w:r>
                  <w:r>
                    <w:rPr>
                      <w:rFonts w:hint="eastAsia" w:ascii="宋体" w:hAnsi="宋体"/>
                      <w:sz w:val="21"/>
                      <w:szCs w:val="21"/>
                    </w:rPr>
                    <w:t>：项目西南侧居民民井</w:t>
                  </w:r>
                </w:p>
              </w:tc>
              <w:tc>
                <w:tcPr>
                  <w:tcW w:w="2493"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646" w:type="dxa"/>
                  <w:vMerge w:val="continue"/>
                  <w:tcBorders>
                    <w:top w:val="nil"/>
                    <w:left w:val="single" w:color="auto" w:sz="4" w:space="0"/>
                    <w:bottom w:val="single" w:color="auto" w:sz="4" w:space="0"/>
                    <w:right w:val="single" w:color="auto" w:sz="4" w:space="0"/>
                  </w:tcBorders>
                  <w:vAlign w:val="center"/>
                </w:tcPr>
                <w:p>
                  <w:pPr>
                    <w:widowControl/>
                    <w:jc w:val="left"/>
                    <w:rPr>
                      <w:sz w:val="21"/>
                      <w:szCs w:val="21"/>
                    </w:rPr>
                  </w:pPr>
                </w:p>
              </w:tc>
              <w:tc>
                <w:tcPr>
                  <w:tcW w:w="3921"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2#</w:t>
                  </w:r>
                  <w:r>
                    <w:rPr>
                      <w:rFonts w:hint="eastAsia" w:ascii="宋体" w:hAnsi="宋体"/>
                      <w:sz w:val="21"/>
                      <w:szCs w:val="21"/>
                    </w:rPr>
                    <w:t>：项目东北侧居民民井</w:t>
                  </w:r>
                </w:p>
              </w:tc>
              <w:tc>
                <w:tcPr>
                  <w:tcW w:w="2493"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5</w:t>
                  </w:r>
                  <w:r>
                    <w:rPr>
                      <w:sz w:val="21"/>
                      <w:szCs w:val="21"/>
                    </w:rPr>
                    <w:t>5</w:t>
                  </w:r>
                  <w:r>
                    <w:rPr>
                      <w:rFonts w:hint="eastAsia"/>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6" w:type="dxa"/>
                  <w:vMerge w:val="continue"/>
                  <w:tcBorders>
                    <w:top w:val="nil"/>
                    <w:left w:val="single" w:color="auto" w:sz="4" w:space="0"/>
                    <w:bottom w:val="single" w:color="auto" w:sz="4" w:space="0"/>
                    <w:right w:val="single" w:color="auto" w:sz="4" w:space="0"/>
                  </w:tcBorders>
                  <w:vAlign w:val="center"/>
                </w:tcPr>
                <w:p>
                  <w:pPr>
                    <w:widowControl/>
                    <w:jc w:val="left"/>
                    <w:rPr>
                      <w:sz w:val="21"/>
                      <w:szCs w:val="21"/>
                    </w:rPr>
                  </w:pPr>
                </w:p>
              </w:tc>
              <w:tc>
                <w:tcPr>
                  <w:tcW w:w="3921"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3#</w:t>
                  </w:r>
                  <w:r>
                    <w:rPr>
                      <w:rFonts w:hint="eastAsia" w:ascii="宋体" w:hAnsi="宋体"/>
                      <w:sz w:val="21"/>
                      <w:szCs w:val="21"/>
                    </w:rPr>
                    <w:t>：项目西北侧居民民井</w:t>
                  </w:r>
                </w:p>
              </w:tc>
              <w:tc>
                <w:tcPr>
                  <w:tcW w:w="2493"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6" w:type="dxa"/>
                  <w:vMerge w:val="continue"/>
                  <w:tcBorders>
                    <w:top w:val="nil"/>
                    <w:left w:val="single" w:color="auto" w:sz="4" w:space="0"/>
                    <w:bottom w:val="single" w:color="auto" w:sz="4" w:space="0"/>
                    <w:right w:val="single" w:color="auto" w:sz="4" w:space="0"/>
                  </w:tcBorders>
                  <w:vAlign w:val="center"/>
                </w:tcPr>
                <w:p>
                  <w:pPr>
                    <w:widowControl/>
                    <w:jc w:val="left"/>
                    <w:rPr>
                      <w:sz w:val="21"/>
                      <w:szCs w:val="21"/>
                    </w:rPr>
                  </w:pPr>
                </w:p>
              </w:tc>
              <w:tc>
                <w:tcPr>
                  <w:tcW w:w="3921"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4#</w:t>
                  </w:r>
                  <w:r>
                    <w:rPr>
                      <w:rFonts w:hint="eastAsia" w:ascii="宋体" w:hAnsi="宋体"/>
                      <w:sz w:val="21"/>
                      <w:szCs w:val="21"/>
                    </w:rPr>
                    <w:t>：项目北侧</w:t>
                  </w:r>
                  <w:r>
                    <w:rPr>
                      <w:sz w:val="21"/>
                      <w:szCs w:val="21"/>
                    </w:rPr>
                    <w:t>190</w:t>
                  </w:r>
                  <w:r>
                    <w:rPr>
                      <w:rFonts w:hint="eastAsia"/>
                      <w:sz w:val="21"/>
                      <w:szCs w:val="21"/>
                    </w:rPr>
                    <w:t>m</w:t>
                  </w:r>
                  <w:r>
                    <w:rPr>
                      <w:rFonts w:hint="eastAsia" w:ascii="宋体" w:hAnsi="宋体"/>
                      <w:sz w:val="21"/>
                      <w:szCs w:val="21"/>
                    </w:rPr>
                    <w:t>处居民地下水</w:t>
                  </w:r>
                </w:p>
              </w:tc>
              <w:tc>
                <w:tcPr>
                  <w:tcW w:w="2493"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6" w:type="dxa"/>
                  <w:vMerge w:val="continue"/>
                  <w:tcBorders>
                    <w:top w:val="nil"/>
                    <w:left w:val="single" w:color="auto" w:sz="4" w:space="0"/>
                    <w:bottom w:val="single" w:color="auto" w:sz="4" w:space="0"/>
                    <w:right w:val="single" w:color="auto" w:sz="4" w:space="0"/>
                  </w:tcBorders>
                  <w:vAlign w:val="center"/>
                </w:tcPr>
                <w:p>
                  <w:pPr>
                    <w:widowControl/>
                    <w:jc w:val="left"/>
                    <w:rPr>
                      <w:sz w:val="21"/>
                      <w:szCs w:val="21"/>
                    </w:rPr>
                  </w:pPr>
                </w:p>
              </w:tc>
              <w:tc>
                <w:tcPr>
                  <w:tcW w:w="3921"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5#</w:t>
                  </w:r>
                  <w:r>
                    <w:rPr>
                      <w:rFonts w:hint="eastAsia" w:ascii="宋体" w:hAnsi="宋体"/>
                      <w:sz w:val="21"/>
                      <w:szCs w:val="21"/>
                    </w:rPr>
                    <w:t>：项目北侧</w:t>
                  </w:r>
                  <w:r>
                    <w:rPr>
                      <w:sz w:val="21"/>
                      <w:szCs w:val="21"/>
                    </w:rPr>
                    <w:t>160</w:t>
                  </w:r>
                  <w:r>
                    <w:rPr>
                      <w:rFonts w:hint="eastAsia"/>
                      <w:sz w:val="21"/>
                      <w:szCs w:val="21"/>
                    </w:rPr>
                    <w:t>m</w:t>
                  </w:r>
                  <w:r>
                    <w:rPr>
                      <w:rFonts w:hint="eastAsia" w:ascii="宋体" w:hAnsi="宋体"/>
                      <w:sz w:val="21"/>
                      <w:szCs w:val="21"/>
                    </w:rPr>
                    <w:t>处居民地下水</w:t>
                  </w:r>
                </w:p>
              </w:tc>
              <w:tc>
                <w:tcPr>
                  <w:tcW w:w="2493"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6" w:type="dxa"/>
                  <w:vMerge w:val="continue"/>
                  <w:tcBorders>
                    <w:top w:val="nil"/>
                    <w:left w:val="single" w:color="auto" w:sz="4" w:space="0"/>
                    <w:bottom w:val="single" w:color="auto" w:sz="4" w:space="0"/>
                    <w:right w:val="single" w:color="auto" w:sz="4" w:space="0"/>
                  </w:tcBorders>
                  <w:vAlign w:val="center"/>
                </w:tcPr>
                <w:p>
                  <w:pPr>
                    <w:widowControl/>
                    <w:jc w:val="left"/>
                    <w:rPr>
                      <w:sz w:val="21"/>
                      <w:szCs w:val="21"/>
                    </w:rPr>
                  </w:pPr>
                </w:p>
              </w:tc>
              <w:tc>
                <w:tcPr>
                  <w:tcW w:w="3921"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6#</w:t>
                  </w:r>
                  <w:r>
                    <w:rPr>
                      <w:rFonts w:hint="eastAsia" w:ascii="宋体" w:hAnsi="宋体"/>
                      <w:sz w:val="21"/>
                      <w:szCs w:val="21"/>
                    </w:rPr>
                    <w:t>：项目北侧</w:t>
                  </w:r>
                  <w:r>
                    <w:rPr>
                      <w:sz w:val="21"/>
                      <w:szCs w:val="21"/>
                    </w:rPr>
                    <w:t>120</w:t>
                  </w:r>
                  <w:r>
                    <w:rPr>
                      <w:rFonts w:hint="eastAsia"/>
                      <w:sz w:val="21"/>
                      <w:szCs w:val="21"/>
                    </w:rPr>
                    <w:t>m</w:t>
                  </w:r>
                  <w:r>
                    <w:rPr>
                      <w:rFonts w:hint="eastAsia" w:ascii="宋体" w:hAnsi="宋体"/>
                      <w:sz w:val="21"/>
                      <w:szCs w:val="21"/>
                    </w:rPr>
                    <w:t>处居民地下水</w:t>
                  </w:r>
                </w:p>
              </w:tc>
              <w:tc>
                <w:tcPr>
                  <w:tcW w:w="2493" w:type="dxa"/>
                  <w:tcBorders>
                    <w:top w:val="single" w:color="auto" w:sz="4" w:space="0"/>
                    <w:left w:val="nil"/>
                    <w:bottom w:val="single" w:color="auto" w:sz="4" w:space="0"/>
                    <w:right w:val="single" w:color="auto" w:sz="4" w:space="0"/>
                  </w:tcBorders>
                  <w:vAlign w:val="center"/>
                </w:tcPr>
                <w:p>
                  <w:pPr>
                    <w:widowControl/>
                    <w:autoSpaceDE w:val="0"/>
                    <w:spacing w:line="320" w:lineRule="exact"/>
                    <w:jc w:val="center"/>
                    <w:rPr>
                      <w:sz w:val="21"/>
                      <w:szCs w:val="21"/>
                    </w:rPr>
                  </w:pPr>
                  <w:r>
                    <w:rPr>
                      <w:rFonts w:hint="eastAsia"/>
                      <w:sz w:val="21"/>
                      <w:szCs w:val="21"/>
                    </w:rPr>
                    <w:t>557</w:t>
                  </w:r>
                </w:p>
              </w:tc>
            </w:tr>
          </w:tbl>
          <w:p>
            <w:pPr>
              <w:pStyle w:val="13"/>
              <w:snapToGrid w:val="0"/>
              <w:ind w:firstLine="482"/>
              <w:rPr>
                <w:rFonts w:cs="Times New Roman"/>
                <w:b/>
                <w:bCs/>
                <w:kern w:val="0"/>
                <w:szCs w:val="24"/>
              </w:rPr>
            </w:pPr>
            <w:r>
              <w:rPr>
                <w:rFonts w:hint="eastAsia" w:cs="Times New Roman"/>
                <w:b/>
                <w:bCs/>
              </w:rPr>
              <w:t>6.</w:t>
            </w:r>
            <w:r>
              <w:rPr>
                <w:rFonts w:cs="Times New Roman"/>
                <w:b/>
                <w:bCs/>
              </w:rPr>
              <w:t>评价方法</w:t>
            </w:r>
          </w:p>
          <w:p>
            <w:pPr>
              <w:snapToGrid w:val="0"/>
              <w:spacing w:line="360" w:lineRule="auto"/>
              <w:ind w:firstLine="480" w:firstLineChars="200"/>
              <w:rPr>
                <w:rFonts w:cs="Times New Roman"/>
              </w:rPr>
            </w:pPr>
            <w:r>
              <w:rPr>
                <w:rFonts w:ascii="宋体" w:hAnsi="宋体"/>
              </w:rPr>
              <w:t>为了能直观反映水质现状，科学的评判水体中污染物是否超标，评价采用</w:t>
            </w:r>
            <w:r>
              <w:rPr>
                <w:rFonts w:hint="eastAsia" w:ascii="宋体" w:hAnsi="宋体"/>
              </w:rPr>
              <w:t>标准指数法</w:t>
            </w:r>
            <w:r>
              <w:rPr>
                <w:rFonts w:ascii="宋体" w:hAnsi="宋体"/>
              </w:rPr>
              <w:t>。</w:t>
            </w:r>
            <w:r>
              <w:t xml:space="preserve"> </w:t>
            </w:r>
            <w:r>
              <w:rPr>
                <w:rFonts w:hint="eastAsia" w:ascii="宋体" w:hAnsi="宋体"/>
              </w:rPr>
              <w:t>标准指数法</w:t>
            </w:r>
            <w:r>
              <w:rPr>
                <w:rFonts w:ascii="宋体" w:hAnsi="宋体"/>
              </w:rPr>
              <w:t>数学模式如下：</w:t>
            </w:r>
            <w:r>
              <w:t xml:space="preserve"> </w:t>
            </w:r>
          </w:p>
          <w:p>
            <w:pPr>
              <w:snapToGrid w:val="0"/>
              <w:spacing w:line="360" w:lineRule="auto"/>
              <w:ind w:firstLine="480" w:firstLineChars="200"/>
            </w:pPr>
            <w:r>
              <w:rPr>
                <w:rFonts w:hint="eastAsia" w:ascii="宋体" w:hAnsi="宋体" w:cs="宋体"/>
              </w:rPr>
              <w:t>①</w:t>
            </w:r>
            <w:r>
              <w:t xml:space="preserve"> </w:t>
            </w:r>
            <w:r>
              <w:rPr>
                <w:rFonts w:ascii="宋体" w:hAnsi="宋体"/>
              </w:rPr>
              <w:t>对于</w:t>
            </w:r>
            <w:r>
              <w:rPr>
                <w:rFonts w:hint="eastAsia" w:ascii="宋体" w:hAnsi="宋体"/>
              </w:rPr>
              <w:t>评价标准为定值的水质因子，其标准指数计算方法见下公式</w:t>
            </w:r>
            <w:r>
              <w:rPr>
                <w:rFonts w:ascii="宋体" w:hAnsi="宋体"/>
              </w:rPr>
              <w:t>：</w:t>
            </w:r>
          </w:p>
          <w:p>
            <w:pPr>
              <w:snapToGrid w:val="0"/>
              <w:spacing w:line="360" w:lineRule="auto"/>
              <w:ind w:firstLine="1920" w:firstLineChars="800"/>
            </w:pPr>
            <w:r>
              <w:drawing>
                <wp:inline distT="0" distB="0" distL="0" distR="0">
                  <wp:extent cx="485775" cy="390525"/>
                  <wp:effectExtent l="0" t="0" r="9525" b="9525"/>
                  <wp:docPr id="8" name="图片 8" descr="C:\Users\ADMINI~1\AppData\Local\Temp\ksohtml4564\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ksohtml4564\wps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85775" cy="390525"/>
                          </a:xfrm>
                          <a:prstGeom prst="rect">
                            <a:avLst/>
                          </a:prstGeom>
                          <a:noFill/>
                          <a:ln>
                            <a:noFill/>
                          </a:ln>
                        </pic:spPr>
                      </pic:pic>
                    </a:graphicData>
                  </a:graphic>
                </wp:inline>
              </w:drawing>
            </w:r>
          </w:p>
          <w:p>
            <w:pPr>
              <w:snapToGrid w:val="0"/>
              <w:spacing w:line="360" w:lineRule="auto"/>
              <w:ind w:firstLine="480" w:firstLineChars="200"/>
            </w:pPr>
            <w:r>
              <w:rPr>
                <w:rFonts w:ascii="宋体" w:hAnsi="宋体"/>
              </w:rPr>
              <w:t>式中：</w:t>
            </w:r>
            <w:r>
              <w:rPr>
                <w:rFonts w:hint="eastAsia"/>
              </w:rPr>
              <w:t>P</w:t>
            </w:r>
            <w:r>
              <w:rPr>
                <w:vertAlign w:val="subscript"/>
              </w:rPr>
              <w:t>ij</w:t>
            </w:r>
            <w:r>
              <w:t>——</w:t>
            </w:r>
            <w:r>
              <w:rPr>
                <w:rFonts w:hint="eastAsia" w:ascii="宋体" w:hAnsi="宋体"/>
              </w:rPr>
              <w:t>第</w:t>
            </w:r>
            <w:r>
              <w:t>i</w:t>
            </w:r>
            <w:r>
              <w:rPr>
                <w:rFonts w:hint="eastAsia" w:ascii="宋体" w:hAnsi="宋体"/>
              </w:rPr>
              <w:t>个水质因子</w:t>
            </w:r>
            <w:r>
              <w:rPr>
                <w:rFonts w:ascii="宋体" w:hAnsi="宋体"/>
              </w:rPr>
              <w:t>的标准指数</w:t>
            </w:r>
            <w:r>
              <w:rPr>
                <w:rFonts w:hint="eastAsia" w:ascii="宋体" w:hAnsi="宋体"/>
              </w:rPr>
              <w:t>，无量纲</w:t>
            </w:r>
            <w:r>
              <w:rPr>
                <w:rFonts w:ascii="宋体" w:hAnsi="宋体"/>
              </w:rPr>
              <w:t>；</w:t>
            </w:r>
          </w:p>
          <w:p>
            <w:pPr>
              <w:snapToGrid w:val="0"/>
              <w:spacing w:line="360" w:lineRule="auto"/>
              <w:ind w:firstLine="1200" w:firstLineChars="500"/>
            </w:pPr>
            <w:r>
              <w:t>C</w:t>
            </w:r>
            <w:r>
              <w:rPr>
                <w:vertAlign w:val="subscript"/>
              </w:rPr>
              <w:t>i</w:t>
            </w:r>
            <w:r>
              <w:t>——</w:t>
            </w:r>
            <w:r>
              <w:rPr>
                <w:rFonts w:hint="eastAsia" w:ascii="宋体" w:hAnsi="宋体"/>
              </w:rPr>
              <w:t>第</w:t>
            </w:r>
            <w:r>
              <w:t>i</w:t>
            </w:r>
            <w:r>
              <w:rPr>
                <w:rFonts w:hint="eastAsia" w:ascii="宋体" w:hAnsi="宋体"/>
              </w:rPr>
              <w:t>个水质因子</w:t>
            </w:r>
            <w:r>
              <w:rPr>
                <w:rFonts w:ascii="宋体" w:hAnsi="宋体"/>
              </w:rPr>
              <w:t>的</w:t>
            </w:r>
            <w:r>
              <w:rPr>
                <w:rFonts w:hint="eastAsia" w:ascii="宋体" w:hAnsi="宋体"/>
              </w:rPr>
              <w:t>监测浓度值</w:t>
            </w:r>
            <w:r>
              <w:rPr>
                <w:rFonts w:ascii="宋体" w:hAnsi="宋体"/>
              </w:rPr>
              <w:t>，</w:t>
            </w:r>
            <w:r>
              <w:t>mg/L</w:t>
            </w:r>
            <w:r>
              <w:rPr>
                <w:rFonts w:ascii="宋体" w:hAnsi="宋体"/>
              </w:rPr>
              <w:t>；</w:t>
            </w:r>
          </w:p>
          <w:p>
            <w:pPr>
              <w:snapToGrid w:val="0"/>
              <w:spacing w:line="360" w:lineRule="auto"/>
              <w:ind w:firstLine="1200" w:firstLineChars="500"/>
            </w:pPr>
            <w:r>
              <w:t>C</w:t>
            </w:r>
            <w:r>
              <w:rPr>
                <w:vertAlign w:val="subscript"/>
              </w:rPr>
              <w:t>si</w:t>
            </w:r>
            <w:r>
              <w:t>——</w:t>
            </w:r>
            <w:r>
              <w:rPr>
                <w:rFonts w:hint="eastAsia" w:ascii="宋体" w:hAnsi="宋体"/>
              </w:rPr>
              <w:t>第</w:t>
            </w:r>
            <w:r>
              <w:t>i</w:t>
            </w:r>
            <w:r>
              <w:rPr>
                <w:rFonts w:hint="eastAsia" w:ascii="宋体" w:hAnsi="宋体"/>
              </w:rPr>
              <w:t>个水质因子</w:t>
            </w:r>
            <w:r>
              <w:rPr>
                <w:rFonts w:ascii="宋体" w:hAnsi="宋体"/>
              </w:rPr>
              <w:t>的</w:t>
            </w:r>
            <w:r>
              <w:rPr>
                <w:rFonts w:hint="eastAsia" w:ascii="宋体" w:hAnsi="宋体"/>
              </w:rPr>
              <w:t>标准浓度值</w:t>
            </w:r>
            <w:r>
              <w:rPr>
                <w:rFonts w:ascii="宋体" w:hAnsi="宋体"/>
              </w:rPr>
              <w:t>，</w:t>
            </w:r>
            <w:r>
              <w:t>mg/L</w:t>
            </w:r>
            <w:r>
              <w:rPr>
                <w:rFonts w:ascii="宋体" w:hAnsi="宋体"/>
              </w:rPr>
              <w:t>；</w:t>
            </w:r>
          </w:p>
          <w:p>
            <w:pPr>
              <w:snapToGrid w:val="0"/>
              <w:spacing w:line="360" w:lineRule="auto"/>
              <w:ind w:firstLine="480" w:firstLineChars="200"/>
            </w:pPr>
            <w:r>
              <w:rPr>
                <w:rFonts w:hint="eastAsia" w:ascii="宋体" w:hAnsi="宋体" w:cs="宋体"/>
              </w:rPr>
              <w:t>②</w:t>
            </w:r>
            <w:r>
              <w:t xml:space="preserve"> </w:t>
            </w:r>
            <w:r>
              <w:rPr>
                <w:rFonts w:hint="eastAsia" w:ascii="宋体" w:hAnsi="宋体"/>
              </w:rPr>
              <w:t>对于评价标准为区间值的水质因子（如</w:t>
            </w:r>
            <w:r>
              <w:t>pH</w:t>
            </w:r>
            <w:r>
              <w:rPr>
                <w:rFonts w:hint="eastAsia" w:ascii="宋体" w:hAnsi="宋体"/>
              </w:rPr>
              <w:t>值）</w:t>
            </w:r>
            <w:r>
              <w:rPr>
                <w:rFonts w:ascii="宋体" w:hAnsi="宋体"/>
              </w:rPr>
              <w:t>，</w:t>
            </w:r>
            <w:r>
              <w:rPr>
                <w:rFonts w:hint="eastAsia" w:ascii="宋体" w:hAnsi="宋体"/>
              </w:rPr>
              <w:t>其标准指数计算方法</w:t>
            </w:r>
            <w:r>
              <w:rPr>
                <w:rFonts w:ascii="宋体" w:hAnsi="宋体"/>
              </w:rPr>
              <w:t>为：</w:t>
            </w:r>
          </w:p>
          <w:p>
            <w:pPr>
              <w:snapToGrid w:val="0"/>
              <w:spacing w:line="360" w:lineRule="auto"/>
              <w:ind w:firstLine="1920" w:firstLineChars="800"/>
            </w:pPr>
            <w:r>
              <w:drawing>
                <wp:inline distT="0" distB="0" distL="0" distR="0">
                  <wp:extent cx="923925" cy="428625"/>
                  <wp:effectExtent l="0" t="0" r="9525" b="9525"/>
                  <wp:docPr id="7" name="图片 7" descr="C:\Users\ADMINI~1\AppData\Local\Temp\ksohtml4564\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ksohtml4564\wps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923925" cy="428625"/>
                          </a:xfrm>
                          <a:prstGeom prst="rect">
                            <a:avLst/>
                          </a:prstGeom>
                          <a:noFill/>
                          <a:ln>
                            <a:noFill/>
                          </a:ln>
                        </pic:spPr>
                      </pic:pic>
                    </a:graphicData>
                  </a:graphic>
                </wp:inline>
              </w:drawing>
            </w:r>
            <w:r>
              <w:t xml:space="preserve">       pH</w:t>
            </w:r>
            <w:r>
              <w:rPr>
                <w:vertAlign w:val="subscript"/>
              </w:rPr>
              <w:t>j</w:t>
            </w:r>
            <w:r>
              <w:t>≤7.0</w:t>
            </w:r>
            <w:r>
              <w:rPr>
                <w:rFonts w:hint="eastAsia" w:ascii="宋体" w:hAnsi="宋体"/>
              </w:rPr>
              <w:t>时</w:t>
            </w:r>
          </w:p>
          <w:p>
            <w:pPr>
              <w:snapToGrid w:val="0"/>
              <w:spacing w:line="360" w:lineRule="auto"/>
              <w:ind w:firstLine="1920" w:firstLineChars="800"/>
            </w:pPr>
            <w:r>
              <w:drawing>
                <wp:inline distT="0" distB="0" distL="0" distR="0">
                  <wp:extent cx="923925" cy="409575"/>
                  <wp:effectExtent l="0" t="0" r="9525" b="9525"/>
                  <wp:docPr id="6" name="图片 6" descr="C:\Users\ADMINI~1\AppData\Local\Temp\ksohtml4564\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ksohtml4564\wps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923925" cy="409575"/>
                          </a:xfrm>
                          <a:prstGeom prst="rect">
                            <a:avLst/>
                          </a:prstGeom>
                          <a:noFill/>
                          <a:ln>
                            <a:noFill/>
                          </a:ln>
                        </pic:spPr>
                      </pic:pic>
                    </a:graphicData>
                  </a:graphic>
                </wp:inline>
              </w:drawing>
            </w:r>
            <w:r>
              <w:t xml:space="preserve">       pH</w:t>
            </w:r>
            <w:r>
              <w:rPr>
                <w:vertAlign w:val="subscript"/>
              </w:rPr>
              <w:t>j</w:t>
            </w:r>
            <w:r>
              <w:t>≥7.0</w:t>
            </w:r>
            <w:r>
              <w:rPr>
                <w:rFonts w:hint="eastAsia" w:ascii="宋体" w:hAnsi="宋体"/>
              </w:rPr>
              <w:t>时</w:t>
            </w:r>
          </w:p>
          <w:p>
            <w:pPr>
              <w:adjustRightInd w:val="0"/>
              <w:snapToGrid w:val="0"/>
              <w:spacing w:line="360" w:lineRule="auto"/>
              <w:ind w:firstLine="480" w:firstLineChars="200"/>
            </w:pPr>
            <w:r>
              <w:rPr>
                <w:rFonts w:ascii="宋体" w:hAnsi="宋体"/>
              </w:rPr>
              <w:t>式中：</w:t>
            </w:r>
            <w:r>
              <w:rPr>
                <w:rFonts w:hint="eastAsia"/>
              </w:rPr>
              <w:t>P</w:t>
            </w:r>
            <w:r>
              <w:rPr>
                <w:rFonts w:hint="eastAsia"/>
                <w:vertAlign w:val="subscript"/>
              </w:rPr>
              <w:t>pH</w:t>
            </w:r>
            <w:r>
              <w:t>——pH</w:t>
            </w:r>
            <w:r>
              <w:rPr>
                <w:rFonts w:hint="eastAsia" w:ascii="宋体" w:hAnsi="宋体"/>
              </w:rPr>
              <w:t>的标准指数，无量纲；</w:t>
            </w:r>
          </w:p>
          <w:p>
            <w:pPr>
              <w:adjustRightInd w:val="0"/>
              <w:snapToGrid w:val="0"/>
              <w:spacing w:line="360" w:lineRule="auto"/>
              <w:ind w:firstLine="1200" w:firstLineChars="500"/>
            </w:pPr>
            <w:r>
              <w:t>pH</w:t>
            </w:r>
            <w:r>
              <w:rPr>
                <w:vertAlign w:val="subscript"/>
              </w:rPr>
              <w:t xml:space="preserve"> </w:t>
            </w:r>
            <w:r>
              <w:t>——pH</w:t>
            </w:r>
            <w:r>
              <w:rPr>
                <w:rFonts w:hint="eastAsia" w:ascii="宋体" w:hAnsi="宋体"/>
              </w:rPr>
              <w:t>监测</w:t>
            </w:r>
            <w:r>
              <w:rPr>
                <w:rFonts w:ascii="宋体" w:hAnsi="宋体"/>
              </w:rPr>
              <w:t>值；</w:t>
            </w:r>
          </w:p>
          <w:p>
            <w:pPr>
              <w:snapToGrid w:val="0"/>
              <w:spacing w:line="360" w:lineRule="auto"/>
              <w:ind w:firstLine="1200" w:firstLineChars="500"/>
            </w:pPr>
            <w:r>
              <w:t>pH</w:t>
            </w:r>
            <w:r>
              <w:rPr>
                <w:vertAlign w:val="subscript"/>
              </w:rPr>
              <w:t>sd</w:t>
            </w:r>
            <w:r>
              <w:t>——</w:t>
            </w:r>
            <w:r>
              <w:rPr>
                <w:rFonts w:ascii="宋体" w:hAnsi="宋体"/>
              </w:rPr>
              <w:t>标准</w:t>
            </w:r>
            <w:r>
              <w:rPr>
                <w:rFonts w:hint="eastAsia" w:ascii="宋体" w:hAnsi="宋体"/>
              </w:rPr>
              <w:t>中</w:t>
            </w:r>
            <w:r>
              <w:t>pH</w:t>
            </w:r>
            <w:r>
              <w:rPr>
                <w:rFonts w:ascii="宋体" w:hAnsi="宋体"/>
              </w:rPr>
              <w:t>的下限值；</w:t>
            </w:r>
          </w:p>
          <w:p>
            <w:pPr>
              <w:snapToGrid w:val="0"/>
              <w:spacing w:line="360" w:lineRule="auto"/>
              <w:ind w:firstLine="1200" w:firstLineChars="500"/>
            </w:pPr>
            <w:r>
              <w:t>pH</w:t>
            </w:r>
            <w:r>
              <w:rPr>
                <w:vertAlign w:val="subscript"/>
              </w:rPr>
              <w:t>su</w:t>
            </w:r>
            <w:r>
              <w:t>——</w:t>
            </w:r>
            <w:r>
              <w:rPr>
                <w:rFonts w:ascii="宋体" w:hAnsi="宋体"/>
              </w:rPr>
              <w:t>标准</w:t>
            </w:r>
            <w:r>
              <w:rPr>
                <w:rFonts w:hint="eastAsia" w:ascii="宋体" w:hAnsi="宋体"/>
              </w:rPr>
              <w:t>中</w:t>
            </w:r>
            <w:r>
              <w:t>pH</w:t>
            </w:r>
            <w:r>
              <w:rPr>
                <w:rFonts w:ascii="宋体" w:hAnsi="宋体"/>
              </w:rPr>
              <w:t>的上限值；</w:t>
            </w:r>
          </w:p>
          <w:p>
            <w:pPr>
              <w:adjustRightInd w:val="0"/>
              <w:snapToGrid w:val="0"/>
              <w:spacing w:before="120" w:beforeLines="50" w:line="360" w:lineRule="auto"/>
              <w:ind w:firstLine="482" w:firstLineChars="200"/>
              <w:jc w:val="left"/>
              <w:rPr>
                <w:b/>
                <w:bCs/>
              </w:rPr>
            </w:pPr>
            <w:r>
              <w:rPr>
                <w:rFonts w:hint="eastAsia"/>
                <w:b/>
                <w:bCs/>
              </w:rPr>
              <w:t>7.</w:t>
            </w:r>
            <w:r>
              <w:rPr>
                <w:rFonts w:ascii="宋体" w:hAnsi="宋体"/>
                <w:b/>
                <w:bCs/>
              </w:rPr>
              <w:t>评价结果</w:t>
            </w:r>
          </w:p>
          <w:p>
            <w:pPr>
              <w:autoSpaceDE w:val="0"/>
              <w:autoSpaceDN w:val="0"/>
              <w:spacing w:line="360" w:lineRule="auto"/>
              <w:ind w:firstLine="480" w:firstLineChars="200"/>
              <w:textAlignment w:val="bottom"/>
              <w:rPr>
                <w:kern w:val="0"/>
              </w:rPr>
            </w:pPr>
            <w:r>
              <w:rPr>
                <w:rFonts w:ascii="宋体" w:hAnsi="宋体"/>
                <w:kern w:val="0"/>
              </w:rPr>
              <w:t>其评价结果见下表：</w:t>
            </w:r>
          </w:p>
          <w:p>
            <w:pPr>
              <w:adjustRightInd w:val="0"/>
              <w:snapToGrid w:val="0"/>
              <w:spacing w:line="360" w:lineRule="auto"/>
              <w:jc w:val="center"/>
              <w:rPr>
                <w:rFonts w:cs="Times New Roman"/>
                <w:b/>
                <w:szCs w:val="24"/>
              </w:rPr>
            </w:pPr>
            <w:r>
              <w:rPr>
                <w:rFonts w:cs="Times New Roman"/>
                <w:b/>
                <w:szCs w:val="24"/>
              </w:rPr>
              <w:t>表</w:t>
            </w:r>
            <w:r>
              <w:rPr>
                <w:rFonts w:hint="eastAsia" w:cs="Times New Roman"/>
                <w:b/>
                <w:szCs w:val="24"/>
              </w:rPr>
              <w:t>3-</w:t>
            </w:r>
            <w:r>
              <w:rPr>
                <w:rFonts w:cs="Times New Roman"/>
                <w:b/>
                <w:szCs w:val="24"/>
              </w:rPr>
              <w:t>12</w:t>
            </w:r>
            <w:r>
              <w:rPr>
                <w:rFonts w:hint="eastAsia" w:cs="Times New Roman"/>
                <w:b/>
                <w:szCs w:val="24"/>
              </w:rPr>
              <w:t xml:space="preserve">  </w:t>
            </w:r>
            <w:r>
              <w:rPr>
                <w:rFonts w:cs="Times New Roman"/>
                <w:b/>
                <w:szCs w:val="24"/>
              </w:rPr>
              <w:t>地下水各检出因子单因子指数表</w:t>
            </w:r>
          </w:p>
          <w:tbl>
            <w:tblPr>
              <w:tblStyle w:val="30"/>
              <w:tblW w:w="9165"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2226"/>
              <w:gridCol w:w="2457"/>
              <w:gridCol w:w="2128"/>
              <w:gridCol w:w="2354"/>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00" w:hRule="atLeast"/>
                <w:jc w:val="center"/>
              </w:trPr>
              <w:tc>
                <w:tcPr>
                  <w:tcW w:w="2226" w:type="dxa"/>
                  <w:vMerge w:val="restart"/>
                  <w:tcBorders>
                    <w:top w:val="single" w:color="auto" w:sz="6" w:space="0"/>
                    <w:left w:val="single" w:color="auto" w:sz="6" w:space="0"/>
                    <w:bottom w:val="single" w:color="auto" w:sz="4" w:space="0"/>
                    <w:right w:val="single" w:color="auto" w:sz="4" w:space="0"/>
                  </w:tcBorders>
                  <w:vAlign w:val="center"/>
                </w:tcPr>
                <w:p>
                  <w:pPr>
                    <w:jc w:val="center"/>
                    <w:rPr>
                      <w:b/>
                      <w:bCs/>
                      <w:sz w:val="21"/>
                      <w:szCs w:val="21"/>
                    </w:rPr>
                  </w:pPr>
                  <w:r>
                    <w:rPr>
                      <w:b/>
                      <w:bCs/>
                      <w:sz w:val="21"/>
                      <w:szCs w:val="21"/>
                    </w:rPr>
                    <w:t>检测项目</w:t>
                  </w:r>
                </w:p>
              </w:tc>
              <w:tc>
                <w:tcPr>
                  <w:tcW w:w="6939" w:type="dxa"/>
                  <w:gridSpan w:val="3"/>
                  <w:tcBorders>
                    <w:top w:val="single" w:color="auto" w:sz="6" w:space="0"/>
                    <w:left w:val="single" w:color="auto" w:sz="4" w:space="0"/>
                    <w:bottom w:val="single" w:color="auto" w:sz="4" w:space="0"/>
                    <w:right w:val="single" w:color="000000" w:sz="6" w:space="0"/>
                  </w:tcBorders>
                  <w:vAlign w:val="center"/>
                </w:tcPr>
                <w:p>
                  <w:pPr>
                    <w:jc w:val="center"/>
                    <w:rPr>
                      <w:b/>
                      <w:bCs/>
                      <w:sz w:val="21"/>
                      <w:szCs w:val="21"/>
                    </w:rPr>
                  </w:pPr>
                  <w:r>
                    <w:rPr>
                      <w:b/>
                      <w:bCs/>
                      <w:sz w:val="21"/>
                      <w:szCs w:val="21"/>
                    </w:rPr>
                    <w:t>各评价因子单因子指数</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254" w:hRule="atLeast"/>
                <w:jc w:val="center"/>
              </w:trPr>
              <w:tc>
                <w:tcPr>
                  <w:tcW w:w="2226" w:type="dxa"/>
                  <w:vMerge w:val="continue"/>
                  <w:tcBorders>
                    <w:top w:val="single" w:color="auto" w:sz="6" w:space="0"/>
                    <w:left w:val="single" w:color="auto" w:sz="6" w:space="0"/>
                    <w:bottom w:val="single" w:color="auto" w:sz="4" w:space="0"/>
                    <w:right w:val="single" w:color="auto" w:sz="4" w:space="0"/>
                  </w:tcBorders>
                  <w:vAlign w:val="center"/>
                </w:tcPr>
                <w:p>
                  <w:pPr>
                    <w:widowControl/>
                    <w:jc w:val="left"/>
                    <w:rPr>
                      <w:b/>
                      <w:bCs/>
                      <w:sz w:val="21"/>
                      <w:szCs w:val="21"/>
                    </w:rPr>
                  </w:pPr>
                </w:p>
              </w:tc>
              <w:tc>
                <w:tcPr>
                  <w:tcW w:w="6939" w:type="dxa"/>
                  <w:gridSpan w:val="3"/>
                  <w:tcBorders>
                    <w:top w:val="single" w:color="auto" w:sz="4" w:space="0"/>
                    <w:left w:val="single" w:color="auto" w:sz="4" w:space="0"/>
                    <w:bottom w:val="single" w:color="auto" w:sz="4" w:space="0"/>
                    <w:right w:val="single" w:color="000000" w:sz="6" w:space="0"/>
                  </w:tcBorders>
                  <w:vAlign w:val="center"/>
                </w:tcPr>
                <w:p>
                  <w:pPr>
                    <w:jc w:val="center"/>
                    <w:rPr>
                      <w:sz w:val="21"/>
                      <w:szCs w:val="21"/>
                    </w:rPr>
                  </w:pPr>
                  <w:r>
                    <w:rPr>
                      <w:sz w:val="21"/>
                      <w:szCs w:val="21"/>
                    </w:rPr>
                    <w:t>20</w:t>
                  </w:r>
                  <w:r>
                    <w:rPr>
                      <w:rFonts w:hint="eastAsia"/>
                      <w:sz w:val="21"/>
                      <w:szCs w:val="21"/>
                    </w:rPr>
                    <w:t>20</w:t>
                  </w:r>
                  <w:r>
                    <w:rPr>
                      <w:sz w:val="21"/>
                      <w:szCs w:val="21"/>
                    </w:rPr>
                    <w:t>年3</w:t>
                  </w:r>
                  <w:r>
                    <w:rPr>
                      <w:rFonts w:ascii="宋体" w:hAnsi="宋体"/>
                      <w:sz w:val="21"/>
                      <w:szCs w:val="21"/>
                    </w:rPr>
                    <w:t>月</w:t>
                  </w:r>
                  <w:r>
                    <w:rPr>
                      <w:rFonts w:hint="eastAsia"/>
                      <w:sz w:val="21"/>
                      <w:szCs w:val="21"/>
                    </w:rPr>
                    <w:t>2</w:t>
                  </w:r>
                  <w:r>
                    <w:rPr>
                      <w:sz w:val="21"/>
                      <w:szCs w:val="21"/>
                    </w:rPr>
                    <w:t>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226" w:type="dxa"/>
                  <w:vMerge w:val="continue"/>
                  <w:tcBorders>
                    <w:top w:val="single" w:color="auto" w:sz="6" w:space="0"/>
                    <w:left w:val="single" w:color="auto" w:sz="6" w:space="0"/>
                    <w:bottom w:val="single" w:color="auto" w:sz="4" w:space="0"/>
                    <w:right w:val="single" w:color="auto" w:sz="4" w:space="0"/>
                  </w:tcBorders>
                  <w:vAlign w:val="center"/>
                </w:tcPr>
                <w:p>
                  <w:pPr>
                    <w:widowControl/>
                    <w:jc w:val="left"/>
                    <w:rPr>
                      <w:b/>
                      <w:bCs/>
                      <w:sz w:val="21"/>
                      <w:szCs w:val="21"/>
                    </w:rPr>
                  </w:pPr>
                </w:p>
              </w:tc>
              <w:tc>
                <w:tcPr>
                  <w:tcW w:w="2457" w:type="dxa"/>
                  <w:tcBorders>
                    <w:top w:val="single" w:color="auto" w:sz="4" w:space="0"/>
                    <w:left w:val="single" w:color="auto" w:sz="4" w:space="0"/>
                    <w:bottom w:val="single" w:color="auto" w:sz="4" w:space="0"/>
                    <w:right w:val="single" w:color="auto" w:sz="4" w:space="0"/>
                  </w:tcBorders>
                  <w:vAlign w:val="center"/>
                </w:tcPr>
                <w:p>
                  <w:pPr>
                    <w:autoSpaceDE w:val="0"/>
                    <w:jc w:val="center"/>
                    <w:rPr>
                      <w:sz w:val="21"/>
                      <w:szCs w:val="21"/>
                    </w:rPr>
                  </w:pPr>
                  <w:r>
                    <w:rPr>
                      <w:sz w:val="21"/>
                      <w:szCs w:val="21"/>
                    </w:rPr>
                    <w:t>1#</w:t>
                  </w:r>
                </w:p>
              </w:tc>
              <w:tc>
                <w:tcPr>
                  <w:tcW w:w="2128" w:type="dxa"/>
                  <w:tcBorders>
                    <w:top w:val="single" w:color="auto" w:sz="4" w:space="0"/>
                    <w:left w:val="single" w:color="auto" w:sz="4" w:space="0"/>
                    <w:bottom w:val="single" w:color="auto" w:sz="4" w:space="0"/>
                    <w:right w:val="single" w:color="auto" w:sz="4" w:space="0"/>
                  </w:tcBorders>
                  <w:vAlign w:val="center"/>
                </w:tcPr>
                <w:p>
                  <w:pPr>
                    <w:autoSpaceDE w:val="0"/>
                    <w:jc w:val="center"/>
                    <w:rPr>
                      <w:sz w:val="21"/>
                      <w:szCs w:val="21"/>
                    </w:rPr>
                  </w:pPr>
                  <w:r>
                    <w:rPr>
                      <w:sz w:val="21"/>
                      <w:szCs w:val="21"/>
                    </w:rPr>
                    <w:t>2#</w:t>
                  </w:r>
                </w:p>
              </w:tc>
              <w:tc>
                <w:tcPr>
                  <w:tcW w:w="2354" w:type="dxa"/>
                  <w:tcBorders>
                    <w:top w:val="single" w:color="auto" w:sz="4" w:space="0"/>
                    <w:left w:val="single" w:color="auto" w:sz="4" w:space="0"/>
                    <w:bottom w:val="single" w:color="auto" w:sz="4" w:space="0"/>
                    <w:right w:val="single" w:color="000000" w:sz="6" w:space="0"/>
                  </w:tcBorders>
                  <w:vAlign w:val="center"/>
                </w:tcPr>
                <w:p>
                  <w:pPr>
                    <w:autoSpaceDE w:val="0"/>
                    <w:jc w:val="center"/>
                    <w:rPr>
                      <w:sz w:val="21"/>
                      <w:szCs w:val="21"/>
                    </w:rPr>
                  </w:pPr>
                  <w:r>
                    <w:rPr>
                      <w:sz w:val="21"/>
                      <w:szCs w:val="21"/>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286"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autoSpaceDE w:val="0"/>
                    <w:jc w:val="center"/>
                    <w:rPr>
                      <w:sz w:val="21"/>
                      <w:szCs w:val="21"/>
                    </w:rPr>
                  </w:pPr>
                  <w:r>
                    <w:rPr>
                      <w:sz w:val="21"/>
                      <w:szCs w:val="21"/>
                    </w:rPr>
                    <w:t>钾</w:t>
                  </w:r>
                </w:p>
              </w:tc>
              <w:tc>
                <w:tcPr>
                  <w:tcW w:w="2457"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w:t>
                  </w:r>
                </w:p>
              </w:tc>
              <w:tc>
                <w:tcPr>
                  <w:tcW w:w="2128"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w:t>
                  </w:r>
                </w:p>
              </w:tc>
              <w:tc>
                <w:tcPr>
                  <w:tcW w:w="2354" w:type="dxa"/>
                  <w:tcBorders>
                    <w:top w:val="single" w:color="auto" w:sz="4" w:space="0"/>
                    <w:left w:val="single" w:color="auto" w:sz="4" w:space="0"/>
                    <w:bottom w:val="single" w:color="auto" w:sz="4" w:space="0"/>
                    <w:right w:val="single" w:color="auto" w:sz="6" w:space="0"/>
                  </w:tcBorders>
                  <w:vAlign w:val="center"/>
                </w:tcPr>
                <w:p>
                  <w:pPr>
                    <w:jc w:val="center"/>
                    <w:rPr>
                      <w:sz w:val="21"/>
                      <w:szCs w:val="21"/>
                    </w:rPr>
                  </w:pPr>
                  <w:r>
                    <w:rPr>
                      <w:rFonts w:hint="eastAsia"/>
                      <w:sz w:val="21"/>
                      <w:szCs w:val="21"/>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01"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autoSpaceDE w:val="0"/>
                    <w:jc w:val="center"/>
                    <w:rPr>
                      <w:sz w:val="21"/>
                      <w:szCs w:val="21"/>
                    </w:rPr>
                  </w:pPr>
                  <w:r>
                    <w:rPr>
                      <w:sz w:val="21"/>
                      <w:szCs w:val="21"/>
                    </w:rPr>
                    <w:t>钠</w:t>
                  </w:r>
                </w:p>
              </w:tc>
              <w:tc>
                <w:tcPr>
                  <w:tcW w:w="2457"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0.06</w:t>
                  </w:r>
                  <w:r>
                    <w:rPr>
                      <w:sz w:val="21"/>
                      <w:szCs w:val="21"/>
                    </w:rPr>
                    <w:t>6</w:t>
                  </w:r>
                </w:p>
              </w:tc>
              <w:tc>
                <w:tcPr>
                  <w:tcW w:w="2128"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0.06</w:t>
                  </w:r>
                  <w:r>
                    <w:rPr>
                      <w:sz w:val="21"/>
                      <w:szCs w:val="21"/>
                    </w:rPr>
                    <w:t>8</w:t>
                  </w:r>
                </w:p>
              </w:tc>
              <w:tc>
                <w:tcPr>
                  <w:tcW w:w="2354" w:type="dxa"/>
                  <w:tcBorders>
                    <w:top w:val="single" w:color="auto" w:sz="4" w:space="0"/>
                    <w:left w:val="single" w:color="auto" w:sz="4" w:space="0"/>
                    <w:bottom w:val="single" w:color="auto" w:sz="4" w:space="0"/>
                    <w:right w:val="single" w:color="auto" w:sz="6" w:space="0"/>
                  </w:tcBorders>
                  <w:vAlign w:val="center"/>
                </w:tcPr>
                <w:p>
                  <w:pPr>
                    <w:jc w:val="center"/>
                    <w:rPr>
                      <w:sz w:val="21"/>
                      <w:szCs w:val="21"/>
                    </w:rPr>
                  </w:pPr>
                  <w:r>
                    <w:rPr>
                      <w:rFonts w:hint="eastAsia"/>
                      <w:sz w:val="21"/>
                      <w:szCs w:val="21"/>
                    </w:rPr>
                    <w:t>0.0</w:t>
                  </w:r>
                  <w:r>
                    <w:rPr>
                      <w:sz w:val="21"/>
                      <w:szCs w:val="21"/>
                    </w:rPr>
                    <w:t>64</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158" w:hRule="atLeast"/>
                <w:jc w:val="center"/>
              </w:trPr>
              <w:tc>
                <w:tcPr>
                  <w:tcW w:w="2226" w:type="dxa"/>
                  <w:tcBorders>
                    <w:top w:val="single" w:color="auto" w:sz="4" w:space="0"/>
                    <w:left w:val="single" w:color="auto" w:sz="6" w:space="0"/>
                    <w:bottom w:val="single" w:color="000000" w:sz="6" w:space="0"/>
                    <w:right w:val="single" w:color="auto" w:sz="4" w:space="0"/>
                  </w:tcBorders>
                  <w:vAlign w:val="center"/>
                </w:tcPr>
                <w:p>
                  <w:pPr>
                    <w:widowControl/>
                    <w:autoSpaceDE w:val="0"/>
                    <w:spacing w:line="320" w:lineRule="exact"/>
                    <w:jc w:val="center"/>
                    <w:rPr>
                      <w:sz w:val="21"/>
                      <w:szCs w:val="21"/>
                    </w:rPr>
                  </w:pPr>
                  <w:r>
                    <w:rPr>
                      <w:sz w:val="21"/>
                      <w:szCs w:val="21"/>
                    </w:rPr>
                    <w:t>钙</w:t>
                  </w:r>
                </w:p>
              </w:tc>
              <w:tc>
                <w:tcPr>
                  <w:tcW w:w="2457" w:type="dxa"/>
                  <w:tcBorders>
                    <w:top w:val="single" w:color="auto" w:sz="4" w:space="0"/>
                    <w:left w:val="single" w:color="auto" w:sz="4" w:space="0"/>
                    <w:bottom w:val="single" w:color="000000" w:sz="6" w:space="0"/>
                    <w:right w:val="single" w:color="auto" w:sz="4" w:space="0"/>
                  </w:tcBorders>
                  <w:vAlign w:val="center"/>
                </w:tcPr>
                <w:p>
                  <w:pPr>
                    <w:jc w:val="center"/>
                    <w:rPr>
                      <w:sz w:val="21"/>
                      <w:szCs w:val="21"/>
                    </w:rPr>
                  </w:pPr>
                  <w:r>
                    <w:rPr>
                      <w:rFonts w:hint="eastAsia"/>
                      <w:sz w:val="21"/>
                      <w:szCs w:val="21"/>
                    </w:rPr>
                    <w:t>/</w:t>
                  </w:r>
                </w:p>
              </w:tc>
              <w:tc>
                <w:tcPr>
                  <w:tcW w:w="2128" w:type="dxa"/>
                  <w:tcBorders>
                    <w:top w:val="single" w:color="auto" w:sz="4" w:space="0"/>
                    <w:left w:val="single" w:color="auto" w:sz="4" w:space="0"/>
                    <w:bottom w:val="single" w:color="000000" w:sz="6" w:space="0"/>
                    <w:right w:val="single" w:color="auto" w:sz="4" w:space="0"/>
                  </w:tcBorders>
                  <w:vAlign w:val="center"/>
                </w:tcPr>
                <w:p>
                  <w:pPr>
                    <w:jc w:val="center"/>
                    <w:rPr>
                      <w:sz w:val="21"/>
                      <w:szCs w:val="21"/>
                    </w:rPr>
                  </w:pPr>
                  <w:r>
                    <w:rPr>
                      <w:rFonts w:hint="eastAsia"/>
                      <w:sz w:val="21"/>
                      <w:szCs w:val="21"/>
                    </w:rPr>
                    <w:t>/</w:t>
                  </w:r>
                </w:p>
              </w:tc>
              <w:tc>
                <w:tcPr>
                  <w:tcW w:w="2354" w:type="dxa"/>
                  <w:tcBorders>
                    <w:top w:val="single" w:color="auto" w:sz="4" w:space="0"/>
                    <w:left w:val="single" w:color="auto" w:sz="4" w:space="0"/>
                    <w:bottom w:val="single" w:color="000000" w:sz="6" w:space="0"/>
                    <w:right w:val="single" w:color="auto" w:sz="6" w:space="0"/>
                  </w:tcBorders>
                  <w:vAlign w:val="center"/>
                </w:tcPr>
                <w:p>
                  <w:pPr>
                    <w:jc w:val="center"/>
                    <w:rPr>
                      <w:sz w:val="21"/>
                      <w:szCs w:val="21"/>
                    </w:rPr>
                  </w:pPr>
                  <w:r>
                    <w:rPr>
                      <w:rFonts w:hint="eastAsia"/>
                      <w:sz w:val="21"/>
                      <w:szCs w:val="21"/>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110" w:hRule="atLeast"/>
                <w:jc w:val="center"/>
              </w:trPr>
              <w:tc>
                <w:tcPr>
                  <w:tcW w:w="2226" w:type="dxa"/>
                  <w:tcBorders>
                    <w:top w:val="single" w:color="000000" w:sz="6" w:space="0"/>
                    <w:left w:val="single" w:color="auto" w:sz="6" w:space="0"/>
                    <w:bottom w:val="single" w:color="000000" w:sz="6" w:space="0"/>
                    <w:right w:val="single" w:color="auto" w:sz="4" w:space="0"/>
                  </w:tcBorders>
                  <w:vAlign w:val="center"/>
                </w:tcPr>
                <w:p>
                  <w:pPr>
                    <w:autoSpaceDE w:val="0"/>
                    <w:jc w:val="center"/>
                    <w:rPr>
                      <w:sz w:val="21"/>
                      <w:szCs w:val="21"/>
                    </w:rPr>
                  </w:pPr>
                  <w:r>
                    <w:rPr>
                      <w:sz w:val="21"/>
                      <w:szCs w:val="21"/>
                    </w:rPr>
                    <w:t>镁</w:t>
                  </w:r>
                </w:p>
              </w:tc>
              <w:tc>
                <w:tcPr>
                  <w:tcW w:w="2457" w:type="dxa"/>
                  <w:tcBorders>
                    <w:top w:val="single" w:color="000000" w:sz="6" w:space="0"/>
                    <w:left w:val="single" w:color="auto" w:sz="4" w:space="0"/>
                    <w:bottom w:val="single" w:color="000000" w:sz="6" w:space="0"/>
                    <w:right w:val="single" w:color="auto" w:sz="4" w:space="0"/>
                  </w:tcBorders>
                  <w:vAlign w:val="center"/>
                </w:tcPr>
                <w:p>
                  <w:pPr>
                    <w:jc w:val="center"/>
                    <w:rPr>
                      <w:sz w:val="21"/>
                      <w:szCs w:val="21"/>
                    </w:rPr>
                  </w:pPr>
                  <w:r>
                    <w:rPr>
                      <w:rFonts w:hint="eastAsia"/>
                      <w:sz w:val="21"/>
                      <w:szCs w:val="21"/>
                    </w:rPr>
                    <w:t>/</w:t>
                  </w:r>
                </w:p>
              </w:tc>
              <w:tc>
                <w:tcPr>
                  <w:tcW w:w="2128" w:type="dxa"/>
                  <w:tcBorders>
                    <w:top w:val="single" w:color="000000" w:sz="6" w:space="0"/>
                    <w:left w:val="single" w:color="auto" w:sz="4" w:space="0"/>
                    <w:bottom w:val="single" w:color="000000" w:sz="6" w:space="0"/>
                    <w:right w:val="single" w:color="auto" w:sz="4" w:space="0"/>
                  </w:tcBorders>
                  <w:vAlign w:val="center"/>
                </w:tcPr>
                <w:p>
                  <w:pPr>
                    <w:jc w:val="center"/>
                    <w:rPr>
                      <w:sz w:val="21"/>
                      <w:szCs w:val="21"/>
                    </w:rPr>
                  </w:pPr>
                  <w:r>
                    <w:rPr>
                      <w:rFonts w:hint="eastAsia"/>
                      <w:sz w:val="21"/>
                      <w:szCs w:val="21"/>
                    </w:rPr>
                    <w:t>/</w:t>
                  </w:r>
                </w:p>
              </w:tc>
              <w:tc>
                <w:tcPr>
                  <w:tcW w:w="2354" w:type="dxa"/>
                  <w:tcBorders>
                    <w:top w:val="single" w:color="000000" w:sz="6" w:space="0"/>
                    <w:left w:val="single" w:color="auto" w:sz="4" w:space="0"/>
                    <w:bottom w:val="single" w:color="000000" w:sz="6" w:space="0"/>
                    <w:right w:val="single" w:color="auto" w:sz="6" w:space="0"/>
                  </w:tcBorders>
                  <w:vAlign w:val="center"/>
                </w:tcPr>
                <w:p>
                  <w:pPr>
                    <w:jc w:val="center"/>
                    <w:rPr>
                      <w:sz w:val="21"/>
                      <w:szCs w:val="21"/>
                    </w:rPr>
                  </w:pPr>
                  <w:r>
                    <w:rPr>
                      <w:rFonts w:hint="eastAsia"/>
                      <w:sz w:val="21"/>
                      <w:szCs w:val="21"/>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140" w:hRule="atLeast"/>
                <w:jc w:val="center"/>
              </w:trPr>
              <w:tc>
                <w:tcPr>
                  <w:tcW w:w="2226" w:type="dxa"/>
                  <w:tcBorders>
                    <w:top w:val="single" w:color="000000" w:sz="6" w:space="0"/>
                    <w:left w:val="single" w:color="auto" w:sz="6" w:space="0"/>
                    <w:bottom w:val="single" w:color="000000" w:sz="6" w:space="0"/>
                    <w:right w:val="single" w:color="auto" w:sz="4" w:space="0"/>
                  </w:tcBorders>
                  <w:vAlign w:val="center"/>
                </w:tcPr>
                <w:p>
                  <w:pPr>
                    <w:widowControl/>
                    <w:autoSpaceDE w:val="0"/>
                    <w:spacing w:line="320" w:lineRule="exact"/>
                    <w:jc w:val="center"/>
                    <w:rPr>
                      <w:sz w:val="21"/>
                      <w:szCs w:val="21"/>
                    </w:rPr>
                  </w:pPr>
                  <w:r>
                    <w:rPr>
                      <w:sz w:val="21"/>
                      <w:szCs w:val="21"/>
                    </w:rPr>
                    <w:t>碳酸根</w:t>
                  </w:r>
                </w:p>
              </w:tc>
              <w:tc>
                <w:tcPr>
                  <w:tcW w:w="2457" w:type="dxa"/>
                  <w:tcBorders>
                    <w:top w:val="single" w:color="000000" w:sz="6" w:space="0"/>
                    <w:left w:val="single" w:color="auto" w:sz="4" w:space="0"/>
                    <w:bottom w:val="single" w:color="000000" w:sz="6" w:space="0"/>
                    <w:right w:val="single" w:color="auto" w:sz="4" w:space="0"/>
                  </w:tcBorders>
                  <w:vAlign w:val="center"/>
                </w:tcPr>
                <w:p>
                  <w:pPr>
                    <w:autoSpaceDE w:val="0"/>
                    <w:jc w:val="center"/>
                    <w:rPr>
                      <w:sz w:val="21"/>
                      <w:szCs w:val="21"/>
                    </w:rPr>
                  </w:pPr>
                  <w:r>
                    <w:rPr>
                      <w:sz w:val="21"/>
                      <w:szCs w:val="21"/>
                    </w:rPr>
                    <w:t>未检出</w:t>
                  </w:r>
                </w:p>
              </w:tc>
              <w:tc>
                <w:tcPr>
                  <w:tcW w:w="2128" w:type="dxa"/>
                  <w:tcBorders>
                    <w:top w:val="single" w:color="000000" w:sz="6" w:space="0"/>
                    <w:left w:val="single" w:color="auto" w:sz="4" w:space="0"/>
                    <w:bottom w:val="single" w:color="000000" w:sz="6" w:space="0"/>
                    <w:right w:val="single" w:color="auto" w:sz="4" w:space="0"/>
                  </w:tcBorders>
                  <w:vAlign w:val="center"/>
                </w:tcPr>
                <w:p>
                  <w:pPr>
                    <w:autoSpaceDE w:val="0"/>
                    <w:jc w:val="center"/>
                    <w:rPr>
                      <w:sz w:val="21"/>
                      <w:szCs w:val="21"/>
                    </w:rPr>
                  </w:pPr>
                  <w:r>
                    <w:rPr>
                      <w:sz w:val="21"/>
                      <w:szCs w:val="21"/>
                    </w:rPr>
                    <w:t>未检出</w:t>
                  </w:r>
                </w:p>
              </w:tc>
              <w:tc>
                <w:tcPr>
                  <w:tcW w:w="2354" w:type="dxa"/>
                  <w:tcBorders>
                    <w:top w:val="single" w:color="000000" w:sz="6" w:space="0"/>
                    <w:left w:val="single" w:color="auto" w:sz="4" w:space="0"/>
                    <w:bottom w:val="single" w:color="000000" w:sz="6" w:space="0"/>
                    <w:right w:val="single" w:color="auto" w:sz="6" w:space="0"/>
                  </w:tcBorders>
                  <w:vAlign w:val="center"/>
                </w:tcPr>
                <w:p>
                  <w:pPr>
                    <w:autoSpaceDE w:val="0"/>
                    <w:jc w:val="center"/>
                    <w:rPr>
                      <w:sz w:val="21"/>
                      <w:szCs w:val="21"/>
                    </w:rPr>
                  </w:pPr>
                  <w:r>
                    <w:rPr>
                      <w:sz w:val="21"/>
                      <w:szCs w:val="21"/>
                    </w:rPr>
                    <w:t>未检出</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187" w:hRule="atLeast"/>
                <w:jc w:val="center"/>
              </w:trPr>
              <w:tc>
                <w:tcPr>
                  <w:tcW w:w="2226" w:type="dxa"/>
                  <w:tcBorders>
                    <w:top w:val="single" w:color="000000" w:sz="6" w:space="0"/>
                    <w:left w:val="single" w:color="auto" w:sz="6" w:space="0"/>
                    <w:bottom w:val="single" w:color="auto" w:sz="4" w:space="0"/>
                    <w:right w:val="single" w:color="auto" w:sz="4" w:space="0"/>
                  </w:tcBorders>
                  <w:vAlign w:val="center"/>
                </w:tcPr>
                <w:p>
                  <w:pPr>
                    <w:widowControl/>
                    <w:autoSpaceDE w:val="0"/>
                    <w:jc w:val="center"/>
                    <w:rPr>
                      <w:sz w:val="21"/>
                      <w:szCs w:val="21"/>
                    </w:rPr>
                  </w:pPr>
                  <w:r>
                    <w:rPr>
                      <w:sz w:val="21"/>
                      <w:szCs w:val="21"/>
                    </w:rPr>
                    <w:t>碳酸氢根</w:t>
                  </w:r>
                </w:p>
              </w:tc>
              <w:tc>
                <w:tcPr>
                  <w:tcW w:w="2457" w:type="dxa"/>
                  <w:tcBorders>
                    <w:top w:val="single" w:color="000000" w:sz="6"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w:t>
                  </w:r>
                </w:p>
              </w:tc>
              <w:tc>
                <w:tcPr>
                  <w:tcW w:w="2128" w:type="dxa"/>
                  <w:tcBorders>
                    <w:top w:val="single" w:color="000000" w:sz="6"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w:t>
                  </w:r>
                </w:p>
              </w:tc>
              <w:tc>
                <w:tcPr>
                  <w:tcW w:w="2354" w:type="dxa"/>
                  <w:tcBorders>
                    <w:top w:val="single" w:color="000000" w:sz="6" w:space="0"/>
                    <w:left w:val="single" w:color="auto" w:sz="4" w:space="0"/>
                    <w:bottom w:val="single" w:color="auto" w:sz="4" w:space="0"/>
                    <w:right w:val="single" w:color="auto" w:sz="6" w:space="0"/>
                  </w:tcBorders>
                  <w:vAlign w:val="center"/>
                </w:tcPr>
                <w:p>
                  <w:pPr>
                    <w:jc w:val="center"/>
                    <w:rPr>
                      <w:sz w:val="21"/>
                      <w:szCs w:val="21"/>
                    </w:rPr>
                  </w:pPr>
                  <w:r>
                    <w:rPr>
                      <w:rFonts w:hint="eastAsia"/>
                      <w:sz w:val="21"/>
                      <w:szCs w:val="21"/>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02"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widowControl/>
                    <w:autoSpaceDE w:val="0"/>
                    <w:spacing w:line="320" w:lineRule="exact"/>
                    <w:jc w:val="center"/>
                    <w:rPr>
                      <w:sz w:val="21"/>
                      <w:szCs w:val="21"/>
                    </w:rPr>
                  </w:pPr>
                  <w:r>
                    <w:rPr>
                      <w:sz w:val="21"/>
                      <w:szCs w:val="21"/>
                    </w:rPr>
                    <w:t>硫酸盐</w:t>
                  </w:r>
                </w:p>
              </w:tc>
              <w:tc>
                <w:tcPr>
                  <w:tcW w:w="2457"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0.1</w:t>
                  </w:r>
                  <w:r>
                    <w:rPr>
                      <w:sz w:val="21"/>
                      <w:szCs w:val="21"/>
                    </w:rPr>
                    <w:t>03</w:t>
                  </w:r>
                </w:p>
              </w:tc>
              <w:tc>
                <w:tcPr>
                  <w:tcW w:w="2128"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0.11</w:t>
                  </w:r>
                  <w:r>
                    <w:rPr>
                      <w:sz w:val="21"/>
                      <w:szCs w:val="21"/>
                    </w:rPr>
                    <w:t>4</w:t>
                  </w:r>
                </w:p>
              </w:tc>
              <w:tc>
                <w:tcPr>
                  <w:tcW w:w="2354" w:type="dxa"/>
                  <w:tcBorders>
                    <w:top w:val="single" w:color="auto" w:sz="4" w:space="0"/>
                    <w:left w:val="single" w:color="auto" w:sz="4" w:space="0"/>
                    <w:bottom w:val="single" w:color="auto" w:sz="4" w:space="0"/>
                    <w:right w:val="single" w:color="auto" w:sz="6" w:space="0"/>
                  </w:tcBorders>
                  <w:vAlign w:val="center"/>
                </w:tcPr>
                <w:p>
                  <w:pPr>
                    <w:jc w:val="center"/>
                    <w:rPr>
                      <w:sz w:val="21"/>
                      <w:szCs w:val="21"/>
                    </w:rPr>
                  </w:pPr>
                  <w:r>
                    <w:rPr>
                      <w:rFonts w:hint="eastAsia"/>
                      <w:sz w:val="21"/>
                      <w:szCs w:val="21"/>
                    </w:rPr>
                    <w:t>0.1</w:t>
                  </w:r>
                  <w:r>
                    <w:rPr>
                      <w:sz w:val="21"/>
                      <w:szCs w:val="21"/>
                    </w:rPr>
                    <w:t>13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sz w:val="21"/>
                      <w:szCs w:val="21"/>
                    </w:rPr>
                  </w:pPr>
                  <w:r>
                    <w:rPr>
                      <w:sz w:val="21"/>
                      <w:szCs w:val="21"/>
                    </w:rPr>
                    <w:t>硝酸盐</w:t>
                  </w:r>
                </w:p>
              </w:tc>
              <w:tc>
                <w:tcPr>
                  <w:tcW w:w="2457"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0.090</w:t>
                  </w:r>
                </w:p>
              </w:tc>
              <w:tc>
                <w:tcPr>
                  <w:tcW w:w="2128"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0.1</w:t>
                  </w:r>
                  <w:r>
                    <w:rPr>
                      <w:sz w:val="21"/>
                      <w:szCs w:val="21"/>
                    </w:rPr>
                    <w:t>12</w:t>
                  </w:r>
                </w:p>
              </w:tc>
              <w:tc>
                <w:tcPr>
                  <w:tcW w:w="2354" w:type="dxa"/>
                  <w:tcBorders>
                    <w:top w:val="single" w:color="auto" w:sz="4" w:space="0"/>
                    <w:left w:val="single" w:color="auto" w:sz="4" w:space="0"/>
                    <w:bottom w:val="single" w:color="auto" w:sz="4" w:space="0"/>
                    <w:right w:val="single" w:color="auto" w:sz="6" w:space="0"/>
                  </w:tcBorders>
                  <w:vAlign w:val="center"/>
                </w:tcPr>
                <w:p>
                  <w:pPr>
                    <w:jc w:val="center"/>
                    <w:rPr>
                      <w:sz w:val="21"/>
                      <w:szCs w:val="21"/>
                    </w:rPr>
                  </w:pPr>
                  <w:r>
                    <w:rPr>
                      <w:rFonts w:hint="eastAsia"/>
                      <w:sz w:val="21"/>
                      <w:szCs w:val="21"/>
                    </w:rPr>
                    <w:t>0.</w:t>
                  </w:r>
                  <w:r>
                    <w:rPr>
                      <w:sz w:val="21"/>
                      <w:szCs w:val="21"/>
                    </w:rPr>
                    <w:t>104</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sz w:val="21"/>
                      <w:szCs w:val="21"/>
                    </w:rPr>
                  </w:pPr>
                  <w:r>
                    <w:rPr>
                      <w:sz w:val="21"/>
                      <w:szCs w:val="21"/>
                    </w:rPr>
                    <w:t>亚硝酸盐</w:t>
                  </w:r>
                </w:p>
              </w:tc>
              <w:tc>
                <w:tcPr>
                  <w:tcW w:w="2457" w:type="dxa"/>
                  <w:tcBorders>
                    <w:top w:val="single" w:color="auto" w:sz="4" w:space="0"/>
                    <w:left w:val="single" w:color="auto" w:sz="4" w:space="0"/>
                    <w:bottom w:val="single" w:color="auto" w:sz="4" w:space="0"/>
                    <w:right w:val="single" w:color="auto" w:sz="4" w:space="0"/>
                  </w:tcBorders>
                  <w:vAlign w:val="center"/>
                </w:tcPr>
                <w:p>
                  <w:pPr>
                    <w:autoSpaceDE w:val="0"/>
                    <w:jc w:val="center"/>
                    <w:rPr>
                      <w:sz w:val="21"/>
                      <w:szCs w:val="21"/>
                    </w:rPr>
                  </w:pPr>
                  <w:r>
                    <w:rPr>
                      <w:sz w:val="21"/>
                      <w:szCs w:val="21"/>
                    </w:rPr>
                    <w:t>未检出</w:t>
                  </w:r>
                </w:p>
              </w:tc>
              <w:tc>
                <w:tcPr>
                  <w:tcW w:w="2128" w:type="dxa"/>
                  <w:tcBorders>
                    <w:top w:val="single" w:color="auto" w:sz="4" w:space="0"/>
                    <w:left w:val="single" w:color="auto" w:sz="4" w:space="0"/>
                    <w:bottom w:val="single" w:color="auto" w:sz="4" w:space="0"/>
                    <w:right w:val="single" w:color="auto" w:sz="4" w:space="0"/>
                  </w:tcBorders>
                  <w:vAlign w:val="center"/>
                </w:tcPr>
                <w:p>
                  <w:pPr>
                    <w:autoSpaceDE w:val="0"/>
                    <w:jc w:val="center"/>
                    <w:rPr>
                      <w:sz w:val="21"/>
                      <w:szCs w:val="21"/>
                    </w:rPr>
                  </w:pPr>
                  <w:r>
                    <w:rPr>
                      <w:sz w:val="21"/>
                      <w:szCs w:val="21"/>
                    </w:rPr>
                    <w:t>未检出</w:t>
                  </w:r>
                </w:p>
              </w:tc>
              <w:tc>
                <w:tcPr>
                  <w:tcW w:w="2354" w:type="dxa"/>
                  <w:tcBorders>
                    <w:top w:val="single" w:color="auto" w:sz="4" w:space="0"/>
                    <w:left w:val="single" w:color="auto" w:sz="4" w:space="0"/>
                    <w:bottom w:val="single" w:color="auto" w:sz="4" w:space="0"/>
                    <w:right w:val="single" w:color="auto" w:sz="6" w:space="0"/>
                  </w:tcBorders>
                  <w:vAlign w:val="center"/>
                </w:tcPr>
                <w:p>
                  <w:pPr>
                    <w:autoSpaceDE w:val="0"/>
                    <w:jc w:val="center"/>
                    <w:rPr>
                      <w:sz w:val="21"/>
                      <w:szCs w:val="21"/>
                    </w:rPr>
                  </w:pPr>
                  <w:r>
                    <w:rPr>
                      <w:sz w:val="21"/>
                      <w:szCs w:val="21"/>
                    </w:rPr>
                    <w:t>未检出</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sz w:val="21"/>
                      <w:szCs w:val="21"/>
                    </w:rPr>
                  </w:pPr>
                  <w:r>
                    <w:rPr>
                      <w:sz w:val="21"/>
                      <w:szCs w:val="21"/>
                    </w:rPr>
                    <w:t>氯化物</w:t>
                  </w:r>
                </w:p>
              </w:tc>
              <w:tc>
                <w:tcPr>
                  <w:tcW w:w="2457"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0.01</w:t>
                  </w:r>
                  <w:r>
                    <w:rPr>
                      <w:sz w:val="21"/>
                      <w:szCs w:val="21"/>
                    </w:rPr>
                    <w:t>71</w:t>
                  </w:r>
                </w:p>
              </w:tc>
              <w:tc>
                <w:tcPr>
                  <w:tcW w:w="2128"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0.0</w:t>
                  </w:r>
                  <w:r>
                    <w:rPr>
                      <w:sz w:val="21"/>
                      <w:szCs w:val="21"/>
                    </w:rPr>
                    <w:t>177</w:t>
                  </w:r>
                </w:p>
              </w:tc>
              <w:tc>
                <w:tcPr>
                  <w:tcW w:w="2354" w:type="dxa"/>
                  <w:tcBorders>
                    <w:top w:val="single" w:color="auto" w:sz="4" w:space="0"/>
                    <w:left w:val="single" w:color="auto" w:sz="4" w:space="0"/>
                    <w:bottom w:val="single" w:color="auto" w:sz="4" w:space="0"/>
                    <w:right w:val="single" w:color="auto" w:sz="6" w:space="0"/>
                  </w:tcBorders>
                  <w:vAlign w:val="center"/>
                </w:tcPr>
                <w:p>
                  <w:pPr>
                    <w:jc w:val="center"/>
                    <w:rPr>
                      <w:sz w:val="21"/>
                      <w:szCs w:val="21"/>
                    </w:rPr>
                  </w:pPr>
                  <w:r>
                    <w:rPr>
                      <w:rFonts w:hint="eastAsia"/>
                      <w:sz w:val="21"/>
                      <w:szCs w:val="21"/>
                    </w:rPr>
                    <w:t>0.0175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sz w:val="21"/>
                      <w:szCs w:val="21"/>
                    </w:rPr>
                  </w:pPr>
                  <w:r>
                    <w:rPr>
                      <w:sz w:val="21"/>
                      <w:szCs w:val="21"/>
                    </w:rPr>
                    <w:t>pH</w:t>
                  </w:r>
                  <w:r>
                    <w:rPr>
                      <w:rFonts w:ascii="宋体" w:hAnsi="宋体"/>
                      <w:sz w:val="21"/>
                      <w:szCs w:val="21"/>
                    </w:rPr>
                    <w:t>（无量纲）</w:t>
                  </w:r>
                </w:p>
              </w:tc>
              <w:tc>
                <w:tcPr>
                  <w:tcW w:w="2457"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0.46</w:t>
                  </w:r>
                </w:p>
              </w:tc>
              <w:tc>
                <w:tcPr>
                  <w:tcW w:w="2128"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0.22</w:t>
                  </w:r>
                </w:p>
              </w:tc>
              <w:tc>
                <w:tcPr>
                  <w:tcW w:w="2354" w:type="dxa"/>
                  <w:tcBorders>
                    <w:top w:val="single" w:color="auto" w:sz="4" w:space="0"/>
                    <w:left w:val="single" w:color="auto" w:sz="4" w:space="0"/>
                    <w:bottom w:val="single" w:color="auto" w:sz="4" w:space="0"/>
                    <w:right w:val="single" w:color="auto" w:sz="6" w:space="0"/>
                  </w:tcBorders>
                  <w:vAlign w:val="center"/>
                </w:tcPr>
                <w:p>
                  <w:pPr>
                    <w:jc w:val="center"/>
                    <w:rPr>
                      <w:sz w:val="21"/>
                      <w:szCs w:val="21"/>
                    </w:rPr>
                  </w:pPr>
                  <w:r>
                    <w:rPr>
                      <w:rFonts w:hint="eastAsia"/>
                      <w:sz w:val="21"/>
                      <w:szCs w:val="21"/>
                    </w:rPr>
                    <w:t>0.23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sz w:val="21"/>
                      <w:szCs w:val="21"/>
                    </w:rPr>
                  </w:pPr>
                  <w:r>
                    <w:rPr>
                      <w:sz w:val="21"/>
                      <w:szCs w:val="21"/>
                    </w:rPr>
                    <w:t>氨氮</w:t>
                  </w:r>
                </w:p>
              </w:tc>
              <w:tc>
                <w:tcPr>
                  <w:tcW w:w="2457" w:type="dxa"/>
                  <w:tcBorders>
                    <w:top w:val="single" w:color="auto" w:sz="4" w:space="0"/>
                    <w:left w:val="single" w:color="auto" w:sz="4" w:space="0"/>
                    <w:bottom w:val="single" w:color="auto" w:sz="4" w:space="0"/>
                    <w:right w:val="single" w:color="auto" w:sz="4" w:space="0"/>
                  </w:tcBorders>
                  <w:vAlign w:val="center"/>
                </w:tcPr>
                <w:p>
                  <w:pPr>
                    <w:autoSpaceDE w:val="0"/>
                    <w:jc w:val="center"/>
                    <w:rPr>
                      <w:sz w:val="21"/>
                      <w:szCs w:val="21"/>
                    </w:rPr>
                  </w:pPr>
                  <w:r>
                    <w:rPr>
                      <w:rFonts w:hint="eastAsia"/>
                      <w:sz w:val="21"/>
                      <w:szCs w:val="21"/>
                    </w:rPr>
                    <w:t>0.0</w:t>
                  </w:r>
                  <w:r>
                    <w:rPr>
                      <w:sz w:val="21"/>
                      <w:szCs w:val="21"/>
                    </w:rPr>
                    <w:t>98</w:t>
                  </w:r>
                </w:p>
              </w:tc>
              <w:tc>
                <w:tcPr>
                  <w:tcW w:w="2128" w:type="dxa"/>
                  <w:tcBorders>
                    <w:top w:val="single" w:color="auto" w:sz="4" w:space="0"/>
                    <w:left w:val="single" w:color="auto" w:sz="4" w:space="0"/>
                    <w:bottom w:val="single" w:color="auto" w:sz="4" w:space="0"/>
                    <w:right w:val="single" w:color="auto" w:sz="4" w:space="0"/>
                  </w:tcBorders>
                  <w:vAlign w:val="center"/>
                </w:tcPr>
                <w:p>
                  <w:pPr>
                    <w:autoSpaceDE w:val="0"/>
                    <w:jc w:val="center"/>
                    <w:rPr>
                      <w:sz w:val="21"/>
                      <w:szCs w:val="21"/>
                    </w:rPr>
                  </w:pPr>
                  <w:r>
                    <w:rPr>
                      <w:rFonts w:hint="eastAsia"/>
                      <w:sz w:val="21"/>
                      <w:szCs w:val="21"/>
                    </w:rPr>
                    <w:t>0</w:t>
                  </w:r>
                  <w:r>
                    <w:rPr>
                      <w:sz w:val="21"/>
                      <w:szCs w:val="21"/>
                    </w:rPr>
                    <w:t>.058</w:t>
                  </w:r>
                </w:p>
              </w:tc>
              <w:tc>
                <w:tcPr>
                  <w:tcW w:w="2354" w:type="dxa"/>
                  <w:tcBorders>
                    <w:top w:val="single" w:color="auto" w:sz="4" w:space="0"/>
                    <w:left w:val="single" w:color="auto" w:sz="4" w:space="0"/>
                    <w:bottom w:val="single" w:color="auto" w:sz="4" w:space="0"/>
                    <w:right w:val="single" w:color="auto" w:sz="6" w:space="0"/>
                  </w:tcBorders>
                  <w:vAlign w:val="center"/>
                </w:tcPr>
                <w:p>
                  <w:pPr>
                    <w:autoSpaceDE w:val="0"/>
                    <w:jc w:val="center"/>
                    <w:rPr>
                      <w:sz w:val="21"/>
                      <w:szCs w:val="21"/>
                    </w:rPr>
                  </w:pPr>
                  <w:r>
                    <w:rPr>
                      <w:rFonts w:hint="eastAsia"/>
                      <w:sz w:val="21"/>
                      <w:szCs w:val="21"/>
                    </w:rPr>
                    <w:t>0</w:t>
                  </w:r>
                  <w:r>
                    <w:rPr>
                      <w:sz w:val="21"/>
                      <w:szCs w:val="21"/>
                    </w:rPr>
                    <w:t>.082</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sz w:val="21"/>
                      <w:szCs w:val="21"/>
                    </w:rPr>
                  </w:pPr>
                  <w:r>
                    <w:rPr>
                      <w:sz w:val="21"/>
                      <w:szCs w:val="21"/>
                    </w:rPr>
                    <w:t>六价铬</w:t>
                  </w:r>
                </w:p>
              </w:tc>
              <w:tc>
                <w:tcPr>
                  <w:tcW w:w="2457" w:type="dxa"/>
                  <w:tcBorders>
                    <w:top w:val="single" w:color="auto" w:sz="4" w:space="0"/>
                    <w:left w:val="single" w:color="auto" w:sz="4" w:space="0"/>
                    <w:bottom w:val="single" w:color="auto" w:sz="4" w:space="0"/>
                    <w:right w:val="single" w:color="auto" w:sz="4" w:space="0"/>
                  </w:tcBorders>
                  <w:vAlign w:val="center"/>
                </w:tcPr>
                <w:p>
                  <w:pPr>
                    <w:autoSpaceDE w:val="0"/>
                    <w:jc w:val="center"/>
                    <w:rPr>
                      <w:sz w:val="21"/>
                      <w:szCs w:val="21"/>
                    </w:rPr>
                  </w:pPr>
                  <w:r>
                    <w:rPr>
                      <w:sz w:val="21"/>
                      <w:szCs w:val="21"/>
                    </w:rPr>
                    <w:t>未检出</w:t>
                  </w:r>
                </w:p>
              </w:tc>
              <w:tc>
                <w:tcPr>
                  <w:tcW w:w="2128" w:type="dxa"/>
                  <w:tcBorders>
                    <w:top w:val="single" w:color="auto" w:sz="4" w:space="0"/>
                    <w:left w:val="single" w:color="auto" w:sz="4" w:space="0"/>
                    <w:bottom w:val="single" w:color="auto" w:sz="4" w:space="0"/>
                    <w:right w:val="single" w:color="auto" w:sz="4" w:space="0"/>
                  </w:tcBorders>
                  <w:vAlign w:val="center"/>
                </w:tcPr>
                <w:p>
                  <w:pPr>
                    <w:autoSpaceDE w:val="0"/>
                    <w:jc w:val="center"/>
                    <w:rPr>
                      <w:sz w:val="21"/>
                      <w:szCs w:val="21"/>
                    </w:rPr>
                  </w:pPr>
                  <w:r>
                    <w:rPr>
                      <w:sz w:val="21"/>
                      <w:szCs w:val="21"/>
                    </w:rPr>
                    <w:t>未检出</w:t>
                  </w:r>
                </w:p>
              </w:tc>
              <w:tc>
                <w:tcPr>
                  <w:tcW w:w="2354" w:type="dxa"/>
                  <w:tcBorders>
                    <w:top w:val="single" w:color="auto" w:sz="4" w:space="0"/>
                    <w:left w:val="single" w:color="auto" w:sz="4" w:space="0"/>
                    <w:bottom w:val="single" w:color="auto" w:sz="4" w:space="0"/>
                    <w:right w:val="single" w:color="auto" w:sz="6" w:space="0"/>
                  </w:tcBorders>
                  <w:vAlign w:val="center"/>
                </w:tcPr>
                <w:p>
                  <w:pPr>
                    <w:autoSpaceDE w:val="0"/>
                    <w:jc w:val="center"/>
                    <w:rPr>
                      <w:sz w:val="21"/>
                      <w:szCs w:val="21"/>
                    </w:rPr>
                  </w:pPr>
                  <w:r>
                    <w:rPr>
                      <w:sz w:val="21"/>
                      <w:szCs w:val="21"/>
                    </w:rPr>
                    <w:t>未检出</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226" w:type="dxa"/>
                  <w:tcBorders>
                    <w:top w:val="single" w:color="auto" w:sz="4" w:space="0"/>
                    <w:left w:val="single" w:color="auto" w:sz="6" w:space="0"/>
                    <w:bottom w:val="single" w:color="auto" w:sz="4" w:space="0"/>
                    <w:right w:val="single" w:color="auto" w:sz="4" w:space="0"/>
                  </w:tcBorders>
                  <w:vAlign w:val="center"/>
                </w:tcPr>
                <w:p>
                  <w:pPr>
                    <w:widowControl/>
                    <w:autoSpaceDE w:val="0"/>
                    <w:jc w:val="center"/>
                    <w:rPr>
                      <w:sz w:val="21"/>
                      <w:szCs w:val="21"/>
                    </w:rPr>
                  </w:pPr>
                  <w:r>
                    <w:rPr>
                      <w:sz w:val="21"/>
                      <w:szCs w:val="21"/>
                    </w:rPr>
                    <w:t>溶解性总固体</w:t>
                  </w:r>
                </w:p>
              </w:tc>
              <w:tc>
                <w:tcPr>
                  <w:tcW w:w="2457"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0.198</w:t>
                  </w:r>
                </w:p>
              </w:tc>
              <w:tc>
                <w:tcPr>
                  <w:tcW w:w="2128"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0.21</w:t>
                  </w:r>
                  <w:r>
                    <w:rPr>
                      <w:sz w:val="21"/>
                      <w:szCs w:val="21"/>
                    </w:rPr>
                    <w:t>0</w:t>
                  </w:r>
                </w:p>
              </w:tc>
              <w:tc>
                <w:tcPr>
                  <w:tcW w:w="2354" w:type="dxa"/>
                  <w:tcBorders>
                    <w:top w:val="single" w:color="auto" w:sz="4" w:space="0"/>
                    <w:left w:val="single" w:color="auto" w:sz="4" w:space="0"/>
                    <w:bottom w:val="single" w:color="auto" w:sz="4" w:space="0"/>
                    <w:right w:val="single" w:color="auto" w:sz="6" w:space="0"/>
                  </w:tcBorders>
                  <w:vAlign w:val="center"/>
                </w:tcPr>
                <w:p>
                  <w:pPr>
                    <w:jc w:val="center"/>
                    <w:rPr>
                      <w:sz w:val="21"/>
                      <w:szCs w:val="21"/>
                    </w:rPr>
                  </w:pPr>
                  <w:r>
                    <w:rPr>
                      <w:rFonts w:hint="eastAsia"/>
                      <w:sz w:val="21"/>
                      <w:szCs w:val="21"/>
                    </w:rPr>
                    <w:t>0.21</w:t>
                  </w:r>
                  <w:r>
                    <w:rPr>
                      <w:sz w:val="21"/>
                      <w:szCs w:val="21"/>
                    </w:rPr>
                    <w:t>1</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226" w:type="dxa"/>
                  <w:tcBorders>
                    <w:top w:val="single" w:color="auto" w:sz="4" w:space="0"/>
                    <w:left w:val="single" w:color="auto" w:sz="6" w:space="0"/>
                    <w:bottom w:val="single" w:color="auto" w:sz="6" w:space="0"/>
                    <w:right w:val="single" w:color="auto" w:sz="4" w:space="0"/>
                  </w:tcBorders>
                  <w:vAlign w:val="center"/>
                </w:tcPr>
                <w:p>
                  <w:pPr>
                    <w:widowControl/>
                    <w:autoSpaceDE w:val="0"/>
                    <w:jc w:val="center"/>
                    <w:rPr>
                      <w:sz w:val="21"/>
                      <w:szCs w:val="21"/>
                    </w:rPr>
                  </w:pPr>
                  <w:r>
                    <w:rPr>
                      <w:sz w:val="21"/>
                      <w:szCs w:val="21"/>
                    </w:rPr>
                    <w:t>耗氧量（COD</w:t>
                  </w:r>
                  <w:r>
                    <w:rPr>
                      <w:sz w:val="21"/>
                      <w:szCs w:val="21"/>
                      <w:vertAlign w:val="subscript"/>
                    </w:rPr>
                    <w:t>Mn</w:t>
                  </w:r>
                  <w:r>
                    <w:rPr>
                      <w:sz w:val="21"/>
                      <w:szCs w:val="21"/>
                    </w:rPr>
                    <w:t>法，以O</w:t>
                  </w:r>
                  <w:r>
                    <w:rPr>
                      <w:sz w:val="21"/>
                      <w:szCs w:val="21"/>
                      <w:vertAlign w:val="subscript"/>
                    </w:rPr>
                    <w:t>2</w:t>
                  </w:r>
                  <w:r>
                    <w:rPr>
                      <w:sz w:val="21"/>
                      <w:szCs w:val="21"/>
                    </w:rPr>
                    <w:t>计）</w:t>
                  </w:r>
                </w:p>
              </w:tc>
              <w:tc>
                <w:tcPr>
                  <w:tcW w:w="2457" w:type="dxa"/>
                  <w:tcBorders>
                    <w:top w:val="single" w:color="auto" w:sz="4" w:space="0"/>
                    <w:left w:val="single" w:color="auto" w:sz="4" w:space="0"/>
                    <w:bottom w:val="single" w:color="auto" w:sz="6" w:space="0"/>
                    <w:right w:val="single" w:color="auto" w:sz="4" w:space="0"/>
                  </w:tcBorders>
                  <w:vAlign w:val="center"/>
                </w:tcPr>
                <w:p>
                  <w:pPr>
                    <w:jc w:val="center"/>
                    <w:rPr>
                      <w:sz w:val="21"/>
                      <w:szCs w:val="21"/>
                    </w:rPr>
                  </w:pPr>
                  <w:r>
                    <w:rPr>
                      <w:rFonts w:hint="eastAsia"/>
                      <w:sz w:val="21"/>
                      <w:szCs w:val="21"/>
                    </w:rPr>
                    <w:t>0.2</w:t>
                  </w:r>
                </w:p>
              </w:tc>
              <w:tc>
                <w:tcPr>
                  <w:tcW w:w="2128" w:type="dxa"/>
                  <w:tcBorders>
                    <w:top w:val="single" w:color="auto" w:sz="4" w:space="0"/>
                    <w:left w:val="single" w:color="auto" w:sz="4" w:space="0"/>
                    <w:bottom w:val="single" w:color="auto" w:sz="6" w:space="0"/>
                    <w:right w:val="single" w:color="auto" w:sz="4" w:space="0"/>
                  </w:tcBorders>
                  <w:vAlign w:val="center"/>
                </w:tcPr>
                <w:p>
                  <w:pPr>
                    <w:jc w:val="center"/>
                    <w:rPr>
                      <w:sz w:val="21"/>
                      <w:szCs w:val="21"/>
                    </w:rPr>
                  </w:pPr>
                  <w:r>
                    <w:rPr>
                      <w:sz w:val="21"/>
                      <w:szCs w:val="21"/>
                    </w:rPr>
                    <w:t>0.17</w:t>
                  </w:r>
                </w:p>
              </w:tc>
              <w:tc>
                <w:tcPr>
                  <w:tcW w:w="2354" w:type="dxa"/>
                  <w:tcBorders>
                    <w:top w:val="single" w:color="auto" w:sz="4" w:space="0"/>
                    <w:left w:val="single" w:color="auto" w:sz="4" w:space="0"/>
                    <w:bottom w:val="single" w:color="auto" w:sz="6" w:space="0"/>
                    <w:right w:val="single" w:color="auto" w:sz="6" w:space="0"/>
                  </w:tcBorders>
                  <w:vAlign w:val="center"/>
                </w:tcPr>
                <w:p>
                  <w:pPr>
                    <w:jc w:val="center"/>
                    <w:rPr>
                      <w:sz w:val="21"/>
                      <w:szCs w:val="21"/>
                    </w:rPr>
                  </w:pPr>
                  <w:r>
                    <w:rPr>
                      <w:rFonts w:hint="eastAsia"/>
                      <w:sz w:val="21"/>
                      <w:szCs w:val="21"/>
                    </w:rPr>
                    <w:t>0.1</w:t>
                  </w:r>
                  <w:r>
                    <w:rPr>
                      <w:sz w:val="21"/>
                      <w:szCs w:val="21"/>
                    </w:rPr>
                    <w:t>7</w:t>
                  </w:r>
                </w:p>
              </w:tc>
            </w:tr>
          </w:tbl>
          <w:p>
            <w:pPr>
              <w:pStyle w:val="29"/>
              <w:autoSpaceDE w:val="0"/>
              <w:spacing w:line="360" w:lineRule="auto"/>
              <w:ind w:left="0" w:leftChars="0" w:firstLine="480"/>
              <w:rPr>
                <w:rFonts w:cs="Times New Roman"/>
                <w:kern w:val="0"/>
                <w:sz w:val="24"/>
                <w:szCs w:val="24"/>
              </w:rPr>
            </w:pPr>
            <w:r>
              <w:rPr>
                <w:rFonts w:cs="Times New Roman"/>
                <w:sz w:val="24"/>
                <w:szCs w:val="24"/>
              </w:rPr>
              <w:t>根据评价结果，本次取得的</w:t>
            </w:r>
            <w:r>
              <w:rPr>
                <w:rFonts w:hint="eastAsia" w:cs="Times New Roman"/>
                <w:sz w:val="24"/>
                <w:szCs w:val="24"/>
              </w:rPr>
              <w:t>3</w:t>
            </w:r>
            <w:r>
              <w:rPr>
                <w:rFonts w:cs="Times New Roman"/>
                <w:sz w:val="24"/>
                <w:szCs w:val="24"/>
              </w:rPr>
              <w:t>个地下水样中，地下水各检测指标均满足《地下水质量标准》（GB/T1484-2017）中的</w:t>
            </w:r>
            <w:r>
              <w:rPr>
                <w:rFonts w:hint="eastAsia" w:ascii="宋体" w:hAnsi="宋体" w:cs="宋体"/>
                <w:sz w:val="24"/>
                <w:szCs w:val="24"/>
              </w:rPr>
              <w:t>Ⅲ</w:t>
            </w:r>
            <w:r>
              <w:rPr>
                <w:rFonts w:cs="Times New Roman"/>
                <w:sz w:val="24"/>
                <w:szCs w:val="24"/>
              </w:rPr>
              <w:t>类标准限值，</w:t>
            </w:r>
            <w:r>
              <w:rPr>
                <w:rFonts w:hint="eastAsia" w:cs="Times New Roman"/>
                <w:sz w:val="24"/>
                <w:szCs w:val="24"/>
              </w:rPr>
              <w:t>表明</w:t>
            </w:r>
            <w:r>
              <w:rPr>
                <w:rFonts w:cs="Times New Roman"/>
                <w:sz w:val="24"/>
                <w:szCs w:val="24"/>
              </w:rPr>
              <w:t>项目区所在地区域地下水环境</w:t>
            </w:r>
            <w:r>
              <w:rPr>
                <w:rFonts w:hint="eastAsia" w:cs="Times New Roman"/>
                <w:sz w:val="24"/>
                <w:szCs w:val="24"/>
              </w:rPr>
              <w:t>质量</w:t>
            </w:r>
            <w:r>
              <w:rPr>
                <w:rFonts w:cs="Times New Roman"/>
                <w:sz w:val="24"/>
                <w:szCs w:val="24"/>
              </w:rPr>
              <w:t>现状良好</w:t>
            </w:r>
            <w:r>
              <w:rPr>
                <w:rFonts w:hint="eastAsia" w:cs="Times New Roman"/>
                <w:sz w:val="24"/>
                <w:szCs w:val="24"/>
              </w:rPr>
              <w:t>。</w:t>
            </w:r>
          </w:p>
          <w:p>
            <w:pPr>
              <w:spacing w:line="360" w:lineRule="auto"/>
              <w:rPr>
                <w:rFonts w:cs="Times New Roman"/>
                <w:szCs w:val="24"/>
              </w:rPr>
            </w:pPr>
            <w:r>
              <w:rPr>
                <w:rFonts w:hint="eastAsia" w:cs="Times New Roman"/>
                <w:b/>
                <w:szCs w:val="24"/>
              </w:rPr>
              <w:t>五</w:t>
            </w:r>
            <w:r>
              <w:rPr>
                <w:rFonts w:cs="Times New Roman"/>
                <w:b/>
                <w:szCs w:val="24"/>
              </w:rPr>
              <w:t>、声环境质量</w:t>
            </w:r>
          </w:p>
          <w:p>
            <w:pPr>
              <w:autoSpaceDE w:val="0"/>
              <w:autoSpaceDN w:val="0"/>
              <w:adjustRightInd w:val="0"/>
              <w:snapToGrid w:val="0"/>
              <w:spacing w:line="360" w:lineRule="auto"/>
              <w:ind w:firstLine="482" w:firstLineChars="200"/>
              <w:textAlignment w:val="center"/>
              <w:rPr>
                <w:b/>
                <w:bCs/>
                <w:kern w:val="0"/>
                <w:lang w:bidi="ar"/>
              </w:rPr>
            </w:pPr>
            <w:r>
              <w:rPr>
                <w:b/>
                <w:bCs/>
                <w:kern w:val="0"/>
                <w:lang w:bidi="ar"/>
              </w:rPr>
              <w:t>1.监测点位布置</w:t>
            </w:r>
          </w:p>
          <w:p>
            <w:pPr>
              <w:autoSpaceDE w:val="0"/>
              <w:autoSpaceDN w:val="0"/>
              <w:adjustRightInd w:val="0"/>
              <w:snapToGrid w:val="0"/>
              <w:spacing w:line="360" w:lineRule="auto"/>
              <w:ind w:firstLine="480" w:firstLineChars="200"/>
              <w:textAlignment w:val="center"/>
              <w:rPr>
                <w:kern w:val="0"/>
                <w:lang w:bidi="ar"/>
              </w:rPr>
            </w:pPr>
            <w:r>
              <w:rPr>
                <w:kern w:val="0"/>
                <w:lang w:bidi="ar"/>
              </w:rPr>
              <w:t>本次噪声监测点位共设置5个，噪声现状监测点位布置见</w:t>
            </w:r>
            <w:r>
              <w:rPr>
                <w:rFonts w:hint="eastAsia"/>
                <w:kern w:val="0"/>
                <w:lang w:bidi="ar"/>
              </w:rPr>
              <w:t>下表</w:t>
            </w:r>
            <w:r>
              <w:rPr>
                <w:kern w:val="0"/>
                <w:lang w:bidi="ar"/>
              </w:rPr>
              <w:t>。</w:t>
            </w:r>
          </w:p>
          <w:p>
            <w:pPr>
              <w:adjustRightInd w:val="0"/>
              <w:snapToGrid w:val="0"/>
              <w:spacing w:line="360" w:lineRule="auto"/>
              <w:jc w:val="center"/>
              <w:rPr>
                <w:rFonts w:eastAsia="黑体"/>
                <w:bCs/>
              </w:rPr>
            </w:pPr>
            <w:r>
              <w:rPr>
                <w:rFonts w:cs="Times New Roman"/>
                <w:b/>
                <w:szCs w:val="24"/>
              </w:rPr>
              <w:t>表3-13  噪声现状监测布点</w:t>
            </w:r>
          </w:p>
          <w:tbl>
            <w:tblPr>
              <w:tblStyle w:val="30"/>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vAlign w:val="center"/>
                </w:tcPr>
                <w:p>
                  <w:pPr>
                    <w:autoSpaceDE w:val="0"/>
                    <w:autoSpaceDN w:val="0"/>
                    <w:adjustRightInd w:val="0"/>
                    <w:snapToGrid w:val="0"/>
                    <w:jc w:val="center"/>
                    <w:textAlignment w:val="center"/>
                    <w:rPr>
                      <w:b/>
                      <w:bCs/>
                      <w:kern w:val="0"/>
                      <w:sz w:val="21"/>
                      <w:szCs w:val="21"/>
                      <w:lang w:bidi="ar"/>
                    </w:rPr>
                  </w:pPr>
                  <w:r>
                    <w:rPr>
                      <w:b/>
                      <w:bCs/>
                      <w:kern w:val="0"/>
                      <w:sz w:val="21"/>
                      <w:szCs w:val="21"/>
                      <w:lang w:bidi="ar"/>
                    </w:rPr>
                    <w:t>序号</w:t>
                  </w:r>
                </w:p>
              </w:tc>
              <w:tc>
                <w:tcPr>
                  <w:tcW w:w="6936" w:type="dxa"/>
                  <w:vAlign w:val="center"/>
                </w:tcPr>
                <w:p>
                  <w:pPr>
                    <w:autoSpaceDE w:val="0"/>
                    <w:autoSpaceDN w:val="0"/>
                    <w:adjustRightInd w:val="0"/>
                    <w:snapToGrid w:val="0"/>
                    <w:jc w:val="center"/>
                    <w:textAlignment w:val="center"/>
                    <w:rPr>
                      <w:b/>
                      <w:bCs/>
                      <w:kern w:val="0"/>
                      <w:sz w:val="21"/>
                      <w:szCs w:val="21"/>
                      <w:lang w:bidi="ar"/>
                    </w:rPr>
                  </w:pPr>
                  <w:r>
                    <w:rPr>
                      <w:b/>
                      <w:bCs/>
                      <w:kern w:val="0"/>
                      <w:sz w:val="21"/>
                      <w:szCs w:val="21"/>
                      <w:lang w:bidi="ar"/>
                    </w:rPr>
                    <w:t>监测点位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vAlign w:val="center"/>
                </w:tcPr>
                <w:p>
                  <w:pPr>
                    <w:autoSpaceDE w:val="0"/>
                    <w:autoSpaceDN w:val="0"/>
                    <w:adjustRightInd w:val="0"/>
                    <w:snapToGrid w:val="0"/>
                    <w:jc w:val="center"/>
                    <w:textAlignment w:val="center"/>
                    <w:rPr>
                      <w:kern w:val="0"/>
                      <w:sz w:val="21"/>
                      <w:szCs w:val="21"/>
                      <w:lang w:bidi="ar"/>
                    </w:rPr>
                  </w:pPr>
                  <w:r>
                    <w:rPr>
                      <w:kern w:val="0"/>
                      <w:sz w:val="21"/>
                      <w:szCs w:val="21"/>
                      <w:lang w:bidi="ar"/>
                    </w:rPr>
                    <w:t>1#</w:t>
                  </w:r>
                </w:p>
              </w:tc>
              <w:tc>
                <w:tcPr>
                  <w:tcW w:w="6936" w:type="dxa"/>
                  <w:vAlign w:val="center"/>
                </w:tcPr>
                <w:p>
                  <w:pPr>
                    <w:autoSpaceDE w:val="0"/>
                    <w:autoSpaceDN w:val="0"/>
                    <w:adjustRightInd w:val="0"/>
                    <w:snapToGrid w:val="0"/>
                    <w:jc w:val="center"/>
                    <w:textAlignment w:val="center"/>
                    <w:rPr>
                      <w:kern w:val="0"/>
                      <w:sz w:val="21"/>
                      <w:szCs w:val="21"/>
                      <w:lang w:bidi="ar"/>
                    </w:rPr>
                  </w:pPr>
                  <w:r>
                    <w:rPr>
                      <w:rFonts w:hint="eastAsia"/>
                      <w:kern w:val="0"/>
                      <w:sz w:val="21"/>
                      <w:szCs w:val="21"/>
                    </w:rPr>
                    <w:t>项目所在地</w:t>
                  </w:r>
                  <w:r>
                    <w:rPr>
                      <w:kern w:val="0"/>
                      <w:sz w:val="21"/>
                      <w:szCs w:val="21"/>
                    </w:rPr>
                    <w:t>厂界东侧外1m处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vAlign w:val="center"/>
                </w:tcPr>
                <w:p>
                  <w:pPr>
                    <w:autoSpaceDE w:val="0"/>
                    <w:autoSpaceDN w:val="0"/>
                    <w:adjustRightInd w:val="0"/>
                    <w:snapToGrid w:val="0"/>
                    <w:jc w:val="center"/>
                    <w:textAlignment w:val="center"/>
                    <w:rPr>
                      <w:kern w:val="0"/>
                      <w:sz w:val="21"/>
                      <w:szCs w:val="21"/>
                      <w:lang w:bidi="ar"/>
                    </w:rPr>
                  </w:pPr>
                  <w:r>
                    <w:rPr>
                      <w:kern w:val="0"/>
                      <w:sz w:val="21"/>
                      <w:szCs w:val="21"/>
                      <w:lang w:bidi="ar"/>
                    </w:rPr>
                    <w:t>2#</w:t>
                  </w:r>
                </w:p>
              </w:tc>
              <w:tc>
                <w:tcPr>
                  <w:tcW w:w="6936" w:type="dxa"/>
                  <w:vAlign w:val="center"/>
                </w:tcPr>
                <w:p>
                  <w:pPr>
                    <w:autoSpaceDE w:val="0"/>
                    <w:autoSpaceDN w:val="0"/>
                    <w:adjustRightInd w:val="0"/>
                    <w:snapToGrid w:val="0"/>
                    <w:jc w:val="center"/>
                    <w:textAlignment w:val="center"/>
                    <w:rPr>
                      <w:kern w:val="0"/>
                      <w:sz w:val="21"/>
                      <w:szCs w:val="21"/>
                      <w:lang w:bidi="ar"/>
                    </w:rPr>
                  </w:pPr>
                  <w:r>
                    <w:rPr>
                      <w:rFonts w:hint="eastAsia"/>
                      <w:kern w:val="0"/>
                      <w:sz w:val="21"/>
                      <w:szCs w:val="21"/>
                    </w:rPr>
                    <w:t>项目所在地</w:t>
                  </w:r>
                  <w:r>
                    <w:rPr>
                      <w:kern w:val="0"/>
                      <w:sz w:val="21"/>
                      <w:szCs w:val="21"/>
                    </w:rPr>
                    <w:t>厂界南侧外1m处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vAlign w:val="center"/>
                </w:tcPr>
                <w:p>
                  <w:pPr>
                    <w:autoSpaceDE w:val="0"/>
                    <w:autoSpaceDN w:val="0"/>
                    <w:adjustRightInd w:val="0"/>
                    <w:snapToGrid w:val="0"/>
                    <w:jc w:val="center"/>
                    <w:textAlignment w:val="center"/>
                    <w:rPr>
                      <w:kern w:val="0"/>
                      <w:sz w:val="21"/>
                      <w:szCs w:val="21"/>
                      <w:lang w:bidi="ar"/>
                    </w:rPr>
                  </w:pPr>
                  <w:r>
                    <w:rPr>
                      <w:kern w:val="0"/>
                      <w:sz w:val="21"/>
                      <w:szCs w:val="21"/>
                      <w:lang w:bidi="ar"/>
                    </w:rPr>
                    <w:t>3#</w:t>
                  </w:r>
                </w:p>
              </w:tc>
              <w:tc>
                <w:tcPr>
                  <w:tcW w:w="6936" w:type="dxa"/>
                  <w:vAlign w:val="center"/>
                </w:tcPr>
                <w:p>
                  <w:pPr>
                    <w:autoSpaceDE w:val="0"/>
                    <w:autoSpaceDN w:val="0"/>
                    <w:adjustRightInd w:val="0"/>
                    <w:snapToGrid w:val="0"/>
                    <w:jc w:val="center"/>
                    <w:textAlignment w:val="center"/>
                    <w:rPr>
                      <w:kern w:val="0"/>
                      <w:sz w:val="21"/>
                      <w:szCs w:val="21"/>
                      <w:lang w:bidi="ar"/>
                    </w:rPr>
                  </w:pPr>
                  <w:r>
                    <w:rPr>
                      <w:rFonts w:hint="eastAsia"/>
                      <w:kern w:val="0"/>
                      <w:sz w:val="21"/>
                      <w:szCs w:val="21"/>
                    </w:rPr>
                    <w:t>项目所在地</w:t>
                  </w:r>
                  <w:r>
                    <w:rPr>
                      <w:kern w:val="0"/>
                      <w:sz w:val="21"/>
                      <w:szCs w:val="21"/>
                    </w:rPr>
                    <w:t>厂界西侧外1m处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vAlign w:val="center"/>
                </w:tcPr>
                <w:p>
                  <w:pPr>
                    <w:autoSpaceDE w:val="0"/>
                    <w:autoSpaceDN w:val="0"/>
                    <w:adjustRightInd w:val="0"/>
                    <w:snapToGrid w:val="0"/>
                    <w:jc w:val="center"/>
                    <w:textAlignment w:val="center"/>
                    <w:rPr>
                      <w:kern w:val="0"/>
                      <w:sz w:val="21"/>
                      <w:szCs w:val="21"/>
                      <w:lang w:bidi="ar"/>
                    </w:rPr>
                  </w:pPr>
                  <w:r>
                    <w:rPr>
                      <w:kern w:val="0"/>
                      <w:sz w:val="21"/>
                      <w:szCs w:val="21"/>
                      <w:lang w:bidi="ar"/>
                    </w:rPr>
                    <w:t>4#</w:t>
                  </w:r>
                </w:p>
              </w:tc>
              <w:tc>
                <w:tcPr>
                  <w:tcW w:w="6936" w:type="dxa"/>
                  <w:vAlign w:val="center"/>
                </w:tcPr>
                <w:p>
                  <w:pPr>
                    <w:autoSpaceDE w:val="0"/>
                    <w:autoSpaceDN w:val="0"/>
                    <w:adjustRightInd w:val="0"/>
                    <w:snapToGrid w:val="0"/>
                    <w:jc w:val="center"/>
                    <w:textAlignment w:val="center"/>
                    <w:rPr>
                      <w:kern w:val="0"/>
                      <w:sz w:val="21"/>
                      <w:szCs w:val="21"/>
                      <w:lang w:bidi="ar"/>
                    </w:rPr>
                  </w:pPr>
                  <w:r>
                    <w:rPr>
                      <w:rFonts w:hint="eastAsia"/>
                      <w:kern w:val="0"/>
                      <w:sz w:val="21"/>
                      <w:szCs w:val="21"/>
                    </w:rPr>
                    <w:t>项目所在地</w:t>
                  </w:r>
                  <w:r>
                    <w:rPr>
                      <w:kern w:val="0"/>
                      <w:sz w:val="21"/>
                      <w:szCs w:val="21"/>
                    </w:rPr>
                    <w:t>厂界北侧外1m处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vAlign w:val="center"/>
                </w:tcPr>
                <w:p>
                  <w:pPr>
                    <w:autoSpaceDE w:val="0"/>
                    <w:autoSpaceDN w:val="0"/>
                    <w:adjustRightInd w:val="0"/>
                    <w:snapToGrid w:val="0"/>
                    <w:jc w:val="center"/>
                    <w:textAlignment w:val="center"/>
                    <w:rPr>
                      <w:kern w:val="0"/>
                      <w:sz w:val="21"/>
                      <w:szCs w:val="21"/>
                      <w:lang w:bidi="ar"/>
                    </w:rPr>
                  </w:pPr>
                  <w:r>
                    <w:rPr>
                      <w:kern w:val="0"/>
                      <w:sz w:val="21"/>
                      <w:szCs w:val="21"/>
                      <w:lang w:bidi="ar"/>
                    </w:rPr>
                    <w:t>5#</w:t>
                  </w:r>
                </w:p>
              </w:tc>
              <w:tc>
                <w:tcPr>
                  <w:tcW w:w="6936" w:type="dxa"/>
                  <w:vAlign w:val="center"/>
                </w:tcPr>
                <w:p>
                  <w:pPr>
                    <w:autoSpaceDE w:val="0"/>
                    <w:autoSpaceDN w:val="0"/>
                    <w:adjustRightInd w:val="0"/>
                    <w:snapToGrid w:val="0"/>
                    <w:jc w:val="center"/>
                    <w:textAlignment w:val="center"/>
                    <w:rPr>
                      <w:kern w:val="0"/>
                      <w:sz w:val="21"/>
                      <w:szCs w:val="21"/>
                      <w:lang w:bidi="ar"/>
                    </w:rPr>
                  </w:pPr>
                  <w:r>
                    <w:rPr>
                      <w:rFonts w:hint="eastAsia"/>
                      <w:kern w:val="0"/>
                      <w:sz w:val="21"/>
                      <w:szCs w:val="21"/>
                    </w:rPr>
                    <w:t>项目所在地</w:t>
                  </w:r>
                  <w:r>
                    <w:rPr>
                      <w:kern w:val="0"/>
                      <w:sz w:val="21"/>
                      <w:szCs w:val="21"/>
                    </w:rPr>
                    <w:t>厂界</w:t>
                  </w:r>
                  <w:r>
                    <w:rPr>
                      <w:rFonts w:hint="eastAsia"/>
                      <w:kern w:val="0"/>
                      <w:sz w:val="21"/>
                      <w:szCs w:val="21"/>
                    </w:rPr>
                    <w:t>西</w:t>
                  </w:r>
                  <w:r>
                    <w:rPr>
                      <w:kern w:val="0"/>
                      <w:sz w:val="21"/>
                      <w:szCs w:val="21"/>
                    </w:rPr>
                    <w:t>侧外</w:t>
                  </w:r>
                  <w:r>
                    <w:rPr>
                      <w:rFonts w:hint="eastAsia"/>
                      <w:kern w:val="0"/>
                      <w:sz w:val="21"/>
                      <w:szCs w:val="21"/>
                    </w:rPr>
                    <w:t>2</w:t>
                  </w:r>
                  <w:r>
                    <w:rPr>
                      <w:kern w:val="0"/>
                      <w:sz w:val="21"/>
                      <w:szCs w:val="21"/>
                    </w:rPr>
                    <w:t>0m处</w:t>
                  </w:r>
                  <w:r>
                    <w:rPr>
                      <w:rFonts w:hint="eastAsia"/>
                      <w:kern w:val="0"/>
                      <w:sz w:val="21"/>
                      <w:szCs w:val="21"/>
                    </w:rPr>
                    <w:t>农户外</w:t>
                  </w:r>
                </w:p>
              </w:tc>
            </w:tr>
          </w:tbl>
          <w:p>
            <w:pPr>
              <w:autoSpaceDE w:val="0"/>
              <w:autoSpaceDN w:val="0"/>
              <w:adjustRightInd w:val="0"/>
              <w:snapToGrid w:val="0"/>
              <w:spacing w:line="360" w:lineRule="auto"/>
              <w:ind w:firstLine="482" w:firstLineChars="200"/>
              <w:jc w:val="left"/>
              <w:textAlignment w:val="center"/>
              <w:rPr>
                <w:b/>
                <w:bCs/>
                <w:kern w:val="0"/>
                <w:lang w:bidi="ar"/>
              </w:rPr>
            </w:pPr>
            <w:r>
              <w:rPr>
                <w:b/>
                <w:bCs/>
                <w:kern w:val="0"/>
                <w:lang w:bidi="ar"/>
              </w:rPr>
              <w:t>2.监测项目：</w:t>
            </w:r>
            <w:r>
              <w:rPr>
                <w:kern w:val="0"/>
                <w:lang w:bidi="ar"/>
              </w:rPr>
              <w:t>厂界噪声。</w:t>
            </w:r>
          </w:p>
          <w:p>
            <w:pPr>
              <w:autoSpaceDE w:val="0"/>
              <w:autoSpaceDN w:val="0"/>
              <w:adjustRightInd w:val="0"/>
              <w:snapToGrid w:val="0"/>
              <w:spacing w:line="360" w:lineRule="auto"/>
              <w:ind w:firstLine="482" w:firstLineChars="200"/>
              <w:jc w:val="left"/>
              <w:textAlignment w:val="center"/>
              <w:rPr>
                <w:kern w:val="0"/>
                <w:lang w:bidi="ar"/>
              </w:rPr>
            </w:pPr>
            <w:r>
              <w:rPr>
                <w:b/>
                <w:bCs/>
                <w:kern w:val="0"/>
                <w:lang w:bidi="ar"/>
              </w:rPr>
              <w:t>3.监测时间、监测频次</w:t>
            </w:r>
          </w:p>
          <w:p>
            <w:pPr>
              <w:autoSpaceDE w:val="0"/>
              <w:autoSpaceDN w:val="0"/>
              <w:adjustRightInd w:val="0"/>
              <w:snapToGrid w:val="0"/>
              <w:spacing w:line="360" w:lineRule="auto"/>
              <w:ind w:firstLine="480" w:firstLineChars="200"/>
              <w:jc w:val="left"/>
              <w:textAlignment w:val="center"/>
              <w:rPr>
                <w:kern w:val="0"/>
                <w:lang w:bidi="ar"/>
              </w:rPr>
            </w:pPr>
            <w:r>
              <w:rPr>
                <w:kern w:val="0"/>
                <w:lang w:bidi="ar"/>
              </w:rPr>
              <w:t>2020年10月22日、</w:t>
            </w:r>
            <w:r>
              <w:rPr>
                <w:rFonts w:hint="eastAsia"/>
                <w:kern w:val="0"/>
                <w:lang w:bidi="ar"/>
              </w:rPr>
              <w:t>23</w:t>
            </w:r>
            <w:r>
              <w:rPr>
                <w:kern w:val="0"/>
                <w:lang w:bidi="ar"/>
              </w:rPr>
              <w:t>日连续检测2天，昼间、夜间各一次。</w:t>
            </w:r>
          </w:p>
          <w:p>
            <w:pPr>
              <w:autoSpaceDE w:val="0"/>
              <w:autoSpaceDN w:val="0"/>
              <w:adjustRightInd w:val="0"/>
              <w:snapToGrid w:val="0"/>
              <w:spacing w:line="360" w:lineRule="auto"/>
              <w:ind w:firstLine="482" w:firstLineChars="200"/>
              <w:jc w:val="left"/>
              <w:textAlignment w:val="center"/>
              <w:rPr>
                <w:b/>
                <w:bCs/>
                <w:kern w:val="0"/>
                <w:lang w:bidi="ar"/>
              </w:rPr>
            </w:pPr>
            <w:r>
              <w:rPr>
                <w:b/>
                <w:bCs/>
                <w:kern w:val="0"/>
                <w:lang w:bidi="ar"/>
              </w:rPr>
              <w:t>4.监测结果</w:t>
            </w:r>
          </w:p>
          <w:p>
            <w:pPr>
              <w:autoSpaceDE w:val="0"/>
              <w:autoSpaceDN w:val="0"/>
              <w:adjustRightInd w:val="0"/>
              <w:snapToGrid w:val="0"/>
              <w:spacing w:line="360" w:lineRule="auto"/>
              <w:ind w:firstLine="480" w:firstLineChars="200"/>
              <w:jc w:val="left"/>
              <w:textAlignment w:val="center"/>
              <w:rPr>
                <w:kern w:val="0"/>
                <w:lang w:bidi="ar"/>
              </w:rPr>
            </w:pPr>
            <w:r>
              <w:rPr>
                <w:kern w:val="0"/>
                <w:lang w:bidi="ar"/>
              </w:rPr>
              <w:t>检测结果见</w:t>
            </w:r>
            <w:r>
              <w:rPr>
                <w:rFonts w:hint="eastAsia"/>
                <w:kern w:val="0"/>
                <w:lang w:bidi="ar"/>
              </w:rPr>
              <w:t>下</w:t>
            </w:r>
            <w:r>
              <w:rPr>
                <w:kern w:val="0"/>
                <w:lang w:bidi="ar"/>
              </w:rPr>
              <w:t>表3-14。</w:t>
            </w:r>
          </w:p>
          <w:p>
            <w:pPr>
              <w:adjustRightInd w:val="0"/>
              <w:snapToGrid w:val="0"/>
              <w:spacing w:line="360" w:lineRule="auto"/>
              <w:jc w:val="center"/>
              <w:rPr>
                <w:rFonts w:cs="Times New Roman"/>
                <w:b/>
                <w:szCs w:val="24"/>
              </w:rPr>
            </w:pPr>
            <w:r>
              <w:rPr>
                <w:rFonts w:cs="Times New Roman"/>
                <w:b/>
                <w:szCs w:val="24"/>
              </w:rPr>
              <w:t>表3-14  环境噪声现状检测结果</w:t>
            </w:r>
          </w:p>
          <w:tbl>
            <w:tblPr>
              <w:tblStyle w:val="30"/>
              <w:tblW w:w="89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69"/>
              <w:gridCol w:w="1286"/>
              <w:gridCol w:w="846"/>
              <w:gridCol w:w="975"/>
              <w:gridCol w:w="1339"/>
              <w:gridCol w:w="954"/>
              <w:gridCol w:w="1444"/>
              <w:gridCol w:w="1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trPr>
              <w:tc>
                <w:tcPr>
                  <w:tcW w:w="769" w:type="dxa"/>
                  <w:vMerge w:val="restart"/>
                  <w:shd w:val="clear" w:color="auto" w:fill="auto"/>
                  <w:vAlign w:val="center"/>
                </w:tcPr>
                <w:p>
                  <w:pPr>
                    <w:spacing w:line="0" w:lineRule="atLeast"/>
                    <w:jc w:val="center"/>
                    <w:rPr>
                      <w:rFonts w:cs="Times New Roman"/>
                      <w:b/>
                      <w:bCs/>
                      <w:sz w:val="21"/>
                      <w:szCs w:val="21"/>
                    </w:rPr>
                  </w:pPr>
                  <w:r>
                    <w:rPr>
                      <w:rFonts w:cs="Times New Roman"/>
                      <w:b/>
                      <w:bCs/>
                      <w:sz w:val="21"/>
                      <w:szCs w:val="21"/>
                    </w:rPr>
                    <w:t>检测项目</w:t>
                  </w:r>
                </w:p>
              </w:tc>
              <w:tc>
                <w:tcPr>
                  <w:tcW w:w="1286" w:type="dxa"/>
                  <w:vMerge w:val="restart"/>
                  <w:shd w:val="clear" w:color="auto" w:fill="auto"/>
                  <w:vAlign w:val="center"/>
                </w:tcPr>
                <w:p>
                  <w:pPr>
                    <w:spacing w:line="0" w:lineRule="atLeast"/>
                    <w:jc w:val="center"/>
                    <w:rPr>
                      <w:rFonts w:cs="Times New Roman"/>
                      <w:b/>
                      <w:bCs/>
                      <w:sz w:val="21"/>
                      <w:szCs w:val="21"/>
                    </w:rPr>
                  </w:pPr>
                  <w:r>
                    <w:rPr>
                      <w:rFonts w:cs="Times New Roman"/>
                      <w:b/>
                      <w:bCs/>
                      <w:sz w:val="21"/>
                      <w:szCs w:val="21"/>
                    </w:rPr>
                    <w:t>检测日期</w:t>
                  </w:r>
                </w:p>
              </w:tc>
              <w:tc>
                <w:tcPr>
                  <w:tcW w:w="846" w:type="dxa"/>
                  <w:vMerge w:val="restart"/>
                  <w:shd w:val="clear" w:color="auto" w:fill="auto"/>
                  <w:vAlign w:val="center"/>
                </w:tcPr>
                <w:p>
                  <w:pPr>
                    <w:spacing w:line="0" w:lineRule="atLeast"/>
                    <w:jc w:val="center"/>
                    <w:rPr>
                      <w:rFonts w:cs="Times New Roman"/>
                      <w:b/>
                      <w:bCs/>
                      <w:sz w:val="21"/>
                      <w:szCs w:val="21"/>
                    </w:rPr>
                  </w:pPr>
                  <w:r>
                    <w:rPr>
                      <w:rFonts w:cs="Times New Roman"/>
                      <w:b/>
                      <w:bCs/>
                      <w:sz w:val="21"/>
                      <w:szCs w:val="21"/>
                    </w:rPr>
                    <w:t>测点</w:t>
                  </w:r>
                </w:p>
                <w:p>
                  <w:pPr>
                    <w:spacing w:line="0" w:lineRule="atLeast"/>
                    <w:jc w:val="center"/>
                    <w:rPr>
                      <w:rFonts w:cs="Times New Roman"/>
                      <w:b/>
                      <w:bCs/>
                      <w:sz w:val="21"/>
                      <w:szCs w:val="21"/>
                    </w:rPr>
                  </w:pPr>
                  <w:r>
                    <w:rPr>
                      <w:rFonts w:cs="Times New Roman"/>
                      <w:b/>
                      <w:bCs/>
                      <w:sz w:val="21"/>
                      <w:szCs w:val="21"/>
                    </w:rPr>
                    <w:t>编号</w:t>
                  </w:r>
                </w:p>
              </w:tc>
              <w:tc>
                <w:tcPr>
                  <w:tcW w:w="4712" w:type="dxa"/>
                  <w:gridSpan w:val="4"/>
                  <w:shd w:val="clear" w:color="auto" w:fill="auto"/>
                  <w:vAlign w:val="center"/>
                </w:tcPr>
                <w:p>
                  <w:pPr>
                    <w:spacing w:line="0" w:lineRule="atLeast"/>
                    <w:jc w:val="center"/>
                    <w:rPr>
                      <w:rFonts w:cs="Times New Roman"/>
                      <w:b/>
                      <w:bCs/>
                      <w:sz w:val="21"/>
                      <w:szCs w:val="21"/>
                    </w:rPr>
                  </w:pPr>
                  <w:r>
                    <w:rPr>
                      <w:rFonts w:cs="Times New Roman"/>
                      <w:b/>
                      <w:bCs/>
                      <w:sz w:val="21"/>
                      <w:szCs w:val="21"/>
                    </w:rPr>
                    <w:t>检测结果/等效声级L</w:t>
                  </w:r>
                  <w:r>
                    <w:rPr>
                      <w:rFonts w:cs="Times New Roman"/>
                      <w:b/>
                      <w:bCs/>
                      <w:sz w:val="21"/>
                      <w:szCs w:val="21"/>
                      <w:vertAlign w:val="subscript"/>
                    </w:rPr>
                    <w:t>eq</w:t>
                  </w:r>
                  <w:r>
                    <w:rPr>
                      <w:rFonts w:cs="Times New Roman"/>
                      <w:b/>
                      <w:bCs/>
                      <w:sz w:val="21"/>
                      <w:szCs w:val="21"/>
                    </w:rPr>
                    <w:t>[dB(A)]</w:t>
                  </w:r>
                </w:p>
              </w:tc>
              <w:tc>
                <w:tcPr>
                  <w:tcW w:w="1357" w:type="dxa"/>
                  <w:vMerge w:val="restart"/>
                  <w:shd w:val="clear" w:color="auto" w:fill="auto"/>
                  <w:vAlign w:val="center"/>
                </w:tcPr>
                <w:p>
                  <w:pPr>
                    <w:spacing w:line="0" w:lineRule="atLeast"/>
                    <w:jc w:val="center"/>
                    <w:rPr>
                      <w:rFonts w:cs="Times New Roman"/>
                      <w:b/>
                      <w:bCs/>
                      <w:sz w:val="21"/>
                      <w:szCs w:val="21"/>
                    </w:rPr>
                  </w:pPr>
                  <w:r>
                    <w:rPr>
                      <w:rFonts w:cs="Times New Roman"/>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trPr>
              <w:tc>
                <w:tcPr>
                  <w:tcW w:w="769" w:type="dxa"/>
                  <w:vMerge w:val="continue"/>
                  <w:shd w:val="clear" w:color="auto" w:fill="auto"/>
                  <w:vAlign w:val="center"/>
                </w:tcPr>
                <w:p>
                  <w:pPr>
                    <w:spacing w:line="0" w:lineRule="atLeast"/>
                    <w:jc w:val="center"/>
                    <w:rPr>
                      <w:rFonts w:cs="Times New Roman"/>
                      <w:sz w:val="21"/>
                      <w:szCs w:val="21"/>
                    </w:rPr>
                  </w:pPr>
                </w:p>
              </w:tc>
              <w:tc>
                <w:tcPr>
                  <w:tcW w:w="1286" w:type="dxa"/>
                  <w:vMerge w:val="continue"/>
                  <w:shd w:val="clear" w:color="auto" w:fill="auto"/>
                  <w:vAlign w:val="center"/>
                </w:tcPr>
                <w:p>
                  <w:pPr>
                    <w:spacing w:line="0" w:lineRule="atLeast"/>
                    <w:jc w:val="center"/>
                    <w:rPr>
                      <w:rFonts w:cs="Times New Roman"/>
                      <w:sz w:val="21"/>
                      <w:szCs w:val="21"/>
                    </w:rPr>
                  </w:pPr>
                </w:p>
              </w:tc>
              <w:tc>
                <w:tcPr>
                  <w:tcW w:w="846" w:type="dxa"/>
                  <w:vMerge w:val="continue"/>
                  <w:shd w:val="clear" w:color="auto" w:fill="auto"/>
                  <w:vAlign w:val="center"/>
                </w:tcPr>
                <w:p>
                  <w:pPr>
                    <w:spacing w:line="0" w:lineRule="atLeast"/>
                    <w:jc w:val="center"/>
                    <w:rPr>
                      <w:rFonts w:cs="Times New Roman"/>
                      <w:sz w:val="21"/>
                      <w:szCs w:val="21"/>
                    </w:rPr>
                  </w:pPr>
                </w:p>
              </w:tc>
              <w:tc>
                <w:tcPr>
                  <w:tcW w:w="975" w:type="dxa"/>
                  <w:shd w:val="clear" w:color="auto" w:fill="auto"/>
                  <w:vAlign w:val="center"/>
                </w:tcPr>
                <w:p>
                  <w:pPr>
                    <w:spacing w:line="0" w:lineRule="atLeast"/>
                    <w:jc w:val="center"/>
                    <w:rPr>
                      <w:rFonts w:cs="Times New Roman"/>
                      <w:b/>
                      <w:bCs/>
                      <w:sz w:val="21"/>
                      <w:szCs w:val="21"/>
                    </w:rPr>
                  </w:pPr>
                  <w:r>
                    <w:rPr>
                      <w:rFonts w:cs="Times New Roman"/>
                      <w:b/>
                      <w:bCs/>
                      <w:sz w:val="21"/>
                      <w:szCs w:val="21"/>
                    </w:rPr>
                    <w:t>昼间</w:t>
                  </w:r>
                </w:p>
              </w:tc>
              <w:tc>
                <w:tcPr>
                  <w:tcW w:w="1339" w:type="dxa"/>
                  <w:shd w:val="clear" w:color="auto" w:fill="auto"/>
                  <w:vAlign w:val="center"/>
                </w:tcPr>
                <w:p>
                  <w:pPr>
                    <w:jc w:val="center"/>
                    <w:rPr>
                      <w:rFonts w:cs="Times New Roman"/>
                      <w:b/>
                      <w:sz w:val="21"/>
                      <w:szCs w:val="21"/>
                    </w:rPr>
                  </w:pPr>
                  <w:r>
                    <w:rPr>
                      <w:rFonts w:cs="Times New Roman"/>
                      <w:b/>
                      <w:sz w:val="21"/>
                      <w:szCs w:val="21"/>
                    </w:rPr>
                    <w:t>车流量</w:t>
                  </w:r>
                </w:p>
                <w:p>
                  <w:pPr>
                    <w:spacing w:line="0" w:lineRule="atLeast"/>
                    <w:jc w:val="center"/>
                    <w:rPr>
                      <w:rFonts w:cs="Times New Roman"/>
                      <w:b/>
                      <w:bCs/>
                      <w:sz w:val="21"/>
                      <w:szCs w:val="21"/>
                    </w:rPr>
                  </w:pPr>
                  <w:r>
                    <w:rPr>
                      <w:rFonts w:cs="Times New Roman"/>
                      <w:b/>
                      <w:sz w:val="21"/>
                      <w:szCs w:val="21"/>
                    </w:rPr>
                    <w:t>（辆/小时）</w:t>
                  </w:r>
                </w:p>
              </w:tc>
              <w:tc>
                <w:tcPr>
                  <w:tcW w:w="954" w:type="dxa"/>
                  <w:shd w:val="clear" w:color="auto" w:fill="auto"/>
                  <w:vAlign w:val="center"/>
                </w:tcPr>
                <w:p>
                  <w:pPr>
                    <w:spacing w:line="0" w:lineRule="atLeast"/>
                    <w:jc w:val="center"/>
                    <w:rPr>
                      <w:rFonts w:cs="Times New Roman"/>
                      <w:b/>
                      <w:bCs/>
                      <w:sz w:val="21"/>
                      <w:szCs w:val="21"/>
                    </w:rPr>
                  </w:pPr>
                  <w:r>
                    <w:rPr>
                      <w:rFonts w:cs="Times New Roman"/>
                      <w:b/>
                      <w:bCs/>
                      <w:sz w:val="21"/>
                      <w:szCs w:val="21"/>
                    </w:rPr>
                    <w:t>夜间</w:t>
                  </w:r>
                </w:p>
              </w:tc>
              <w:tc>
                <w:tcPr>
                  <w:tcW w:w="1444" w:type="dxa"/>
                  <w:shd w:val="clear" w:color="auto" w:fill="auto"/>
                  <w:vAlign w:val="center"/>
                </w:tcPr>
                <w:p>
                  <w:pPr>
                    <w:jc w:val="center"/>
                    <w:rPr>
                      <w:rFonts w:cs="Times New Roman"/>
                      <w:b/>
                      <w:sz w:val="21"/>
                      <w:szCs w:val="21"/>
                    </w:rPr>
                  </w:pPr>
                  <w:r>
                    <w:rPr>
                      <w:rFonts w:cs="Times New Roman"/>
                      <w:b/>
                      <w:sz w:val="21"/>
                      <w:szCs w:val="21"/>
                    </w:rPr>
                    <w:t>车流量</w:t>
                  </w:r>
                </w:p>
                <w:p>
                  <w:pPr>
                    <w:spacing w:line="0" w:lineRule="atLeast"/>
                    <w:jc w:val="center"/>
                    <w:rPr>
                      <w:rFonts w:cs="Times New Roman"/>
                      <w:b/>
                      <w:bCs/>
                      <w:sz w:val="21"/>
                      <w:szCs w:val="21"/>
                    </w:rPr>
                  </w:pPr>
                  <w:r>
                    <w:rPr>
                      <w:rFonts w:cs="Times New Roman"/>
                      <w:b/>
                      <w:sz w:val="21"/>
                      <w:szCs w:val="21"/>
                    </w:rPr>
                    <w:t>（辆/小时）</w:t>
                  </w:r>
                </w:p>
              </w:tc>
              <w:tc>
                <w:tcPr>
                  <w:tcW w:w="1357" w:type="dxa"/>
                  <w:vMerge w:val="continue"/>
                  <w:shd w:val="clear" w:color="auto" w:fill="auto"/>
                  <w:vAlign w:val="center"/>
                </w:tcPr>
                <w:p>
                  <w:pPr>
                    <w:spacing w:line="0" w:lineRule="atLeast"/>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restart"/>
                  <w:shd w:val="clear" w:color="auto" w:fill="auto"/>
                  <w:vAlign w:val="center"/>
                </w:tcPr>
                <w:p>
                  <w:pPr>
                    <w:jc w:val="center"/>
                    <w:rPr>
                      <w:rFonts w:cs="Times New Roman"/>
                      <w:sz w:val="21"/>
                      <w:szCs w:val="21"/>
                    </w:rPr>
                  </w:pPr>
                  <w:r>
                    <w:rPr>
                      <w:rFonts w:cs="Times New Roman"/>
                      <w:sz w:val="21"/>
                      <w:szCs w:val="21"/>
                    </w:rPr>
                    <w:t>噪声</w:t>
                  </w:r>
                </w:p>
              </w:tc>
              <w:tc>
                <w:tcPr>
                  <w:tcW w:w="1286" w:type="dxa"/>
                  <w:vMerge w:val="restart"/>
                  <w:shd w:val="clear" w:color="auto" w:fill="auto"/>
                  <w:vAlign w:val="center"/>
                </w:tcPr>
                <w:p>
                  <w:pPr>
                    <w:jc w:val="center"/>
                    <w:rPr>
                      <w:rFonts w:cs="Times New Roman"/>
                      <w:sz w:val="21"/>
                      <w:szCs w:val="21"/>
                    </w:rPr>
                  </w:pPr>
                  <w:r>
                    <w:rPr>
                      <w:rFonts w:cs="Times New Roman"/>
                      <w:sz w:val="21"/>
                      <w:szCs w:val="21"/>
                    </w:rPr>
                    <w:t>2020年11月22日</w:t>
                  </w:r>
                </w:p>
              </w:tc>
              <w:tc>
                <w:tcPr>
                  <w:tcW w:w="846" w:type="dxa"/>
                  <w:shd w:val="clear" w:color="auto" w:fill="auto"/>
                  <w:vAlign w:val="center"/>
                </w:tcPr>
                <w:p>
                  <w:pPr>
                    <w:jc w:val="center"/>
                    <w:rPr>
                      <w:rFonts w:cs="Times New Roman"/>
                      <w:sz w:val="21"/>
                      <w:szCs w:val="21"/>
                    </w:rPr>
                  </w:pPr>
                  <w:r>
                    <w:rPr>
                      <w:rFonts w:cs="Times New Roman"/>
                      <w:sz w:val="21"/>
                      <w:szCs w:val="21"/>
                    </w:rPr>
                    <w:t>1#</w:t>
                  </w:r>
                </w:p>
              </w:tc>
              <w:tc>
                <w:tcPr>
                  <w:tcW w:w="975" w:type="dxa"/>
                  <w:shd w:val="clear" w:color="auto" w:fill="auto"/>
                  <w:vAlign w:val="center"/>
                </w:tcPr>
                <w:p>
                  <w:pPr>
                    <w:jc w:val="center"/>
                    <w:rPr>
                      <w:rFonts w:cs="Times New Roman"/>
                      <w:sz w:val="21"/>
                      <w:szCs w:val="21"/>
                    </w:rPr>
                  </w:pPr>
                  <w:r>
                    <w:rPr>
                      <w:rFonts w:cs="Times New Roman"/>
                      <w:sz w:val="21"/>
                      <w:szCs w:val="21"/>
                    </w:rPr>
                    <w:t>45</w:t>
                  </w:r>
                </w:p>
              </w:tc>
              <w:tc>
                <w:tcPr>
                  <w:tcW w:w="1339" w:type="dxa"/>
                  <w:shd w:val="clear" w:color="auto" w:fill="auto"/>
                  <w:vAlign w:val="center"/>
                </w:tcPr>
                <w:p>
                  <w:pPr>
                    <w:jc w:val="center"/>
                    <w:rPr>
                      <w:rFonts w:cs="Times New Roman"/>
                      <w:sz w:val="21"/>
                      <w:szCs w:val="21"/>
                    </w:rPr>
                  </w:pPr>
                  <w:r>
                    <w:rPr>
                      <w:rFonts w:cs="Times New Roman"/>
                      <w:sz w:val="21"/>
                      <w:szCs w:val="21"/>
                    </w:rPr>
                    <w:t>/</w:t>
                  </w:r>
                </w:p>
              </w:tc>
              <w:tc>
                <w:tcPr>
                  <w:tcW w:w="954" w:type="dxa"/>
                  <w:shd w:val="clear" w:color="auto" w:fill="auto"/>
                  <w:vAlign w:val="center"/>
                </w:tcPr>
                <w:p>
                  <w:pPr>
                    <w:jc w:val="center"/>
                    <w:rPr>
                      <w:rFonts w:cs="Times New Roman"/>
                      <w:sz w:val="21"/>
                      <w:szCs w:val="21"/>
                    </w:rPr>
                  </w:pPr>
                  <w:r>
                    <w:rPr>
                      <w:rFonts w:cs="Times New Roman"/>
                      <w:sz w:val="21"/>
                      <w:szCs w:val="21"/>
                    </w:rPr>
                    <w:t>45</w:t>
                  </w:r>
                </w:p>
              </w:tc>
              <w:tc>
                <w:tcPr>
                  <w:tcW w:w="1444" w:type="dxa"/>
                  <w:shd w:val="clear" w:color="auto" w:fill="auto"/>
                  <w:vAlign w:val="center"/>
                </w:tcPr>
                <w:p>
                  <w:pPr>
                    <w:jc w:val="center"/>
                    <w:rPr>
                      <w:rFonts w:cs="Times New Roman"/>
                      <w:sz w:val="21"/>
                      <w:szCs w:val="21"/>
                    </w:rPr>
                  </w:pPr>
                  <w:r>
                    <w:rPr>
                      <w:rFonts w:cs="Times New Roman"/>
                      <w:sz w:val="21"/>
                      <w:szCs w:val="21"/>
                    </w:rPr>
                    <w:t>/</w:t>
                  </w:r>
                </w:p>
              </w:tc>
              <w:tc>
                <w:tcPr>
                  <w:tcW w:w="1357"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continue"/>
                  <w:shd w:val="clear" w:color="auto" w:fill="auto"/>
                  <w:vAlign w:val="center"/>
                </w:tcPr>
                <w:p>
                  <w:pPr>
                    <w:jc w:val="center"/>
                    <w:rPr>
                      <w:rFonts w:cs="Times New Roman"/>
                      <w:sz w:val="21"/>
                      <w:szCs w:val="21"/>
                    </w:rPr>
                  </w:pPr>
                </w:p>
              </w:tc>
              <w:tc>
                <w:tcPr>
                  <w:tcW w:w="1286" w:type="dxa"/>
                  <w:vMerge w:val="continue"/>
                  <w:shd w:val="clear" w:color="auto" w:fill="auto"/>
                  <w:vAlign w:val="center"/>
                </w:tcPr>
                <w:p>
                  <w:pPr>
                    <w:jc w:val="center"/>
                    <w:rPr>
                      <w:rFonts w:cs="Times New Roman"/>
                      <w:kern w:val="0"/>
                      <w:sz w:val="21"/>
                      <w:szCs w:val="21"/>
                    </w:rPr>
                  </w:pPr>
                </w:p>
              </w:tc>
              <w:tc>
                <w:tcPr>
                  <w:tcW w:w="846" w:type="dxa"/>
                  <w:shd w:val="clear" w:color="auto" w:fill="auto"/>
                  <w:vAlign w:val="center"/>
                </w:tcPr>
                <w:p>
                  <w:pPr>
                    <w:jc w:val="center"/>
                    <w:rPr>
                      <w:rFonts w:cs="Times New Roman"/>
                      <w:sz w:val="21"/>
                      <w:szCs w:val="21"/>
                    </w:rPr>
                  </w:pPr>
                  <w:r>
                    <w:rPr>
                      <w:rFonts w:cs="Times New Roman"/>
                      <w:kern w:val="0"/>
                      <w:sz w:val="21"/>
                      <w:szCs w:val="21"/>
                    </w:rPr>
                    <w:t>2#</w:t>
                  </w:r>
                </w:p>
              </w:tc>
              <w:tc>
                <w:tcPr>
                  <w:tcW w:w="975" w:type="dxa"/>
                  <w:shd w:val="clear" w:color="auto" w:fill="auto"/>
                  <w:vAlign w:val="center"/>
                </w:tcPr>
                <w:p>
                  <w:pPr>
                    <w:jc w:val="center"/>
                    <w:rPr>
                      <w:rFonts w:cs="Times New Roman"/>
                      <w:sz w:val="21"/>
                      <w:szCs w:val="21"/>
                    </w:rPr>
                  </w:pPr>
                  <w:r>
                    <w:rPr>
                      <w:rFonts w:cs="Times New Roman"/>
                      <w:sz w:val="21"/>
                      <w:szCs w:val="21"/>
                    </w:rPr>
                    <w:t>45</w:t>
                  </w:r>
                </w:p>
              </w:tc>
              <w:tc>
                <w:tcPr>
                  <w:tcW w:w="1339" w:type="dxa"/>
                  <w:shd w:val="clear" w:color="auto" w:fill="auto"/>
                  <w:vAlign w:val="center"/>
                </w:tcPr>
                <w:p>
                  <w:pPr>
                    <w:jc w:val="center"/>
                    <w:rPr>
                      <w:rFonts w:cs="Times New Roman"/>
                      <w:sz w:val="21"/>
                      <w:szCs w:val="21"/>
                    </w:rPr>
                  </w:pPr>
                  <w:r>
                    <w:rPr>
                      <w:rFonts w:cs="Times New Roman"/>
                      <w:sz w:val="21"/>
                      <w:szCs w:val="21"/>
                    </w:rPr>
                    <w:t>/</w:t>
                  </w:r>
                </w:p>
              </w:tc>
              <w:tc>
                <w:tcPr>
                  <w:tcW w:w="954" w:type="dxa"/>
                  <w:shd w:val="clear" w:color="auto" w:fill="auto"/>
                  <w:vAlign w:val="center"/>
                </w:tcPr>
                <w:p>
                  <w:pPr>
                    <w:jc w:val="center"/>
                    <w:rPr>
                      <w:rFonts w:cs="Times New Roman"/>
                      <w:sz w:val="21"/>
                      <w:szCs w:val="21"/>
                    </w:rPr>
                  </w:pPr>
                  <w:r>
                    <w:rPr>
                      <w:rFonts w:cs="Times New Roman"/>
                      <w:sz w:val="21"/>
                      <w:szCs w:val="21"/>
                    </w:rPr>
                    <w:t>43</w:t>
                  </w:r>
                </w:p>
              </w:tc>
              <w:tc>
                <w:tcPr>
                  <w:tcW w:w="1444" w:type="dxa"/>
                  <w:shd w:val="clear" w:color="auto" w:fill="auto"/>
                  <w:vAlign w:val="center"/>
                </w:tcPr>
                <w:p>
                  <w:pPr>
                    <w:jc w:val="center"/>
                    <w:rPr>
                      <w:rFonts w:cs="Times New Roman"/>
                      <w:sz w:val="21"/>
                      <w:szCs w:val="21"/>
                    </w:rPr>
                  </w:pPr>
                  <w:r>
                    <w:rPr>
                      <w:rFonts w:cs="Times New Roman"/>
                      <w:sz w:val="21"/>
                      <w:szCs w:val="21"/>
                    </w:rPr>
                    <w:t>/</w:t>
                  </w:r>
                </w:p>
              </w:tc>
              <w:tc>
                <w:tcPr>
                  <w:tcW w:w="1357"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continue"/>
                  <w:shd w:val="clear" w:color="auto" w:fill="auto"/>
                  <w:vAlign w:val="center"/>
                </w:tcPr>
                <w:p>
                  <w:pPr>
                    <w:jc w:val="center"/>
                    <w:rPr>
                      <w:rFonts w:cs="Times New Roman"/>
                      <w:sz w:val="21"/>
                      <w:szCs w:val="21"/>
                    </w:rPr>
                  </w:pPr>
                </w:p>
              </w:tc>
              <w:tc>
                <w:tcPr>
                  <w:tcW w:w="1286" w:type="dxa"/>
                  <w:vMerge w:val="continue"/>
                  <w:shd w:val="clear" w:color="auto" w:fill="auto"/>
                  <w:vAlign w:val="center"/>
                </w:tcPr>
                <w:p>
                  <w:pPr>
                    <w:jc w:val="center"/>
                    <w:rPr>
                      <w:rFonts w:cs="Times New Roman"/>
                      <w:kern w:val="0"/>
                      <w:sz w:val="21"/>
                      <w:szCs w:val="21"/>
                    </w:rPr>
                  </w:pPr>
                </w:p>
              </w:tc>
              <w:tc>
                <w:tcPr>
                  <w:tcW w:w="846" w:type="dxa"/>
                  <w:shd w:val="clear" w:color="auto" w:fill="auto"/>
                  <w:vAlign w:val="center"/>
                </w:tcPr>
                <w:p>
                  <w:pPr>
                    <w:jc w:val="center"/>
                    <w:rPr>
                      <w:rFonts w:cs="Times New Roman"/>
                      <w:sz w:val="21"/>
                      <w:szCs w:val="21"/>
                    </w:rPr>
                  </w:pPr>
                  <w:r>
                    <w:rPr>
                      <w:rFonts w:cs="Times New Roman"/>
                      <w:kern w:val="0"/>
                      <w:sz w:val="21"/>
                      <w:szCs w:val="21"/>
                    </w:rPr>
                    <w:t>3#</w:t>
                  </w:r>
                </w:p>
              </w:tc>
              <w:tc>
                <w:tcPr>
                  <w:tcW w:w="975" w:type="dxa"/>
                  <w:shd w:val="clear" w:color="auto" w:fill="auto"/>
                  <w:vAlign w:val="center"/>
                </w:tcPr>
                <w:p>
                  <w:pPr>
                    <w:jc w:val="center"/>
                    <w:rPr>
                      <w:rFonts w:cs="Times New Roman"/>
                      <w:sz w:val="21"/>
                      <w:szCs w:val="21"/>
                    </w:rPr>
                  </w:pPr>
                  <w:r>
                    <w:rPr>
                      <w:rFonts w:cs="Times New Roman"/>
                      <w:sz w:val="21"/>
                      <w:szCs w:val="21"/>
                    </w:rPr>
                    <w:t>69</w:t>
                  </w:r>
                </w:p>
              </w:tc>
              <w:tc>
                <w:tcPr>
                  <w:tcW w:w="1339" w:type="dxa"/>
                  <w:shd w:val="clear" w:color="auto" w:fill="auto"/>
                  <w:vAlign w:val="center"/>
                </w:tcPr>
                <w:p>
                  <w:pPr>
                    <w:jc w:val="center"/>
                    <w:rPr>
                      <w:rFonts w:cs="Times New Roman"/>
                      <w:bCs/>
                      <w:sz w:val="21"/>
                      <w:szCs w:val="21"/>
                    </w:rPr>
                  </w:pPr>
                  <w:r>
                    <w:rPr>
                      <w:rFonts w:cs="Times New Roman"/>
                      <w:bCs/>
                      <w:sz w:val="21"/>
                      <w:szCs w:val="21"/>
                    </w:rPr>
                    <w:t>大：18</w:t>
                  </w:r>
                </w:p>
                <w:p>
                  <w:pPr>
                    <w:jc w:val="center"/>
                    <w:rPr>
                      <w:rFonts w:cs="Times New Roman"/>
                      <w:bCs/>
                      <w:sz w:val="21"/>
                      <w:szCs w:val="21"/>
                    </w:rPr>
                  </w:pPr>
                  <w:r>
                    <w:rPr>
                      <w:rFonts w:cs="Times New Roman"/>
                      <w:bCs/>
                      <w:sz w:val="21"/>
                      <w:szCs w:val="21"/>
                    </w:rPr>
                    <w:t>中：0</w:t>
                  </w:r>
                </w:p>
                <w:p>
                  <w:pPr>
                    <w:jc w:val="center"/>
                    <w:rPr>
                      <w:rFonts w:cs="Times New Roman"/>
                      <w:sz w:val="21"/>
                      <w:szCs w:val="21"/>
                    </w:rPr>
                  </w:pPr>
                  <w:r>
                    <w:rPr>
                      <w:rFonts w:cs="Times New Roman"/>
                      <w:bCs/>
                      <w:sz w:val="21"/>
                      <w:szCs w:val="21"/>
                    </w:rPr>
                    <w:t>小：6</w:t>
                  </w:r>
                </w:p>
              </w:tc>
              <w:tc>
                <w:tcPr>
                  <w:tcW w:w="954" w:type="dxa"/>
                  <w:shd w:val="clear" w:color="auto" w:fill="auto"/>
                  <w:vAlign w:val="center"/>
                </w:tcPr>
                <w:p>
                  <w:pPr>
                    <w:jc w:val="center"/>
                    <w:rPr>
                      <w:rFonts w:cs="Times New Roman"/>
                      <w:sz w:val="21"/>
                      <w:szCs w:val="21"/>
                    </w:rPr>
                  </w:pPr>
                  <w:r>
                    <w:rPr>
                      <w:rFonts w:cs="Times New Roman"/>
                      <w:sz w:val="21"/>
                      <w:szCs w:val="21"/>
                    </w:rPr>
                    <w:t>52</w:t>
                  </w:r>
                </w:p>
              </w:tc>
              <w:tc>
                <w:tcPr>
                  <w:tcW w:w="1444" w:type="dxa"/>
                  <w:shd w:val="clear" w:color="auto" w:fill="auto"/>
                  <w:vAlign w:val="center"/>
                </w:tcPr>
                <w:p>
                  <w:pPr>
                    <w:jc w:val="center"/>
                    <w:rPr>
                      <w:rFonts w:cs="Times New Roman"/>
                      <w:bCs/>
                      <w:sz w:val="21"/>
                      <w:szCs w:val="21"/>
                    </w:rPr>
                  </w:pPr>
                  <w:r>
                    <w:rPr>
                      <w:rFonts w:cs="Times New Roman"/>
                      <w:bCs/>
                      <w:sz w:val="21"/>
                      <w:szCs w:val="21"/>
                    </w:rPr>
                    <w:t>大：6</w:t>
                  </w:r>
                </w:p>
                <w:p>
                  <w:pPr>
                    <w:jc w:val="center"/>
                    <w:rPr>
                      <w:rFonts w:cs="Times New Roman"/>
                      <w:bCs/>
                      <w:sz w:val="21"/>
                      <w:szCs w:val="21"/>
                    </w:rPr>
                  </w:pPr>
                  <w:r>
                    <w:rPr>
                      <w:rFonts w:cs="Times New Roman"/>
                      <w:bCs/>
                      <w:sz w:val="21"/>
                      <w:szCs w:val="21"/>
                    </w:rPr>
                    <w:t>中：0</w:t>
                  </w:r>
                </w:p>
                <w:p>
                  <w:pPr>
                    <w:jc w:val="center"/>
                    <w:rPr>
                      <w:rFonts w:cs="Times New Roman"/>
                      <w:sz w:val="21"/>
                      <w:szCs w:val="21"/>
                    </w:rPr>
                  </w:pPr>
                  <w:r>
                    <w:rPr>
                      <w:rFonts w:cs="Times New Roman"/>
                      <w:bCs/>
                      <w:sz w:val="21"/>
                      <w:szCs w:val="21"/>
                    </w:rPr>
                    <w:t>小：3</w:t>
                  </w:r>
                </w:p>
              </w:tc>
              <w:tc>
                <w:tcPr>
                  <w:tcW w:w="1357" w:type="dxa"/>
                  <w:shd w:val="clear" w:color="auto" w:fill="auto"/>
                  <w:vAlign w:val="center"/>
                </w:tcPr>
                <w:p>
                  <w:pPr>
                    <w:jc w:val="center"/>
                    <w:rPr>
                      <w:rFonts w:cs="Times New Roman"/>
                      <w:sz w:val="21"/>
                      <w:szCs w:val="21"/>
                    </w:rPr>
                  </w:pPr>
                  <w:r>
                    <w:rPr>
                      <w:rFonts w:cs="Times New Roman"/>
                      <w:bCs/>
                      <w:sz w:val="21"/>
                      <w:szCs w:val="21"/>
                    </w:rPr>
                    <w:t>主要声源：交通噪声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continue"/>
                  <w:shd w:val="clear" w:color="auto" w:fill="auto"/>
                  <w:vAlign w:val="center"/>
                </w:tcPr>
                <w:p>
                  <w:pPr>
                    <w:jc w:val="center"/>
                    <w:rPr>
                      <w:rFonts w:cs="Times New Roman"/>
                      <w:sz w:val="21"/>
                      <w:szCs w:val="21"/>
                    </w:rPr>
                  </w:pPr>
                </w:p>
              </w:tc>
              <w:tc>
                <w:tcPr>
                  <w:tcW w:w="1286" w:type="dxa"/>
                  <w:vMerge w:val="continue"/>
                  <w:shd w:val="clear" w:color="auto" w:fill="auto"/>
                  <w:vAlign w:val="center"/>
                </w:tcPr>
                <w:p>
                  <w:pPr>
                    <w:jc w:val="center"/>
                    <w:rPr>
                      <w:rFonts w:cs="Times New Roman"/>
                      <w:kern w:val="0"/>
                      <w:sz w:val="21"/>
                      <w:szCs w:val="21"/>
                    </w:rPr>
                  </w:pPr>
                </w:p>
              </w:tc>
              <w:tc>
                <w:tcPr>
                  <w:tcW w:w="846" w:type="dxa"/>
                  <w:shd w:val="clear" w:color="auto" w:fill="auto"/>
                  <w:vAlign w:val="center"/>
                </w:tcPr>
                <w:p>
                  <w:pPr>
                    <w:jc w:val="center"/>
                    <w:rPr>
                      <w:rFonts w:cs="Times New Roman"/>
                      <w:kern w:val="0"/>
                      <w:sz w:val="21"/>
                      <w:szCs w:val="21"/>
                    </w:rPr>
                  </w:pPr>
                  <w:r>
                    <w:rPr>
                      <w:rFonts w:cs="Times New Roman"/>
                      <w:kern w:val="0"/>
                      <w:sz w:val="21"/>
                      <w:szCs w:val="21"/>
                    </w:rPr>
                    <w:t>4#</w:t>
                  </w:r>
                </w:p>
              </w:tc>
              <w:tc>
                <w:tcPr>
                  <w:tcW w:w="975" w:type="dxa"/>
                  <w:shd w:val="clear" w:color="auto" w:fill="auto"/>
                  <w:vAlign w:val="center"/>
                </w:tcPr>
                <w:p>
                  <w:pPr>
                    <w:jc w:val="center"/>
                    <w:rPr>
                      <w:rFonts w:cs="Times New Roman"/>
                      <w:sz w:val="21"/>
                      <w:szCs w:val="21"/>
                    </w:rPr>
                  </w:pPr>
                  <w:r>
                    <w:rPr>
                      <w:rFonts w:cs="Times New Roman"/>
                      <w:sz w:val="21"/>
                      <w:szCs w:val="21"/>
                    </w:rPr>
                    <w:t>50</w:t>
                  </w:r>
                </w:p>
              </w:tc>
              <w:tc>
                <w:tcPr>
                  <w:tcW w:w="1339" w:type="dxa"/>
                  <w:shd w:val="clear" w:color="auto" w:fill="auto"/>
                  <w:vAlign w:val="center"/>
                </w:tcPr>
                <w:p>
                  <w:pPr>
                    <w:jc w:val="center"/>
                    <w:rPr>
                      <w:rFonts w:cs="Times New Roman"/>
                      <w:sz w:val="21"/>
                      <w:szCs w:val="21"/>
                    </w:rPr>
                  </w:pPr>
                  <w:r>
                    <w:rPr>
                      <w:rFonts w:cs="Times New Roman"/>
                      <w:sz w:val="21"/>
                      <w:szCs w:val="21"/>
                    </w:rPr>
                    <w:t>/</w:t>
                  </w:r>
                </w:p>
              </w:tc>
              <w:tc>
                <w:tcPr>
                  <w:tcW w:w="954" w:type="dxa"/>
                  <w:shd w:val="clear" w:color="auto" w:fill="auto"/>
                  <w:vAlign w:val="center"/>
                </w:tcPr>
                <w:p>
                  <w:pPr>
                    <w:jc w:val="center"/>
                    <w:rPr>
                      <w:rFonts w:cs="Times New Roman"/>
                      <w:sz w:val="21"/>
                      <w:szCs w:val="21"/>
                    </w:rPr>
                  </w:pPr>
                  <w:r>
                    <w:rPr>
                      <w:rFonts w:cs="Times New Roman"/>
                      <w:sz w:val="21"/>
                      <w:szCs w:val="21"/>
                    </w:rPr>
                    <w:t>44</w:t>
                  </w:r>
                </w:p>
              </w:tc>
              <w:tc>
                <w:tcPr>
                  <w:tcW w:w="1444" w:type="dxa"/>
                  <w:shd w:val="clear" w:color="auto" w:fill="auto"/>
                  <w:vAlign w:val="center"/>
                </w:tcPr>
                <w:p>
                  <w:pPr>
                    <w:jc w:val="center"/>
                    <w:rPr>
                      <w:rFonts w:cs="Times New Roman"/>
                      <w:sz w:val="21"/>
                      <w:szCs w:val="21"/>
                    </w:rPr>
                  </w:pPr>
                  <w:r>
                    <w:rPr>
                      <w:rFonts w:cs="Times New Roman"/>
                      <w:sz w:val="21"/>
                      <w:szCs w:val="21"/>
                    </w:rPr>
                    <w:t>/</w:t>
                  </w:r>
                </w:p>
              </w:tc>
              <w:tc>
                <w:tcPr>
                  <w:tcW w:w="1357"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continue"/>
                  <w:shd w:val="clear" w:color="auto" w:fill="auto"/>
                  <w:vAlign w:val="center"/>
                </w:tcPr>
                <w:p>
                  <w:pPr>
                    <w:jc w:val="center"/>
                    <w:rPr>
                      <w:rFonts w:cs="Times New Roman"/>
                      <w:sz w:val="21"/>
                      <w:szCs w:val="21"/>
                    </w:rPr>
                  </w:pPr>
                </w:p>
              </w:tc>
              <w:tc>
                <w:tcPr>
                  <w:tcW w:w="1286" w:type="dxa"/>
                  <w:vMerge w:val="continue"/>
                  <w:shd w:val="clear" w:color="auto" w:fill="auto"/>
                  <w:vAlign w:val="center"/>
                </w:tcPr>
                <w:p>
                  <w:pPr>
                    <w:jc w:val="center"/>
                    <w:rPr>
                      <w:rFonts w:cs="Times New Roman"/>
                      <w:kern w:val="0"/>
                      <w:sz w:val="21"/>
                      <w:szCs w:val="21"/>
                    </w:rPr>
                  </w:pPr>
                </w:p>
              </w:tc>
              <w:tc>
                <w:tcPr>
                  <w:tcW w:w="846" w:type="dxa"/>
                  <w:shd w:val="clear" w:color="auto" w:fill="auto"/>
                  <w:vAlign w:val="center"/>
                </w:tcPr>
                <w:p>
                  <w:pPr>
                    <w:jc w:val="center"/>
                    <w:rPr>
                      <w:rFonts w:cs="Times New Roman"/>
                      <w:kern w:val="0"/>
                      <w:sz w:val="21"/>
                      <w:szCs w:val="21"/>
                    </w:rPr>
                  </w:pPr>
                  <w:r>
                    <w:rPr>
                      <w:rFonts w:cs="Times New Roman"/>
                      <w:kern w:val="0"/>
                      <w:sz w:val="21"/>
                      <w:szCs w:val="21"/>
                    </w:rPr>
                    <w:t>5#</w:t>
                  </w:r>
                </w:p>
              </w:tc>
              <w:tc>
                <w:tcPr>
                  <w:tcW w:w="975" w:type="dxa"/>
                  <w:shd w:val="clear" w:color="auto" w:fill="auto"/>
                  <w:vAlign w:val="center"/>
                </w:tcPr>
                <w:p>
                  <w:pPr>
                    <w:jc w:val="center"/>
                    <w:rPr>
                      <w:rFonts w:cs="Times New Roman"/>
                      <w:sz w:val="21"/>
                      <w:szCs w:val="21"/>
                    </w:rPr>
                  </w:pPr>
                  <w:r>
                    <w:rPr>
                      <w:rFonts w:cs="Times New Roman"/>
                      <w:sz w:val="21"/>
                      <w:szCs w:val="21"/>
                    </w:rPr>
                    <w:t>52</w:t>
                  </w:r>
                </w:p>
              </w:tc>
              <w:tc>
                <w:tcPr>
                  <w:tcW w:w="1339" w:type="dxa"/>
                  <w:shd w:val="clear" w:color="auto" w:fill="auto"/>
                  <w:vAlign w:val="center"/>
                </w:tcPr>
                <w:p>
                  <w:pPr>
                    <w:jc w:val="center"/>
                    <w:rPr>
                      <w:rFonts w:cs="Times New Roman"/>
                      <w:sz w:val="21"/>
                      <w:szCs w:val="21"/>
                    </w:rPr>
                  </w:pPr>
                  <w:r>
                    <w:rPr>
                      <w:rFonts w:cs="Times New Roman"/>
                      <w:sz w:val="21"/>
                      <w:szCs w:val="21"/>
                    </w:rPr>
                    <w:t>/</w:t>
                  </w:r>
                </w:p>
              </w:tc>
              <w:tc>
                <w:tcPr>
                  <w:tcW w:w="954" w:type="dxa"/>
                  <w:shd w:val="clear" w:color="auto" w:fill="auto"/>
                  <w:vAlign w:val="center"/>
                </w:tcPr>
                <w:p>
                  <w:pPr>
                    <w:jc w:val="center"/>
                    <w:rPr>
                      <w:rFonts w:cs="Times New Roman"/>
                      <w:sz w:val="21"/>
                      <w:szCs w:val="21"/>
                    </w:rPr>
                  </w:pPr>
                  <w:r>
                    <w:rPr>
                      <w:rFonts w:cs="Times New Roman"/>
                      <w:sz w:val="21"/>
                      <w:szCs w:val="21"/>
                    </w:rPr>
                    <w:t>47</w:t>
                  </w:r>
                </w:p>
              </w:tc>
              <w:tc>
                <w:tcPr>
                  <w:tcW w:w="1444" w:type="dxa"/>
                  <w:shd w:val="clear" w:color="auto" w:fill="auto"/>
                  <w:vAlign w:val="center"/>
                </w:tcPr>
                <w:p>
                  <w:pPr>
                    <w:jc w:val="center"/>
                    <w:rPr>
                      <w:rFonts w:cs="Times New Roman"/>
                      <w:sz w:val="21"/>
                      <w:szCs w:val="21"/>
                    </w:rPr>
                  </w:pPr>
                  <w:r>
                    <w:rPr>
                      <w:rFonts w:cs="Times New Roman"/>
                      <w:sz w:val="21"/>
                      <w:szCs w:val="21"/>
                    </w:rPr>
                    <w:t>/</w:t>
                  </w:r>
                </w:p>
              </w:tc>
              <w:tc>
                <w:tcPr>
                  <w:tcW w:w="1357"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continue"/>
                  <w:shd w:val="clear" w:color="auto" w:fill="auto"/>
                  <w:vAlign w:val="center"/>
                </w:tcPr>
                <w:p>
                  <w:pPr>
                    <w:jc w:val="center"/>
                    <w:rPr>
                      <w:rFonts w:cs="Times New Roman"/>
                      <w:sz w:val="21"/>
                      <w:szCs w:val="21"/>
                    </w:rPr>
                  </w:pPr>
                </w:p>
              </w:tc>
              <w:tc>
                <w:tcPr>
                  <w:tcW w:w="1286" w:type="dxa"/>
                  <w:vMerge w:val="restart"/>
                  <w:shd w:val="clear" w:color="auto" w:fill="auto"/>
                  <w:vAlign w:val="center"/>
                </w:tcPr>
                <w:p>
                  <w:pPr>
                    <w:jc w:val="center"/>
                    <w:rPr>
                      <w:rFonts w:cs="Times New Roman"/>
                      <w:kern w:val="0"/>
                      <w:sz w:val="21"/>
                      <w:szCs w:val="21"/>
                    </w:rPr>
                  </w:pPr>
                  <w:r>
                    <w:rPr>
                      <w:rFonts w:cs="Times New Roman"/>
                      <w:sz w:val="21"/>
                      <w:szCs w:val="21"/>
                    </w:rPr>
                    <w:t>2020年11月23日</w:t>
                  </w:r>
                </w:p>
              </w:tc>
              <w:tc>
                <w:tcPr>
                  <w:tcW w:w="846" w:type="dxa"/>
                  <w:shd w:val="clear" w:color="auto" w:fill="auto"/>
                  <w:vAlign w:val="center"/>
                </w:tcPr>
                <w:p>
                  <w:pPr>
                    <w:jc w:val="center"/>
                    <w:rPr>
                      <w:rFonts w:cs="Times New Roman"/>
                      <w:kern w:val="0"/>
                      <w:sz w:val="21"/>
                      <w:szCs w:val="21"/>
                    </w:rPr>
                  </w:pPr>
                  <w:r>
                    <w:rPr>
                      <w:rFonts w:cs="Times New Roman"/>
                      <w:sz w:val="21"/>
                      <w:szCs w:val="21"/>
                    </w:rPr>
                    <w:t>1#</w:t>
                  </w:r>
                </w:p>
              </w:tc>
              <w:tc>
                <w:tcPr>
                  <w:tcW w:w="975" w:type="dxa"/>
                  <w:shd w:val="clear" w:color="auto" w:fill="auto"/>
                  <w:vAlign w:val="center"/>
                </w:tcPr>
                <w:p>
                  <w:pPr>
                    <w:jc w:val="center"/>
                    <w:rPr>
                      <w:rFonts w:cs="Times New Roman"/>
                      <w:sz w:val="21"/>
                      <w:szCs w:val="21"/>
                    </w:rPr>
                  </w:pPr>
                  <w:r>
                    <w:rPr>
                      <w:rFonts w:cs="Times New Roman"/>
                      <w:sz w:val="21"/>
                      <w:szCs w:val="21"/>
                    </w:rPr>
                    <w:t>48</w:t>
                  </w:r>
                </w:p>
              </w:tc>
              <w:tc>
                <w:tcPr>
                  <w:tcW w:w="1339" w:type="dxa"/>
                  <w:shd w:val="clear" w:color="auto" w:fill="auto"/>
                  <w:vAlign w:val="center"/>
                </w:tcPr>
                <w:p>
                  <w:pPr>
                    <w:jc w:val="center"/>
                    <w:rPr>
                      <w:rFonts w:cs="Times New Roman"/>
                      <w:sz w:val="21"/>
                      <w:szCs w:val="21"/>
                    </w:rPr>
                  </w:pPr>
                  <w:r>
                    <w:rPr>
                      <w:rFonts w:cs="Times New Roman"/>
                      <w:sz w:val="21"/>
                      <w:szCs w:val="21"/>
                    </w:rPr>
                    <w:t>/</w:t>
                  </w:r>
                </w:p>
              </w:tc>
              <w:tc>
                <w:tcPr>
                  <w:tcW w:w="954" w:type="dxa"/>
                  <w:shd w:val="clear" w:color="auto" w:fill="auto"/>
                  <w:vAlign w:val="center"/>
                </w:tcPr>
                <w:p>
                  <w:pPr>
                    <w:jc w:val="center"/>
                    <w:rPr>
                      <w:rFonts w:cs="Times New Roman"/>
                      <w:sz w:val="21"/>
                      <w:szCs w:val="21"/>
                    </w:rPr>
                  </w:pPr>
                  <w:r>
                    <w:rPr>
                      <w:rFonts w:cs="Times New Roman"/>
                      <w:sz w:val="21"/>
                      <w:szCs w:val="21"/>
                    </w:rPr>
                    <w:t>43</w:t>
                  </w:r>
                </w:p>
              </w:tc>
              <w:tc>
                <w:tcPr>
                  <w:tcW w:w="1444" w:type="dxa"/>
                  <w:shd w:val="clear" w:color="auto" w:fill="auto"/>
                  <w:vAlign w:val="center"/>
                </w:tcPr>
                <w:p>
                  <w:pPr>
                    <w:jc w:val="center"/>
                    <w:rPr>
                      <w:rFonts w:cs="Times New Roman"/>
                      <w:sz w:val="21"/>
                      <w:szCs w:val="21"/>
                    </w:rPr>
                  </w:pPr>
                  <w:r>
                    <w:rPr>
                      <w:rFonts w:cs="Times New Roman"/>
                      <w:sz w:val="21"/>
                      <w:szCs w:val="21"/>
                    </w:rPr>
                    <w:t>/</w:t>
                  </w:r>
                </w:p>
              </w:tc>
              <w:tc>
                <w:tcPr>
                  <w:tcW w:w="1357"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continue"/>
                  <w:shd w:val="clear" w:color="auto" w:fill="auto"/>
                </w:tcPr>
                <w:p>
                  <w:pPr>
                    <w:jc w:val="center"/>
                    <w:rPr>
                      <w:rFonts w:cs="Times New Roman"/>
                      <w:sz w:val="21"/>
                      <w:szCs w:val="21"/>
                    </w:rPr>
                  </w:pPr>
                </w:p>
              </w:tc>
              <w:tc>
                <w:tcPr>
                  <w:tcW w:w="1286" w:type="dxa"/>
                  <w:vMerge w:val="continue"/>
                  <w:shd w:val="clear" w:color="auto" w:fill="auto"/>
                  <w:vAlign w:val="center"/>
                </w:tcPr>
                <w:p>
                  <w:pPr>
                    <w:jc w:val="center"/>
                    <w:rPr>
                      <w:rFonts w:cs="Times New Roman"/>
                      <w:kern w:val="0"/>
                      <w:sz w:val="21"/>
                      <w:szCs w:val="21"/>
                    </w:rPr>
                  </w:pPr>
                </w:p>
              </w:tc>
              <w:tc>
                <w:tcPr>
                  <w:tcW w:w="846" w:type="dxa"/>
                  <w:shd w:val="clear" w:color="auto" w:fill="auto"/>
                  <w:vAlign w:val="center"/>
                </w:tcPr>
                <w:p>
                  <w:pPr>
                    <w:jc w:val="center"/>
                    <w:rPr>
                      <w:rFonts w:cs="Times New Roman"/>
                      <w:kern w:val="0"/>
                      <w:sz w:val="21"/>
                      <w:szCs w:val="21"/>
                    </w:rPr>
                  </w:pPr>
                  <w:r>
                    <w:rPr>
                      <w:rFonts w:cs="Times New Roman"/>
                      <w:kern w:val="0"/>
                      <w:sz w:val="21"/>
                      <w:szCs w:val="21"/>
                    </w:rPr>
                    <w:t>2#</w:t>
                  </w:r>
                </w:p>
              </w:tc>
              <w:tc>
                <w:tcPr>
                  <w:tcW w:w="975" w:type="dxa"/>
                  <w:shd w:val="clear" w:color="auto" w:fill="auto"/>
                  <w:vAlign w:val="center"/>
                </w:tcPr>
                <w:p>
                  <w:pPr>
                    <w:jc w:val="center"/>
                    <w:rPr>
                      <w:rFonts w:cs="Times New Roman"/>
                      <w:sz w:val="21"/>
                      <w:szCs w:val="21"/>
                    </w:rPr>
                  </w:pPr>
                  <w:r>
                    <w:rPr>
                      <w:rFonts w:cs="Times New Roman"/>
                      <w:sz w:val="21"/>
                      <w:szCs w:val="21"/>
                    </w:rPr>
                    <w:t>49</w:t>
                  </w:r>
                </w:p>
              </w:tc>
              <w:tc>
                <w:tcPr>
                  <w:tcW w:w="1339" w:type="dxa"/>
                  <w:shd w:val="clear" w:color="auto" w:fill="auto"/>
                  <w:vAlign w:val="center"/>
                </w:tcPr>
                <w:p>
                  <w:pPr>
                    <w:jc w:val="center"/>
                    <w:rPr>
                      <w:rFonts w:cs="Times New Roman"/>
                      <w:sz w:val="21"/>
                      <w:szCs w:val="21"/>
                    </w:rPr>
                  </w:pPr>
                  <w:r>
                    <w:rPr>
                      <w:rFonts w:cs="Times New Roman"/>
                      <w:sz w:val="21"/>
                      <w:szCs w:val="21"/>
                    </w:rPr>
                    <w:t>/</w:t>
                  </w:r>
                </w:p>
              </w:tc>
              <w:tc>
                <w:tcPr>
                  <w:tcW w:w="954" w:type="dxa"/>
                  <w:shd w:val="clear" w:color="auto" w:fill="auto"/>
                  <w:vAlign w:val="center"/>
                </w:tcPr>
                <w:p>
                  <w:pPr>
                    <w:jc w:val="center"/>
                    <w:rPr>
                      <w:rFonts w:cs="Times New Roman"/>
                      <w:sz w:val="21"/>
                      <w:szCs w:val="21"/>
                    </w:rPr>
                  </w:pPr>
                  <w:r>
                    <w:rPr>
                      <w:rFonts w:cs="Times New Roman"/>
                      <w:sz w:val="21"/>
                      <w:szCs w:val="21"/>
                    </w:rPr>
                    <w:t>45</w:t>
                  </w:r>
                </w:p>
              </w:tc>
              <w:tc>
                <w:tcPr>
                  <w:tcW w:w="1444" w:type="dxa"/>
                  <w:shd w:val="clear" w:color="auto" w:fill="auto"/>
                  <w:vAlign w:val="center"/>
                </w:tcPr>
                <w:p>
                  <w:pPr>
                    <w:jc w:val="center"/>
                    <w:rPr>
                      <w:rFonts w:cs="Times New Roman"/>
                      <w:sz w:val="21"/>
                      <w:szCs w:val="21"/>
                    </w:rPr>
                  </w:pPr>
                  <w:r>
                    <w:rPr>
                      <w:rFonts w:cs="Times New Roman"/>
                      <w:sz w:val="21"/>
                      <w:szCs w:val="21"/>
                    </w:rPr>
                    <w:t>/</w:t>
                  </w:r>
                </w:p>
              </w:tc>
              <w:tc>
                <w:tcPr>
                  <w:tcW w:w="1357"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continue"/>
                  <w:shd w:val="clear" w:color="auto" w:fill="auto"/>
                </w:tcPr>
                <w:p>
                  <w:pPr>
                    <w:jc w:val="center"/>
                    <w:rPr>
                      <w:rFonts w:cs="Times New Roman"/>
                      <w:sz w:val="21"/>
                      <w:szCs w:val="21"/>
                    </w:rPr>
                  </w:pPr>
                </w:p>
              </w:tc>
              <w:tc>
                <w:tcPr>
                  <w:tcW w:w="1286" w:type="dxa"/>
                  <w:vMerge w:val="continue"/>
                  <w:shd w:val="clear" w:color="auto" w:fill="auto"/>
                  <w:vAlign w:val="center"/>
                </w:tcPr>
                <w:p>
                  <w:pPr>
                    <w:jc w:val="center"/>
                    <w:rPr>
                      <w:rFonts w:cs="Times New Roman"/>
                      <w:kern w:val="0"/>
                      <w:sz w:val="21"/>
                      <w:szCs w:val="21"/>
                    </w:rPr>
                  </w:pPr>
                </w:p>
              </w:tc>
              <w:tc>
                <w:tcPr>
                  <w:tcW w:w="846" w:type="dxa"/>
                  <w:shd w:val="clear" w:color="auto" w:fill="auto"/>
                  <w:vAlign w:val="center"/>
                </w:tcPr>
                <w:p>
                  <w:pPr>
                    <w:jc w:val="center"/>
                    <w:rPr>
                      <w:rFonts w:cs="Times New Roman"/>
                      <w:kern w:val="0"/>
                      <w:sz w:val="21"/>
                      <w:szCs w:val="21"/>
                    </w:rPr>
                  </w:pPr>
                  <w:r>
                    <w:rPr>
                      <w:rFonts w:cs="Times New Roman"/>
                      <w:kern w:val="0"/>
                      <w:sz w:val="21"/>
                      <w:szCs w:val="21"/>
                    </w:rPr>
                    <w:t>3#</w:t>
                  </w:r>
                </w:p>
              </w:tc>
              <w:tc>
                <w:tcPr>
                  <w:tcW w:w="975" w:type="dxa"/>
                  <w:shd w:val="clear" w:color="auto" w:fill="auto"/>
                  <w:vAlign w:val="center"/>
                </w:tcPr>
                <w:p>
                  <w:pPr>
                    <w:jc w:val="center"/>
                    <w:rPr>
                      <w:rFonts w:cs="Times New Roman"/>
                      <w:sz w:val="21"/>
                      <w:szCs w:val="21"/>
                    </w:rPr>
                  </w:pPr>
                  <w:r>
                    <w:rPr>
                      <w:rFonts w:cs="Times New Roman"/>
                      <w:sz w:val="21"/>
                      <w:szCs w:val="21"/>
                    </w:rPr>
                    <w:t>67</w:t>
                  </w:r>
                </w:p>
              </w:tc>
              <w:tc>
                <w:tcPr>
                  <w:tcW w:w="1339" w:type="dxa"/>
                  <w:shd w:val="clear" w:color="auto" w:fill="auto"/>
                  <w:vAlign w:val="center"/>
                </w:tcPr>
                <w:p>
                  <w:pPr>
                    <w:jc w:val="center"/>
                    <w:rPr>
                      <w:rFonts w:cs="Times New Roman"/>
                      <w:bCs/>
                      <w:sz w:val="21"/>
                      <w:szCs w:val="21"/>
                    </w:rPr>
                  </w:pPr>
                  <w:r>
                    <w:rPr>
                      <w:rFonts w:cs="Times New Roman"/>
                      <w:bCs/>
                      <w:sz w:val="21"/>
                      <w:szCs w:val="21"/>
                    </w:rPr>
                    <w:t>大：6</w:t>
                  </w:r>
                </w:p>
                <w:p>
                  <w:pPr>
                    <w:jc w:val="center"/>
                    <w:rPr>
                      <w:rFonts w:cs="Times New Roman"/>
                      <w:bCs/>
                      <w:sz w:val="21"/>
                      <w:szCs w:val="21"/>
                    </w:rPr>
                  </w:pPr>
                  <w:r>
                    <w:rPr>
                      <w:rFonts w:cs="Times New Roman"/>
                      <w:bCs/>
                      <w:sz w:val="21"/>
                      <w:szCs w:val="21"/>
                    </w:rPr>
                    <w:t>中：0</w:t>
                  </w:r>
                </w:p>
                <w:p>
                  <w:pPr>
                    <w:jc w:val="center"/>
                    <w:rPr>
                      <w:rFonts w:cs="Times New Roman"/>
                      <w:sz w:val="21"/>
                      <w:szCs w:val="21"/>
                    </w:rPr>
                  </w:pPr>
                  <w:r>
                    <w:rPr>
                      <w:rFonts w:cs="Times New Roman"/>
                      <w:bCs/>
                      <w:sz w:val="21"/>
                      <w:szCs w:val="21"/>
                    </w:rPr>
                    <w:t>小：6</w:t>
                  </w:r>
                </w:p>
              </w:tc>
              <w:tc>
                <w:tcPr>
                  <w:tcW w:w="954" w:type="dxa"/>
                  <w:shd w:val="clear" w:color="auto" w:fill="auto"/>
                  <w:vAlign w:val="center"/>
                </w:tcPr>
                <w:p>
                  <w:pPr>
                    <w:jc w:val="center"/>
                    <w:rPr>
                      <w:rFonts w:cs="Times New Roman"/>
                      <w:sz w:val="21"/>
                      <w:szCs w:val="21"/>
                    </w:rPr>
                  </w:pPr>
                  <w:r>
                    <w:rPr>
                      <w:rFonts w:cs="Times New Roman"/>
                      <w:sz w:val="21"/>
                      <w:szCs w:val="21"/>
                    </w:rPr>
                    <w:t>53</w:t>
                  </w:r>
                </w:p>
              </w:tc>
              <w:tc>
                <w:tcPr>
                  <w:tcW w:w="1444" w:type="dxa"/>
                  <w:shd w:val="clear" w:color="auto" w:fill="auto"/>
                  <w:vAlign w:val="center"/>
                </w:tcPr>
                <w:p>
                  <w:pPr>
                    <w:jc w:val="center"/>
                    <w:rPr>
                      <w:rFonts w:cs="Times New Roman"/>
                      <w:bCs/>
                      <w:sz w:val="21"/>
                      <w:szCs w:val="21"/>
                    </w:rPr>
                  </w:pPr>
                  <w:r>
                    <w:rPr>
                      <w:rFonts w:cs="Times New Roman"/>
                      <w:bCs/>
                      <w:sz w:val="21"/>
                      <w:szCs w:val="21"/>
                    </w:rPr>
                    <w:t>大：3</w:t>
                  </w:r>
                </w:p>
                <w:p>
                  <w:pPr>
                    <w:jc w:val="center"/>
                    <w:rPr>
                      <w:rFonts w:cs="Times New Roman"/>
                      <w:bCs/>
                      <w:sz w:val="21"/>
                      <w:szCs w:val="21"/>
                    </w:rPr>
                  </w:pPr>
                  <w:r>
                    <w:rPr>
                      <w:rFonts w:cs="Times New Roman"/>
                      <w:bCs/>
                      <w:sz w:val="21"/>
                      <w:szCs w:val="21"/>
                    </w:rPr>
                    <w:t>中：0</w:t>
                  </w:r>
                </w:p>
                <w:p>
                  <w:pPr>
                    <w:jc w:val="center"/>
                    <w:rPr>
                      <w:rFonts w:cs="Times New Roman"/>
                      <w:sz w:val="21"/>
                      <w:szCs w:val="21"/>
                    </w:rPr>
                  </w:pPr>
                  <w:r>
                    <w:rPr>
                      <w:rFonts w:cs="Times New Roman"/>
                      <w:bCs/>
                      <w:sz w:val="21"/>
                      <w:szCs w:val="21"/>
                    </w:rPr>
                    <w:t>小：3</w:t>
                  </w:r>
                </w:p>
              </w:tc>
              <w:tc>
                <w:tcPr>
                  <w:tcW w:w="1357" w:type="dxa"/>
                  <w:shd w:val="clear" w:color="auto" w:fill="auto"/>
                  <w:vAlign w:val="center"/>
                </w:tcPr>
                <w:p>
                  <w:pPr>
                    <w:jc w:val="center"/>
                    <w:rPr>
                      <w:rFonts w:cs="Times New Roman"/>
                      <w:sz w:val="21"/>
                      <w:szCs w:val="21"/>
                    </w:rPr>
                  </w:pPr>
                  <w:r>
                    <w:rPr>
                      <w:rFonts w:cs="Times New Roman"/>
                      <w:bCs/>
                      <w:sz w:val="21"/>
                      <w:szCs w:val="21"/>
                    </w:rPr>
                    <w:t>主要声源：交通噪声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continue"/>
                  <w:shd w:val="clear" w:color="auto" w:fill="auto"/>
                </w:tcPr>
                <w:p>
                  <w:pPr>
                    <w:jc w:val="center"/>
                    <w:rPr>
                      <w:rFonts w:cs="Times New Roman"/>
                      <w:sz w:val="21"/>
                      <w:szCs w:val="21"/>
                    </w:rPr>
                  </w:pPr>
                </w:p>
              </w:tc>
              <w:tc>
                <w:tcPr>
                  <w:tcW w:w="1286" w:type="dxa"/>
                  <w:vMerge w:val="continue"/>
                  <w:shd w:val="clear" w:color="auto" w:fill="auto"/>
                  <w:vAlign w:val="center"/>
                </w:tcPr>
                <w:p>
                  <w:pPr>
                    <w:jc w:val="center"/>
                    <w:rPr>
                      <w:rFonts w:cs="Times New Roman"/>
                      <w:kern w:val="0"/>
                      <w:sz w:val="21"/>
                      <w:szCs w:val="21"/>
                    </w:rPr>
                  </w:pPr>
                </w:p>
              </w:tc>
              <w:tc>
                <w:tcPr>
                  <w:tcW w:w="846" w:type="dxa"/>
                  <w:shd w:val="clear" w:color="auto" w:fill="auto"/>
                  <w:vAlign w:val="center"/>
                </w:tcPr>
                <w:p>
                  <w:pPr>
                    <w:jc w:val="center"/>
                    <w:rPr>
                      <w:rFonts w:cs="Times New Roman"/>
                      <w:kern w:val="0"/>
                      <w:sz w:val="21"/>
                      <w:szCs w:val="21"/>
                    </w:rPr>
                  </w:pPr>
                  <w:r>
                    <w:rPr>
                      <w:rFonts w:cs="Times New Roman"/>
                      <w:kern w:val="0"/>
                      <w:sz w:val="21"/>
                      <w:szCs w:val="21"/>
                    </w:rPr>
                    <w:t>4#</w:t>
                  </w:r>
                </w:p>
              </w:tc>
              <w:tc>
                <w:tcPr>
                  <w:tcW w:w="975" w:type="dxa"/>
                  <w:shd w:val="clear" w:color="auto" w:fill="auto"/>
                  <w:vAlign w:val="center"/>
                </w:tcPr>
                <w:p>
                  <w:pPr>
                    <w:jc w:val="center"/>
                    <w:rPr>
                      <w:rFonts w:cs="Times New Roman"/>
                      <w:sz w:val="21"/>
                      <w:szCs w:val="21"/>
                    </w:rPr>
                  </w:pPr>
                  <w:r>
                    <w:rPr>
                      <w:rFonts w:cs="Times New Roman"/>
                      <w:sz w:val="21"/>
                      <w:szCs w:val="21"/>
                    </w:rPr>
                    <w:t>51</w:t>
                  </w:r>
                </w:p>
              </w:tc>
              <w:tc>
                <w:tcPr>
                  <w:tcW w:w="1339" w:type="dxa"/>
                  <w:shd w:val="clear" w:color="auto" w:fill="auto"/>
                  <w:vAlign w:val="center"/>
                </w:tcPr>
                <w:p>
                  <w:pPr>
                    <w:jc w:val="center"/>
                    <w:rPr>
                      <w:rFonts w:cs="Times New Roman"/>
                      <w:sz w:val="21"/>
                      <w:szCs w:val="21"/>
                    </w:rPr>
                  </w:pPr>
                  <w:r>
                    <w:rPr>
                      <w:rFonts w:cs="Times New Roman"/>
                      <w:sz w:val="21"/>
                      <w:szCs w:val="21"/>
                    </w:rPr>
                    <w:t>/</w:t>
                  </w:r>
                </w:p>
              </w:tc>
              <w:tc>
                <w:tcPr>
                  <w:tcW w:w="954" w:type="dxa"/>
                  <w:shd w:val="clear" w:color="auto" w:fill="auto"/>
                  <w:vAlign w:val="center"/>
                </w:tcPr>
                <w:p>
                  <w:pPr>
                    <w:jc w:val="center"/>
                    <w:rPr>
                      <w:rFonts w:cs="Times New Roman"/>
                      <w:sz w:val="21"/>
                      <w:szCs w:val="21"/>
                    </w:rPr>
                  </w:pPr>
                  <w:r>
                    <w:rPr>
                      <w:rFonts w:cs="Times New Roman"/>
                      <w:sz w:val="21"/>
                      <w:szCs w:val="21"/>
                    </w:rPr>
                    <w:t>43</w:t>
                  </w:r>
                </w:p>
              </w:tc>
              <w:tc>
                <w:tcPr>
                  <w:tcW w:w="1444" w:type="dxa"/>
                  <w:shd w:val="clear" w:color="auto" w:fill="auto"/>
                  <w:vAlign w:val="center"/>
                </w:tcPr>
                <w:p>
                  <w:pPr>
                    <w:jc w:val="center"/>
                    <w:rPr>
                      <w:rFonts w:cs="Times New Roman"/>
                      <w:sz w:val="21"/>
                      <w:szCs w:val="21"/>
                    </w:rPr>
                  </w:pPr>
                  <w:r>
                    <w:rPr>
                      <w:rFonts w:cs="Times New Roman"/>
                      <w:sz w:val="21"/>
                      <w:szCs w:val="21"/>
                    </w:rPr>
                    <w:t>/</w:t>
                  </w:r>
                </w:p>
              </w:tc>
              <w:tc>
                <w:tcPr>
                  <w:tcW w:w="1357" w:type="dxa"/>
                  <w:shd w:val="clear" w:color="auto" w:fill="auto"/>
                  <w:vAlign w:val="center"/>
                </w:tcPr>
                <w:p>
                  <w:pPr>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69" w:type="dxa"/>
                  <w:vMerge w:val="continue"/>
                  <w:shd w:val="clear" w:color="auto" w:fill="auto"/>
                </w:tcPr>
                <w:p>
                  <w:pPr>
                    <w:jc w:val="center"/>
                    <w:rPr>
                      <w:rFonts w:cs="Times New Roman"/>
                      <w:sz w:val="21"/>
                      <w:szCs w:val="21"/>
                    </w:rPr>
                  </w:pPr>
                </w:p>
              </w:tc>
              <w:tc>
                <w:tcPr>
                  <w:tcW w:w="1286" w:type="dxa"/>
                  <w:vMerge w:val="continue"/>
                  <w:shd w:val="clear" w:color="auto" w:fill="auto"/>
                  <w:vAlign w:val="center"/>
                </w:tcPr>
                <w:p>
                  <w:pPr>
                    <w:jc w:val="center"/>
                    <w:rPr>
                      <w:rFonts w:cs="Times New Roman"/>
                      <w:kern w:val="0"/>
                      <w:sz w:val="21"/>
                      <w:szCs w:val="21"/>
                    </w:rPr>
                  </w:pPr>
                </w:p>
              </w:tc>
              <w:tc>
                <w:tcPr>
                  <w:tcW w:w="846" w:type="dxa"/>
                  <w:shd w:val="clear" w:color="auto" w:fill="auto"/>
                  <w:vAlign w:val="center"/>
                </w:tcPr>
                <w:p>
                  <w:pPr>
                    <w:jc w:val="center"/>
                    <w:rPr>
                      <w:rFonts w:cs="Times New Roman"/>
                      <w:kern w:val="0"/>
                      <w:sz w:val="21"/>
                      <w:szCs w:val="21"/>
                    </w:rPr>
                  </w:pPr>
                  <w:r>
                    <w:rPr>
                      <w:rFonts w:cs="Times New Roman"/>
                      <w:kern w:val="0"/>
                      <w:sz w:val="21"/>
                      <w:szCs w:val="21"/>
                    </w:rPr>
                    <w:t>5#</w:t>
                  </w:r>
                </w:p>
              </w:tc>
              <w:tc>
                <w:tcPr>
                  <w:tcW w:w="975" w:type="dxa"/>
                  <w:shd w:val="clear" w:color="auto" w:fill="auto"/>
                  <w:vAlign w:val="center"/>
                </w:tcPr>
                <w:p>
                  <w:pPr>
                    <w:jc w:val="center"/>
                    <w:rPr>
                      <w:rFonts w:cs="Times New Roman"/>
                      <w:sz w:val="21"/>
                      <w:szCs w:val="21"/>
                    </w:rPr>
                  </w:pPr>
                  <w:r>
                    <w:rPr>
                      <w:rFonts w:cs="Times New Roman"/>
                      <w:sz w:val="21"/>
                      <w:szCs w:val="21"/>
                    </w:rPr>
                    <w:t>52</w:t>
                  </w:r>
                </w:p>
              </w:tc>
              <w:tc>
                <w:tcPr>
                  <w:tcW w:w="1339" w:type="dxa"/>
                  <w:shd w:val="clear" w:color="auto" w:fill="auto"/>
                  <w:vAlign w:val="center"/>
                </w:tcPr>
                <w:p>
                  <w:pPr>
                    <w:jc w:val="center"/>
                    <w:rPr>
                      <w:rFonts w:cs="Times New Roman"/>
                      <w:sz w:val="21"/>
                      <w:szCs w:val="21"/>
                    </w:rPr>
                  </w:pPr>
                  <w:r>
                    <w:rPr>
                      <w:rFonts w:cs="Times New Roman"/>
                      <w:sz w:val="21"/>
                      <w:szCs w:val="21"/>
                    </w:rPr>
                    <w:t>/</w:t>
                  </w:r>
                </w:p>
              </w:tc>
              <w:tc>
                <w:tcPr>
                  <w:tcW w:w="954" w:type="dxa"/>
                  <w:shd w:val="clear" w:color="auto" w:fill="auto"/>
                  <w:vAlign w:val="center"/>
                </w:tcPr>
                <w:p>
                  <w:pPr>
                    <w:jc w:val="center"/>
                    <w:rPr>
                      <w:rFonts w:cs="Times New Roman"/>
                      <w:sz w:val="21"/>
                      <w:szCs w:val="21"/>
                    </w:rPr>
                  </w:pPr>
                  <w:r>
                    <w:rPr>
                      <w:rFonts w:cs="Times New Roman"/>
                      <w:sz w:val="21"/>
                      <w:szCs w:val="21"/>
                    </w:rPr>
                    <w:t>46</w:t>
                  </w:r>
                </w:p>
              </w:tc>
              <w:tc>
                <w:tcPr>
                  <w:tcW w:w="1444" w:type="dxa"/>
                  <w:shd w:val="clear" w:color="auto" w:fill="auto"/>
                  <w:vAlign w:val="center"/>
                </w:tcPr>
                <w:p>
                  <w:pPr>
                    <w:jc w:val="center"/>
                    <w:rPr>
                      <w:rFonts w:cs="Times New Roman"/>
                      <w:sz w:val="21"/>
                      <w:szCs w:val="21"/>
                    </w:rPr>
                  </w:pPr>
                  <w:r>
                    <w:rPr>
                      <w:rFonts w:cs="Times New Roman"/>
                      <w:sz w:val="21"/>
                      <w:szCs w:val="21"/>
                    </w:rPr>
                    <w:t>/</w:t>
                  </w:r>
                </w:p>
              </w:tc>
              <w:tc>
                <w:tcPr>
                  <w:tcW w:w="1357" w:type="dxa"/>
                  <w:shd w:val="clear" w:color="auto" w:fill="auto"/>
                  <w:vAlign w:val="center"/>
                </w:tcPr>
                <w:p>
                  <w:pPr>
                    <w:jc w:val="center"/>
                    <w:rPr>
                      <w:rFonts w:cs="Times New Roman"/>
                      <w:sz w:val="21"/>
                      <w:szCs w:val="21"/>
                    </w:rPr>
                  </w:pPr>
                  <w:r>
                    <w:rPr>
                      <w:rFonts w:cs="Times New Roman"/>
                      <w:sz w:val="21"/>
                      <w:szCs w:val="21"/>
                    </w:rPr>
                    <w:t>/</w:t>
                  </w:r>
                </w:p>
              </w:tc>
            </w:tr>
          </w:tbl>
          <w:p>
            <w:pPr>
              <w:autoSpaceDE w:val="0"/>
              <w:autoSpaceDN w:val="0"/>
              <w:adjustRightInd w:val="0"/>
              <w:snapToGrid w:val="0"/>
              <w:spacing w:line="360" w:lineRule="auto"/>
              <w:ind w:firstLine="480" w:firstLineChars="200"/>
              <w:textAlignment w:val="center"/>
              <w:rPr>
                <w:rFonts w:cs="Times New Roman"/>
                <w:szCs w:val="24"/>
              </w:rPr>
            </w:pPr>
            <w:r>
              <w:rPr>
                <w:kern w:val="0"/>
                <w:lang w:bidi="ar"/>
              </w:rPr>
              <w:t>从表3-14监测结果可见，</w:t>
            </w:r>
            <w:r>
              <w:rPr>
                <w:rFonts w:hint="eastAsia"/>
                <w:kern w:val="0"/>
                <w:lang w:bidi="ar"/>
              </w:rPr>
              <w:t>因项目所在地周边有较多企业需要货车经过0</w:t>
            </w:r>
            <w:r>
              <w:rPr>
                <w:kern w:val="0"/>
                <w:lang w:bidi="ar"/>
              </w:rPr>
              <w:t>11</w:t>
            </w:r>
            <w:r>
              <w:rPr>
                <w:rFonts w:hint="eastAsia"/>
                <w:kern w:val="0"/>
                <w:lang w:bidi="ar"/>
              </w:rPr>
              <w:t>乡道运货，车流量较大，所以项目3</w:t>
            </w:r>
            <w:r>
              <w:rPr>
                <w:kern w:val="0"/>
                <w:lang w:bidi="ar"/>
              </w:rPr>
              <w:t>#</w:t>
            </w:r>
            <w:r>
              <w:rPr>
                <w:rFonts w:hint="eastAsia"/>
                <w:kern w:val="0"/>
                <w:lang w:bidi="ar"/>
              </w:rPr>
              <w:t>点位（临近0</w:t>
            </w:r>
            <w:r>
              <w:rPr>
                <w:kern w:val="0"/>
                <w:lang w:bidi="ar"/>
              </w:rPr>
              <w:t>11</w:t>
            </w:r>
            <w:r>
              <w:rPr>
                <w:rFonts w:hint="eastAsia"/>
                <w:kern w:val="0"/>
                <w:lang w:bidi="ar"/>
              </w:rPr>
              <w:t>乡道）</w:t>
            </w:r>
            <w:r>
              <w:rPr>
                <w:kern w:val="0"/>
                <w:lang w:bidi="ar"/>
              </w:rPr>
              <w:t>噪声值</w:t>
            </w:r>
            <w:r>
              <w:rPr>
                <w:rFonts w:hint="eastAsia"/>
                <w:kern w:val="0"/>
                <w:lang w:bidi="ar"/>
              </w:rPr>
              <w:t>不</w:t>
            </w:r>
            <w:r>
              <w:rPr>
                <w:kern w:val="0"/>
                <w:lang w:bidi="ar"/>
              </w:rPr>
              <w:t>满足《声环境质量标准》（GB3096-2008）中2类标准限值，</w:t>
            </w:r>
            <w:r>
              <w:rPr>
                <w:rFonts w:hint="eastAsia"/>
                <w:kern w:val="0"/>
                <w:lang w:bidi="ar"/>
              </w:rPr>
              <w:t>其余</w:t>
            </w:r>
            <w:r>
              <w:rPr>
                <w:kern w:val="0"/>
                <w:lang w:bidi="ar"/>
              </w:rPr>
              <w:t>监测点位</w:t>
            </w:r>
            <w:r>
              <w:rPr>
                <w:rFonts w:hint="eastAsia"/>
                <w:kern w:val="0"/>
                <w:lang w:bidi="ar"/>
              </w:rPr>
              <w:t>噪声</w:t>
            </w:r>
            <w:r>
              <w:rPr>
                <w:kern w:val="0"/>
                <w:lang w:bidi="ar"/>
              </w:rPr>
              <w:t>值满足《声环境质量标准》（GB3096-2008）中2类标准限值。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9399" w:type="dxa"/>
          </w:tcPr>
          <w:p>
            <w:pPr>
              <w:autoSpaceDE w:val="0"/>
              <w:autoSpaceDN w:val="0"/>
              <w:adjustRightInd w:val="0"/>
              <w:spacing w:line="360" w:lineRule="auto"/>
              <w:ind w:firstLine="138" w:firstLineChars="49"/>
              <w:rPr>
                <w:rFonts w:cs="Times New Roman"/>
                <w:b/>
                <w:sz w:val="28"/>
                <w:szCs w:val="28"/>
              </w:rPr>
            </w:pPr>
            <w:r>
              <w:rPr>
                <w:rFonts w:cs="Times New Roman"/>
                <w:b/>
                <w:sz w:val="28"/>
                <w:szCs w:val="28"/>
              </w:rPr>
              <w:t>主要环境保护目标（列出名单及保护级别）</w:t>
            </w:r>
          </w:p>
          <w:p>
            <w:pPr>
              <w:spacing w:line="360" w:lineRule="auto"/>
              <w:ind w:firstLine="470" w:firstLineChars="196"/>
              <w:rPr>
                <w:rFonts w:cs="Times New Roman"/>
              </w:rPr>
            </w:pPr>
            <w:r>
              <w:rPr>
                <w:rFonts w:cs="Times New Roman"/>
                <w:szCs w:val="24"/>
              </w:rPr>
              <w:t>根据现场勘查</w:t>
            </w:r>
            <w:r>
              <w:rPr>
                <w:rFonts w:cs="Times New Roman"/>
              </w:rPr>
              <w:t>项目</w:t>
            </w:r>
            <w:r>
              <w:rPr>
                <w:rFonts w:hint="eastAsia" w:cs="Times New Roman"/>
              </w:rPr>
              <w:t>实际</w:t>
            </w:r>
            <w:r>
              <w:rPr>
                <w:rFonts w:cs="Times New Roman"/>
              </w:rPr>
              <w:t>情况可知：</w:t>
            </w:r>
          </w:p>
          <w:p>
            <w:pPr>
              <w:spacing w:line="360" w:lineRule="auto"/>
              <w:ind w:firstLine="480" w:firstLineChars="200"/>
              <w:rPr>
                <w:rFonts w:cs="Times New Roman"/>
                <w:bCs/>
              </w:rPr>
            </w:pPr>
            <w:r>
              <w:rPr>
                <w:rFonts w:hint="eastAsia" w:cs="Times New Roman"/>
              </w:rPr>
              <w:t>（1）</w:t>
            </w:r>
            <w:r>
              <w:rPr>
                <w:rFonts w:cs="Times New Roman"/>
              </w:rPr>
              <w:t>项目</w:t>
            </w:r>
            <w:r>
              <w:rPr>
                <w:rFonts w:hint="eastAsia" w:cs="Times New Roman"/>
              </w:rPr>
              <w:t>马嘶溪火车站片区污水处理站</w:t>
            </w:r>
            <w:r>
              <w:rPr>
                <w:rFonts w:cs="Times New Roman"/>
              </w:rPr>
              <w:t>位于</w:t>
            </w:r>
            <w:r>
              <w:rPr>
                <w:rFonts w:cs="Times New Roman"/>
                <w:szCs w:val="24"/>
              </w:rPr>
              <w:t>峨边彝族自治县马嘶溪村</w:t>
            </w:r>
            <w:r>
              <w:rPr>
                <w:rFonts w:cs="Times New Roman"/>
              </w:rPr>
              <w:t>，厂区北侧距离厂界最近20m为周边散居居民1户</w:t>
            </w:r>
            <w:r>
              <w:rPr>
                <w:rFonts w:hint="eastAsia" w:cs="Times New Roman"/>
              </w:rPr>
              <w:t>，</w:t>
            </w:r>
            <w:r>
              <w:rPr>
                <w:rFonts w:cs="Times New Roman"/>
              </w:rPr>
              <w:t>113m</w:t>
            </w:r>
            <w:r>
              <w:rPr>
                <w:rFonts w:hint="eastAsia" w:cs="Times New Roman"/>
              </w:rPr>
              <w:t>处</w:t>
            </w:r>
            <w:r>
              <w:rPr>
                <w:rFonts w:cs="Times New Roman"/>
              </w:rPr>
              <w:t>为散居居民5户；东侧紧邻</w:t>
            </w:r>
            <w:r>
              <w:rPr>
                <w:rFonts w:hint="eastAsia" w:cs="Times New Roman"/>
              </w:rPr>
              <w:t>大渡河</w:t>
            </w:r>
            <w:r>
              <w:rPr>
                <w:rFonts w:cs="Times New Roman"/>
              </w:rPr>
              <w:t>，</w:t>
            </w:r>
            <w:r>
              <w:rPr>
                <w:rFonts w:hint="eastAsia" w:cs="Times New Roman"/>
              </w:rPr>
              <w:t>距离为2</w:t>
            </w:r>
            <w:r>
              <w:rPr>
                <w:rFonts w:cs="Times New Roman"/>
              </w:rPr>
              <w:t>9m</w:t>
            </w:r>
            <w:r>
              <w:rPr>
                <w:rFonts w:hint="eastAsia" w:cs="Times New Roman"/>
              </w:rPr>
              <w:t>；东南侧大渡河对岸，</w:t>
            </w:r>
            <w:r>
              <w:rPr>
                <w:rFonts w:cs="Times New Roman"/>
              </w:rPr>
              <w:t>距离厂界最近319m</w:t>
            </w:r>
            <w:r>
              <w:rPr>
                <w:rFonts w:hint="eastAsia" w:cs="Times New Roman"/>
              </w:rPr>
              <w:t>处</w:t>
            </w:r>
            <w:r>
              <w:rPr>
                <w:rFonts w:cs="Times New Roman"/>
              </w:rPr>
              <w:t>为</w:t>
            </w:r>
            <w:r>
              <w:rPr>
                <w:rFonts w:hint="eastAsia" w:cs="Times New Roman"/>
              </w:rPr>
              <w:t>峨边彝族自治县城市污水处理厂，4</w:t>
            </w:r>
            <w:r>
              <w:rPr>
                <w:rFonts w:cs="Times New Roman"/>
              </w:rPr>
              <w:t>01m</w:t>
            </w:r>
            <w:r>
              <w:rPr>
                <w:rFonts w:hint="eastAsia" w:cs="Times New Roman"/>
              </w:rPr>
              <w:t>处为明达集团合金公司、峨边金光电冶有限公司等企业；东北侧</w:t>
            </w:r>
            <w:r>
              <w:rPr>
                <w:rFonts w:cs="Times New Roman"/>
              </w:rPr>
              <w:t>距离厂界最近250m为</w:t>
            </w:r>
            <w:r>
              <w:rPr>
                <w:rFonts w:hint="eastAsia" w:cs="Times New Roman"/>
              </w:rPr>
              <w:t>林河硅业，407m处为峨边西南水泥有限公司；</w:t>
            </w:r>
            <w:r>
              <w:rPr>
                <w:rFonts w:cs="Times New Roman"/>
              </w:rPr>
              <w:t>南侧距离厂界最近</w:t>
            </w:r>
            <w:r>
              <w:rPr>
                <w:rFonts w:hint="eastAsia" w:cs="Times New Roman"/>
              </w:rPr>
              <w:t>5</w:t>
            </w:r>
            <w:r>
              <w:rPr>
                <w:rFonts w:cs="Times New Roman"/>
              </w:rPr>
              <w:t>1m为周边散居居民</w:t>
            </w:r>
            <w:r>
              <w:rPr>
                <w:rFonts w:hint="eastAsia" w:cs="Times New Roman"/>
              </w:rPr>
              <w:t>约</w:t>
            </w:r>
            <w:r>
              <w:rPr>
                <w:rFonts w:cs="Times New Roman"/>
              </w:rPr>
              <w:t>20户；西侧</w:t>
            </w:r>
            <w:r>
              <w:rPr>
                <w:rFonts w:hint="eastAsia" w:cs="Times New Roman"/>
              </w:rPr>
              <w:t>主要为</w:t>
            </w:r>
            <w:r>
              <w:rPr>
                <w:rFonts w:cs="Times New Roman"/>
              </w:rPr>
              <w:t>周边散居居民</w:t>
            </w:r>
            <w:r>
              <w:rPr>
                <w:rFonts w:hint="eastAsia" w:cs="Times New Roman"/>
              </w:rPr>
              <w:t>约5</w:t>
            </w:r>
            <w:r>
              <w:rPr>
                <w:rFonts w:cs="Times New Roman"/>
              </w:rPr>
              <w:t>0</w:t>
            </w:r>
            <w:r>
              <w:rPr>
                <w:rFonts w:hint="eastAsia" w:cs="Times New Roman"/>
              </w:rPr>
              <w:t>户，最近一户距离为2</w:t>
            </w:r>
            <w:r>
              <w:rPr>
                <w:rFonts w:cs="Times New Roman"/>
              </w:rPr>
              <w:t>7m</w:t>
            </w:r>
            <w:r>
              <w:rPr>
                <w:rFonts w:hint="eastAsia" w:cs="Times New Roman"/>
              </w:rPr>
              <w:t>，1</w:t>
            </w:r>
            <w:r>
              <w:rPr>
                <w:rFonts w:cs="Times New Roman"/>
              </w:rPr>
              <w:t>10m</w:t>
            </w:r>
            <w:r>
              <w:rPr>
                <w:rFonts w:hint="eastAsia" w:cs="Times New Roman"/>
              </w:rPr>
              <w:t>处为</w:t>
            </w:r>
            <w:r>
              <w:rPr>
                <w:rFonts w:cs="Times New Roman"/>
                <w:szCs w:val="24"/>
              </w:rPr>
              <w:t>马嘶溪村</w:t>
            </w:r>
            <w:r>
              <w:rPr>
                <w:rFonts w:hint="eastAsia" w:cs="Times New Roman"/>
                <w:szCs w:val="24"/>
              </w:rPr>
              <w:t>村民委员会，2</w:t>
            </w:r>
            <w:r>
              <w:rPr>
                <w:rFonts w:cs="Times New Roman"/>
                <w:szCs w:val="24"/>
              </w:rPr>
              <w:t>18m</w:t>
            </w:r>
            <w:r>
              <w:rPr>
                <w:rFonts w:hint="eastAsia" w:cs="Times New Roman"/>
                <w:szCs w:val="24"/>
              </w:rPr>
              <w:t>处为峨边火车站</w:t>
            </w:r>
            <w:r>
              <w:rPr>
                <w:rFonts w:hint="eastAsia" w:cs="Times New Roman"/>
              </w:rPr>
              <w:t>；西北侧主要为</w:t>
            </w:r>
            <w:r>
              <w:rPr>
                <w:rFonts w:cs="Times New Roman"/>
              </w:rPr>
              <w:t>周边散居居民</w:t>
            </w:r>
            <w:r>
              <w:rPr>
                <w:rFonts w:hint="eastAsia" w:cs="Times New Roman"/>
              </w:rPr>
              <w:t>约</w:t>
            </w:r>
            <w:r>
              <w:rPr>
                <w:rFonts w:cs="Times New Roman"/>
              </w:rPr>
              <w:t>15户</w:t>
            </w:r>
            <w:r>
              <w:rPr>
                <w:rFonts w:hint="eastAsia" w:cs="Times New Roman"/>
              </w:rPr>
              <w:t>，最近一户距离为</w:t>
            </w:r>
            <w:r>
              <w:rPr>
                <w:rFonts w:cs="Times New Roman"/>
              </w:rPr>
              <w:t>163m</w:t>
            </w:r>
            <w:r>
              <w:rPr>
                <w:rFonts w:hint="eastAsia" w:cs="Times New Roman"/>
              </w:rPr>
              <w:t>；西南侧主要为</w:t>
            </w:r>
            <w:r>
              <w:rPr>
                <w:rFonts w:cs="Times New Roman"/>
              </w:rPr>
              <w:t>周边散居居民</w:t>
            </w:r>
            <w:r>
              <w:rPr>
                <w:rFonts w:hint="eastAsia" w:cs="Times New Roman"/>
              </w:rPr>
              <w:t>约2</w:t>
            </w:r>
            <w:r>
              <w:rPr>
                <w:rFonts w:cs="Times New Roman"/>
              </w:rPr>
              <w:t>6户</w:t>
            </w:r>
            <w:r>
              <w:rPr>
                <w:rFonts w:hint="eastAsia" w:cs="Times New Roman"/>
              </w:rPr>
              <w:t>，最近一户距离为</w:t>
            </w:r>
            <w:r>
              <w:rPr>
                <w:rFonts w:cs="Times New Roman"/>
              </w:rPr>
              <w:t>199m。</w:t>
            </w:r>
            <w:r>
              <w:rPr>
                <w:rFonts w:cs="Times New Roman"/>
                <w:bCs/>
              </w:rPr>
              <w:t>项目主要外环境关系见附图4。</w:t>
            </w:r>
          </w:p>
          <w:p>
            <w:pPr>
              <w:spacing w:line="360" w:lineRule="auto"/>
              <w:ind w:firstLine="480" w:firstLineChars="200"/>
              <w:rPr>
                <w:rFonts w:cs="Times New Roman"/>
              </w:rPr>
            </w:pPr>
            <w:r>
              <w:rPr>
                <w:rFonts w:hint="eastAsia" w:cs="Times New Roman"/>
                <w:bCs/>
              </w:rPr>
              <w:t>（2）</w:t>
            </w:r>
            <w:r>
              <w:rPr>
                <w:rFonts w:hint="eastAsia" w:cs="Times New Roman"/>
              </w:rPr>
              <w:t>马嘶溪火车站片区污水收集管网位于大渡河北侧，最近距离为1</w:t>
            </w:r>
            <w:r>
              <w:rPr>
                <w:rFonts w:cs="Times New Roman"/>
              </w:rPr>
              <w:t>66m</w:t>
            </w:r>
            <w:r>
              <w:rPr>
                <w:rFonts w:hint="eastAsia" w:cs="Times New Roman"/>
              </w:rPr>
              <w:t>。管网周边（1</w:t>
            </w:r>
            <w:r>
              <w:rPr>
                <w:rFonts w:cs="Times New Roman"/>
              </w:rPr>
              <w:t>~10m</w:t>
            </w:r>
            <w:r>
              <w:rPr>
                <w:rFonts w:hint="eastAsia" w:cs="Times New Roman"/>
              </w:rPr>
              <w:t>）分布有居民约6</w:t>
            </w:r>
            <w:r>
              <w:rPr>
                <w:rFonts w:cs="Times New Roman"/>
              </w:rPr>
              <w:t>00</w:t>
            </w:r>
            <w:r>
              <w:rPr>
                <w:rFonts w:hint="eastAsia" w:cs="Times New Roman"/>
              </w:rPr>
              <w:t>人。</w:t>
            </w:r>
          </w:p>
          <w:p>
            <w:pPr>
              <w:spacing w:line="360" w:lineRule="auto"/>
              <w:ind w:firstLine="480" w:firstLineChars="200"/>
              <w:rPr>
                <w:rFonts w:cs="Times New Roman"/>
              </w:rPr>
            </w:pPr>
            <w:r>
              <w:rPr>
                <w:rFonts w:hint="eastAsia" w:cs="Times New Roman"/>
                <w:bCs/>
              </w:rPr>
              <w:t>（</w:t>
            </w:r>
            <w:r>
              <w:rPr>
                <w:rFonts w:cs="Times New Roman"/>
                <w:bCs/>
              </w:rPr>
              <w:t>3</w:t>
            </w:r>
            <w:r>
              <w:rPr>
                <w:rFonts w:hint="eastAsia" w:cs="Times New Roman"/>
              </w:rPr>
              <w:t>）经营所片区雨水收·集管网位于大渡河北侧，最近距离为</w:t>
            </w:r>
            <w:r>
              <w:rPr>
                <w:rFonts w:cs="Times New Roman"/>
              </w:rPr>
              <w:t>174m</w:t>
            </w:r>
            <w:r>
              <w:rPr>
                <w:rFonts w:hint="eastAsia" w:cs="Times New Roman"/>
              </w:rPr>
              <w:t>。管网周边（1</w:t>
            </w:r>
            <w:r>
              <w:rPr>
                <w:rFonts w:cs="Times New Roman"/>
              </w:rPr>
              <w:t>~10m</w:t>
            </w:r>
            <w:r>
              <w:rPr>
                <w:rFonts w:hint="eastAsia" w:cs="Times New Roman"/>
              </w:rPr>
              <w:t>）分布有居民约2</w:t>
            </w:r>
            <w:r>
              <w:rPr>
                <w:rFonts w:cs="Times New Roman"/>
              </w:rPr>
              <w:t>00</w:t>
            </w:r>
            <w:r>
              <w:rPr>
                <w:rFonts w:hint="eastAsia" w:cs="Times New Roman"/>
              </w:rPr>
              <w:t>人。</w:t>
            </w:r>
          </w:p>
          <w:p>
            <w:pPr>
              <w:spacing w:line="360" w:lineRule="auto"/>
              <w:ind w:firstLine="480" w:firstLineChars="200"/>
              <w:rPr>
                <w:rFonts w:cs="Times New Roman"/>
              </w:rPr>
            </w:pPr>
            <w:r>
              <w:rPr>
                <w:rFonts w:hint="eastAsia" w:cs="Times New Roman"/>
                <w:bCs/>
              </w:rPr>
              <w:t>（</w:t>
            </w:r>
            <w:r>
              <w:rPr>
                <w:rFonts w:cs="Times New Roman"/>
                <w:bCs/>
              </w:rPr>
              <w:t>4</w:t>
            </w:r>
            <w:r>
              <w:rPr>
                <w:rFonts w:hint="eastAsia" w:cs="Times New Roman"/>
              </w:rPr>
              <w:t>）老人民医院片区雨水收集管网位于大渡河北侧，最近距离为</w:t>
            </w:r>
            <w:r>
              <w:rPr>
                <w:rFonts w:cs="Times New Roman"/>
              </w:rPr>
              <w:t>48m</w:t>
            </w:r>
            <w:r>
              <w:rPr>
                <w:rFonts w:hint="eastAsia" w:cs="Times New Roman"/>
              </w:rPr>
              <w:t>。管网周边（1</w:t>
            </w:r>
            <w:r>
              <w:rPr>
                <w:rFonts w:cs="Times New Roman"/>
              </w:rPr>
              <w:t>~10m</w:t>
            </w:r>
            <w:r>
              <w:rPr>
                <w:rFonts w:hint="eastAsia" w:cs="Times New Roman"/>
              </w:rPr>
              <w:t>）分布有居民约</w:t>
            </w:r>
            <w:r>
              <w:rPr>
                <w:rFonts w:cs="Times New Roman"/>
              </w:rPr>
              <w:t>500</w:t>
            </w:r>
            <w:r>
              <w:rPr>
                <w:rFonts w:hint="eastAsia" w:cs="Times New Roman"/>
              </w:rPr>
              <w:t>人。</w:t>
            </w:r>
          </w:p>
          <w:p>
            <w:pPr>
              <w:spacing w:line="360" w:lineRule="auto"/>
              <w:ind w:firstLine="480" w:firstLineChars="200"/>
              <w:rPr>
                <w:rFonts w:cs="Times New Roman"/>
                <w:szCs w:val="24"/>
              </w:rPr>
            </w:pPr>
            <w:r>
              <w:rPr>
                <w:rFonts w:cs="Times New Roman"/>
                <w:szCs w:val="24"/>
              </w:rPr>
              <w:t>根据项目特点和外环境特征确定保护目标及保护级别为：</w:t>
            </w:r>
          </w:p>
          <w:p>
            <w:pPr>
              <w:pStyle w:val="27"/>
              <w:widowControl w:val="0"/>
              <w:adjustRightInd w:val="0"/>
              <w:spacing w:before="0" w:beforeAutospacing="0" w:after="0" w:afterAutospacing="0" w:line="360" w:lineRule="auto"/>
              <w:ind w:right="113" w:firstLine="482" w:firstLineChars="200"/>
              <w:rPr>
                <w:rFonts w:ascii="Times New Roman" w:hAnsi="Times New Roman" w:cs="Times New Roman"/>
                <w:bCs/>
              </w:rPr>
            </w:pPr>
            <w:r>
              <w:rPr>
                <w:rFonts w:ascii="Times New Roman" w:hAnsi="Times New Roman" w:cs="Times New Roman"/>
                <w:b/>
                <w:lang w:bidi="ar"/>
              </w:rPr>
              <w:t>1.环境空气</w:t>
            </w:r>
          </w:p>
          <w:p>
            <w:pPr>
              <w:spacing w:line="360" w:lineRule="auto"/>
              <w:ind w:firstLine="480" w:firstLineChars="200"/>
            </w:pPr>
            <w:r>
              <w:rPr>
                <w:kern w:val="0"/>
                <w:lang w:bidi="ar"/>
              </w:rPr>
              <w:t>项目运营期大气环境保护目标为项目所在区域大气环境，环境空气应符合《环境空气质量标准》（GB3095-2012）二级标准要求</w:t>
            </w:r>
            <w:r>
              <w:t>和《环境影响技术导则大气环境》（HJ2.2-2018）附录D其他污染物空气质量浓度标准</w:t>
            </w:r>
            <w:r>
              <w:rPr>
                <w:kern w:val="0"/>
                <w:lang w:bidi="ar"/>
              </w:rPr>
              <w:t>。主要保护目标为评价范围内环境空气、项目周围住户，使空气质量不因项目的建设而发生改变。</w:t>
            </w:r>
          </w:p>
          <w:p>
            <w:pPr>
              <w:pStyle w:val="27"/>
              <w:widowControl w:val="0"/>
              <w:adjustRightInd w:val="0"/>
              <w:spacing w:before="0" w:beforeAutospacing="0" w:after="0" w:afterAutospacing="0" w:line="360" w:lineRule="auto"/>
              <w:ind w:right="113" w:firstLine="482" w:firstLineChars="200"/>
              <w:rPr>
                <w:rFonts w:ascii="Times New Roman" w:hAnsi="Times New Roman" w:cs="Times New Roman"/>
                <w:b/>
              </w:rPr>
            </w:pPr>
            <w:r>
              <w:rPr>
                <w:rFonts w:ascii="Times New Roman" w:hAnsi="Times New Roman" w:cs="Times New Roman"/>
                <w:b/>
                <w:lang w:bidi="ar"/>
              </w:rPr>
              <w:t>2.地表水</w:t>
            </w:r>
          </w:p>
          <w:p>
            <w:pPr>
              <w:pStyle w:val="27"/>
              <w:widowControl w:val="0"/>
              <w:adjustRightInd w:val="0"/>
              <w:spacing w:before="0" w:beforeAutospacing="0" w:after="0" w:afterAutospacing="0" w:line="360" w:lineRule="auto"/>
              <w:ind w:right="113" w:firstLine="480" w:firstLineChars="200"/>
              <w:rPr>
                <w:rFonts w:ascii="Times New Roman" w:hAnsi="Times New Roman" w:cs="Times New Roman"/>
                <w:bCs/>
              </w:rPr>
            </w:pPr>
            <w:r>
              <w:rPr>
                <w:rFonts w:ascii="Times New Roman" w:hAnsi="Times New Roman" w:cs="Times New Roman"/>
                <w:bCs/>
                <w:lang w:bidi="ar"/>
              </w:rPr>
              <w:t>项目地表水环境保护目标为</w:t>
            </w:r>
            <w:r>
              <w:rPr>
                <w:rFonts w:hint="eastAsia" w:ascii="Times New Roman" w:hAnsi="Times New Roman" w:cs="Times New Roman"/>
                <w:bCs/>
                <w:lang w:bidi="ar"/>
              </w:rPr>
              <w:t>大渡河</w:t>
            </w:r>
            <w:r>
              <w:rPr>
                <w:rFonts w:ascii="Times New Roman" w:hAnsi="Times New Roman" w:cs="Times New Roman"/>
                <w:bCs/>
                <w:lang w:bidi="ar"/>
              </w:rPr>
              <w:t>，其水质应不受本项目建设而改变；受纳水体应使其符合《地表水环境质量标准》（GB3838-2002）</w:t>
            </w:r>
            <w:r>
              <w:rPr>
                <w:rFonts w:hint="eastAsia" w:ascii="宋体" w:hAnsi="宋体" w:cs="宋体"/>
                <w:bCs/>
                <w:szCs w:val="21"/>
                <w:lang w:bidi="ar"/>
              </w:rPr>
              <w:t>Ⅲ</w:t>
            </w:r>
            <w:r>
              <w:rPr>
                <w:rFonts w:ascii="Times New Roman" w:hAnsi="Times New Roman" w:cs="Times New Roman"/>
                <w:bCs/>
                <w:lang w:bidi="ar"/>
              </w:rPr>
              <w:t>类水域标准要求。</w:t>
            </w:r>
          </w:p>
          <w:p>
            <w:pPr>
              <w:pStyle w:val="27"/>
              <w:widowControl w:val="0"/>
              <w:adjustRightInd w:val="0"/>
              <w:spacing w:before="0" w:beforeAutospacing="0" w:after="0" w:afterAutospacing="0" w:line="360" w:lineRule="auto"/>
              <w:ind w:right="113" w:firstLine="482" w:firstLineChars="200"/>
              <w:rPr>
                <w:rFonts w:ascii="Times New Roman" w:hAnsi="Times New Roman" w:cs="Times New Roman"/>
                <w:b/>
                <w:lang w:bidi="ar"/>
              </w:rPr>
            </w:pPr>
            <w:r>
              <w:rPr>
                <w:rFonts w:ascii="Times New Roman" w:hAnsi="Times New Roman" w:cs="Times New Roman"/>
                <w:b/>
                <w:lang w:bidi="ar"/>
              </w:rPr>
              <w:t>3.声环境</w:t>
            </w:r>
          </w:p>
          <w:p>
            <w:pPr>
              <w:pStyle w:val="27"/>
              <w:widowControl w:val="0"/>
              <w:adjustRightInd w:val="0"/>
              <w:spacing w:before="0" w:beforeAutospacing="0" w:after="0" w:afterAutospacing="0" w:line="360" w:lineRule="auto"/>
              <w:ind w:firstLine="480" w:firstLineChars="200"/>
              <w:rPr>
                <w:rFonts w:ascii="Times New Roman" w:hAnsi="Times New Roman" w:cs="Times New Roman"/>
                <w:bCs/>
                <w:lang w:bidi="ar"/>
              </w:rPr>
            </w:pPr>
            <w:r>
              <w:rPr>
                <w:rFonts w:ascii="Times New Roman" w:hAnsi="Times New Roman" w:cs="Times New Roman"/>
                <w:bCs/>
                <w:lang w:bidi="ar"/>
              </w:rPr>
              <w:t>项目所在地声环境质量应符合《声环境质量标准》(GB3096-2008)2类标准</w:t>
            </w:r>
            <w:r>
              <w:rPr>
                <w:rFonts w:hint="eastAsia" w:ascii="Times New Roman" w:hAnsi="Times New Roman" w:cs="Times New Roman"/>
                <w:bCs/>
                <w:lang w:bidi="ar"/>
              </w:rPr>
              <w:t>要</w:t>
            </w:r>
            <w:r>
              <w:rPr>
                <w:rFonts w:ascii="Times New Roman" w:hAnsi="Times New Roman" w:cs="Times New Roman"/>
                <w:bCs/>
                <w:lang w:bidi="ar"/>
              </w:rPr>
              <w:t>求。使该范围的声环境质量不因项目的建设而发生改变。</w:t>
            </w:r>
          </w:p>
          <w:p>
            <w:pPr>
              <w:pStyle w:val="27"/>
              <w:widowControl w:val="0"/>
              <w:adjustRightInd w:val="0"/>
              <w:spacing w:before="0" w:beforeAutospacing="0" w:after="0" w:afterAutospacing="0" w:line="360" w:lineRule="auto"/>
              <w:ind w:right="113" w:firstLine="482" w:firstLineChars="200"/>
              <w:rPr>
                <w:rFonts w:ascii="Times New Roman" w:hAnsi="Times New Roman" w:cs="Times New Roman"/>
                <w:b/>
              </w:rPr>
            </w:pPr>
            <w:r>
              <w:rPr>
                <w:rFonts w:ascii="Times New Roman" w:hAnsi="Times New Roman" w:cs="Times New Roman"/>
                <w:b/>
                <w:lang w:bidi="ar"/>
              </w:rPr>
              <w:t>4.地</w:t>
            </w:r>
            <w:r>
              <w:rPr>
                <w:rFonts w:hint="eastAsia" w:ascii="Times New Roman" w:hAnsi="Times New Roman" w:cs="Times New Roman"/>
                <w:b/>
                <w:lang w:bidi="ar"/>
              </w:rPr>
              <w:t>下</w:t>
            </w:r>
            <w:r>
              <w:rPr>
                <w:rFonts w:ascii="Times New Roman" w:hAnsi="Times New Roman" w:cs="Times New Roman"/>
                <w:b/>
                <w:lang w:bidi="ar"/>
              </w:rPr>
              <w:t>水</w:t>
            </w:r>
          </w:p>
          <w:p>
            <w:pPr>
              <w:pStyle w:val="27"/>
              <w:widowControl w:val="0"/>
              <w:adjustRightInd w:val="0"/>
              <w:spacing w:before="0" w:beforeAutospacing="0" w:after="0" w:afterAutospacing="0" w:line="360" w:lineRule="auto"/>
              <w:ind w:right="113" w:firstLine="480" w:firstLineChars="200"/>
              <w:jc w:val="both"/>
              <w:rPr>
                <w:rFonts w:ascii="Times New Roman" w:hAnsi="Times New Roman" w:cs="Times New Roman"/>
                <w:bCs/>
              </w:rPr>
            </w:pPr>
            <w:r>
              <w:rPr>
                <w:rFonts w:ascii="Times New Roman" w:hAnsi="Times New Roman" w:cs="Times New Roman"/>
                <w:bCs/>
                <w:lang w:bidi="ar"/>
              </w:rPr>
              <w:t>项目地</w:t>
            </w:r>
            <w:r>
              <w:rPr>
                <w:rFonts w:hint="eastAsia" w:ascii="Times New Roman" w:hAnsi="Times New Roman" w:cs="Times New Roman"/>
                <w:bCs/>
                <w:lang w:bidi="ar"/>
              </w:rPr>
              <w:t>下</w:t>
            </w:r>
            <w:r>
              <w:rPr>
                <w:rFonts w:ascii="Times New Roman" w:hAnsi="Times New Roman" w:cs="Times New Roman"/>
                <w:bCs/>
                <w:lang w:bidi="ar"/>
              </w:rPr>
              <w:t>水环境保护目标为</w:t>
            </w:r>
            <w:r>
              <w:rPr>
                <w:rFonts w:hint="eastAsia" w:ascii="Times New Roman" w:hAnsi="Times New Roman" w:cs="Times New Roman"/>
                <w:bCs/>
                <w:lang w:bidi="ar"/>
              </w:rPr>
              <w:t>当地地下水</w:t>
            </w:r>
            <w:r>
              <w:rPr>
                <w:rFonts w:ascii="Times New Roman" w:hAnsi="Times New Roman" w:cs="Times New Roman"/>
                <w:bCs/>
                <w:lang w:bidi="ar"/>
              </w:rPr>
              <w:t>，其水质应不受本项目建设而改变；</w:t>
            </w:r>
            <w:r>
              <w:rPr>
                <w:rFonts w:hint="eastAsia" w:ascii="Times New Roman" w:hAnsi="Times New Roman" w:cs="Times New Roman"/>
                <w:bCs/>
                <w:lang w:bidi="ar"/>
              </w:rPr>
              <w:t>地下水水体</w:t>
            </w:r>
            <w:r>
              <w:rPr>
                <w:rFonts w:ascii="Times New Roman" w:hAnsi="Times New Roman" w:cs="Times New Roman"/>
                <w:bCs/>
                <w:lang w:bidi="ar"/>
              </w:rPr>
              <w:t>应使其符合</w:t>
            </w:r>
            <w:r>
              <w:rPr>
                <w:rFonts w:hint="eastAsia" w:ascii="Times New Roman" w:hAnsi="Times New Roman" w:cs="Times New Roman"/>
                <w:bCs/>
                <w:lang w:bidi="ar"/>
              </w:rPr>
              <w:t>《地下水质量标准》（GB/T14848-2017）Ⅲ类标准</w:t>
            </w:r>
            <w:r>
              <w:rPr>
                <w:rFonts w:ascii="Times New Roman" w:hAnsi="Times New Roman" w:cs="Times New Roman"/>
                <w:bCs/>
                <w:lang w:bidi="ar"/>
              </w:rPr>
              <w:t>要求。</w:t>
            </w:r>
          </w:p>
          <w:p>
            <w:pPr>
              <w:spacing w:line="360" w:lineRule="auto"/>
              <w:ind w:firstLine="470" w:firstLineChars="196"/>
              <w:rPr>
                <w:rFonts w:cs="Times New Roman"/>
                <w:lang w:val="zh-CN"/>
              </w:rPr>
            </w:pPr>
            <w:r>
              <w:rPr>
                <w:rFonts w:cs="Times New Roman"/>
                <w:lang w:val="zh-CN"/>
              </w:rPr>
              <w:t>根据相关要求，本项目评价范围内主要环境保护目标情况见</w:t>
            </w:r>
            <w:r>
              <w:rPr>
                <w:rFonts w:hint="eastAsia" w:cs="Times New Roman"/>
                <w:lang w:val="zh-CN"/>
              </w:rPr>
              <w:t>下</w:t>
            </w:r>
            <w:r>
              <w:rPr>
                <w:rFonts w:cs="Times New Roman"/>
                <w:lang w:val="zh-CN"/>
              </w:rPr>
              <w:t>表：</w:t>
            </w:r>
          </w:p>
          <w:p>
            <w:pPr>
              <w:adjustRightInd w:val="0"/>
              <w:snapToGrid w:val="0"/>
              <w:spacing w:line="360" w:lineRule="auto"/>
              <w:jc w:val="center"/>
              <w:rPr>
                <w:rFonts w:cs="Times New Roman"/>
                <w:b/>
                <w:szCs w:val="24"/>
              </w:rPr>
            </w:pPr>
            <w:r>
              <w:rPr>
                <w:rFonts w:cs="Times New Roman"/>
                <w:b/>
                <w:szCs w:val="24"/>
              </w:rPr>
              <w:t xml:space="preserve">表3-15  </w:t>
            </w:r>
            <w:r>
              <w:rPr>
                <w:rFonts w:hint="eastAsia" w:cs="Times New Roman"/>
                <w:b/>
                <w:szCs w:val="24"/>
              </w:rPr>
              <w:t>马嘶溪火车站片区污水处理站</w:t>
            </w:r>
            <w:r>
              <w:rPr>
                <w:rFonts w:cs="Times New Roman"/>
                <w:b/>
                <w:szCs w:val="24"/>
              </w:rPr>
              <w:t>主要环境保护目标一览表</w:t>
            </w:r>
          </w:p>
          <w:tbl>
            <w:tblPr>
              <w:tblStyle w:val="30"/>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3"/>
              <w:gridCol w:w="1309"/>
              <w:gridCol w:w="1307"/>
              <w:gridCol w:w="853"/>
              <w:gridCol w:w="953"/>
              <w:gridCol w:w="1278"/>
              <w:gridCol w:w="2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Align w:val="center"/>
                </w:tcPr>
                <w:p>
                  <w:pPr>
                    <w:pBdr>
                      <w:left w:val="single" w:color="auto" w:sz="12" w:space="4"/>
                      <w:right w:val="single" w:color="auto" w:sz="12" w:space="4"/>
                    </w:pBdr>
                    <w:jc w:val="center"/>
                    <w:rPr>
                      <w:rFonts w:cs="Times New Roman"/>
                      <w:bCs/>
                      <w:sz w:val="21"/>
                      <w:szCs w:val="21"/>
                    </w:rPr>
                  </w:pPr>
                  <w:bookmarkStart w:id="3" w:name="_Hlk6818423"/>
                  <w:r>
                    <w:rPr>
                      <w:rFonts w:cs="Times New Roman"/>
                      <w:bCs/>
                      <w:sz w:val="21"/>
                      <w:szCs w:val="21"/>
                    </w:rPr>
                    <w:t>环境要素</w:t>
                  </w:r>
                </w:p>
              </w:tc>
              <w:tc>
                <w:tcPr>
                  <w:tcW w:w="1309" w:type="dxa"/>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环境保护对象名称</w:t>
                  </w:r>
                </w:p>
              </w:tc>
              <w:tc>
                <w:tcPr>
                  <w:tcW w:w="1307" w:type="dxa"/>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方位</w:t>
                  </w:r>
                </w:p>
              </w:tc>
              <w:tc>
                <w:tcPr>
                  <w:tcW w:w="853" w:type="dxa"/>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高差</w:t>
                  </w:r>
                </w:p>
              </w:tc>
              <w:tc>
                <w:tcPr>
                  <w:tcW w:w="953" w:type="dxa"/>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最近距离</w:t>
                  </w:r>
                </w:p>
              </w:tc>
              <w:tc>
                <w:tcPr>
                  <w:tcW w:w="1278" w:type="dxa"/>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规模及性质</w:t>
                  </w:r>
                </w:p>
              </w:tc>
              <w:tc>
                <w:tcPr>
                  <w:tcW w:w="2350" w:type="dxa"/>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环境保护级别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restart"/>
                  <w:vAlign w:val="center"/>
                </w:tcPr>
                <w:p>
                  <w:pPr>
                    <w:pBdr>
                      <w:left w:val="single" w:color="auto" w:sz="12" w:space="4"/>
                      <w:right w:val="single" w:color="auto" w:sz="12" w:space="4"/>
                    </w:pBdr>
                    <w:jc w:val="center"/>
                    <w:rPr>
                      <w:rFonts w:cs="Times New Roman"/>
                      <w:sz w:val="21"/>
                      <w:szCs w:val="21"/>
                    </w:rPr>
                  </w:pPr>
                  <w:bookmarkStart w:id="4" w:name="_Hlk325548942"/>
                  <w:r>
                    <w:rPr>
                      <w:rFonts w:cs="Times New Roman"/>
                      <w:sz w:val="21"/>
                      <w:szCs w:val="21"/>
                    </w:rPr>
                    <w:t>环境空气</w:t>
                  </w: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北</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0m</w:t>
                  </w:r>
                </w:p>
              </w:tc>
              <w:tc>
                <w:tcPr>
                  <w:tcW w:w="1278"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户，</w:t>
                  </w:r>
                  <w:r>
                    <w:rPr>
                      <w:rFonts w:hint="eastAsia" w:cs="Times New Roman"/>
                      <w:sz w:val="21"/>
                      <w:szCs w:val="21"/>
                    </w:rPr>
                    <w:t>3人，</w:t>
                  </w:r>
                  <w:r>
                    <w:rPr>
                      <w:rFonts w:cs="Times New Roman"/>
                      <w:sz w:val="21"/>
                      <w:szCs w:val="21"/>
                    </w:rPr>
                    <w:t>居住生活</w:t>
                  </w:r>
                </w:p>
              </w:tc>
              <w:tc>
                <w:tcPr>
                  <w:tcW w:w="2350" w:type="dxa"/>
                  <w:vMerge w:val="restar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《环境空气质量标准》（GB3095-2012）二级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南</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5</w:t>
                  </w:r>
                  <w:r>
                    <w:rPr>
                      <w:rFonts w:cs="Times New Roman"/>
                      <w:sz w:val="21"/>
                      <w:szCs w:val="21"/>
                    </w:rPr>
                    <w:t>1m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约20户，</w:t>
                  </w:r>
                  <w:r>
                    <w:rPr>
                      <w:rFonts w:hint="eastAsia" w:cs="Times New Roman"/>
                      <w:sz w:val="21"/>
                      <w:szCs w:val="21"/>
                    </w:rPr>
                    <w:t>6</w:t>
                  </w:r>
                  <w:r>
                    <w:rPr>
                      <w:rFonts w:cs="Times New Roman"/>
                      <w:sz w:val="21"/>
                      <w:szCs w:val="21"/>
                    </w:rPr>
                    <w:t>0</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3</w:t>
                  </w:r>
                  <w:r>
                    <w:rPr>
                      <w:rFonts w:cs="Times New Roman"/>
                      <w:sz w:val="21"/>
                      <w:szCs w:val="21"/>
                    </w:rPr>
                    <w:t>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7m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约50户，</w:t>
                  </w:r>
                  <w:r>
                    <w:rPr>
                      <w:rFonts w:hint="eastAsia" w:cs="Times New Roman"/>
                      <w:sz w:val="21"/>
                      <w:szCs w:val="21"/>
                    </w:rPr>
                    <w:t>1</w:t>
                  </w:r>
                  <w:r>
                    <w:rPr>
                      <w:rFonts w:cs="Times New Roman"/>
                      <w:sz w:val="21"/>
                      <w:szCs w:val="21"/>
                    </w:rPr>
                    <w:t>50</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85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50m</w:t>
                  </w:r>
                </w:p>
              </w:tc>
              <w:tc>
                <w:tcPr>
                  <w:tcW w:w="95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1</w:t>
                  </w:r>
                  <w:r>
                    <w:rPr>
                      <w:rFonts w:hint="eastAsia" w:cs="Times New Roman"/>
                      <w:sz w:val="21"/>
                      <w:szCs w:val="21"/>
                    </w:rPr>
                    <w:t>2</w:t>
                  </w:r>
                  <w:r>
                    <w:rPr>
                      <w:rFonts w:cs="Times New Roman"/>
                      <w:sz w:val="21"/>
                      <w:szCs w:val="21"/>
                    </w:rPr>
                    <w:t>7m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约40户，</w:t>
                  </w:r>
                  <w:r>
                    <w:rPr>
                      <w:rFonts w:hint="eastAsia" w:cs="Times New Roman"/>
                      <w:sz w:val="21"/>
                      <w:szCs w:val="21"/>
                    </w:rPr>
                    <w:t>1</w:t>
                  </w:r>
                  <w:r>
                    <w:rPr>
                      <w:rFonts w:cs="Times New Roman"/>
                      <w:sz w:val="21"/>
                      <w:szCs w:val="21"/>
                    </w:rPr>
                    <w:t>20</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西南</w:t>
                  </w:r>
                </w:p>
              </w:tc>
              <w:tc>
                <w:tcPr>
                  <w:tcW w:w="85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20m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99m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w:t>
                  </w:r>
                  <w:r>
                    <w:rPr>
                      <w:rFonts w:hint="eastAsia" w:cs="Times New Roman"/>
                      <w:sz w:val="21"/>
                      <w:szCs w:val="21"/>
                    </w:rPr>
                    <w:t>2</w:t>
                  </w:r>
                  <w:r>
                    <w:rPr>
                      <w:rFonts w:cs="Times New Roman"/>
                      <w:sz w:val="21"/>
                      <w:szCs w:val="21"/>
                    </w:rPr>
                    <w:t>6户，</w:t>
                  </w:r>
                  <w:r>
                    <w:rPr>
                      <w:rFonts w:hint="eastAsia" w:cs="Times New Roman"/>
                      <w:sz w:val="21"/>
                      <w:szCs w:val="21"/>
                    </w:rPr>
                    <w:t>7</w:t>
                  </w:r>
                  <w:r>
                    <w:rPr>
                      <w:rFonts w:cs="Times New Roman"/>
                      <w:sz w:val="21"/>
                      <w:szCs w:val="21"/>
                    </w:rPr>
                    <w:t>8</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西南</w:t>
                  </w:r>
                </w:p>
              </w:tc>
              <w:tc>
                <w:tcPr>
                  <w:tcW w:w="85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80m</w:t>
                  </w:r>
                </w:p>
              </w:tc>
              <w:tc>
                <w:tcPr>
                  <w:tcW w:w="95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292m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约32户，96</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西南</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08m</w:t>
                  </w:r>
                </w:p>
              </w:tc>
              <w:tc>
                <w:tcPr>
                  <w:tcW w:w="95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593m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约18户，54</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西南</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7</w:t>
                  </w:r>
                  <w:r>
                    <w:rPr>
                      <w:rFonts w:cs="Times New Roman"/>
                      <w:sz w:val="21"/>
                      <w:szCs w:val="21"/>
                    </w:rPr>
                    <w:t>8m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6</w:t>
                  </w:r>
                  <w:r>
                    <w:rPr>
                      <w:rFonts w:cs="Times New Roman"/>
                      <w:sz w:val="21"/>
                      <w:szCs w:val="21"/>
                    </w:rPr>
                    <w:t>07m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约20户，</w:t>
                  </w:r>
                  <w:r>
                    <w:rPr>
                      <w:rFonts w:hint="eastAsia" w:cs="Times New Roman"/>
                      <w:sz w:val="21"/>
                      <w:szCs w:val="21"/>
                    </w:rPr>
                    <w:t>6</w:t>
                  </w:r>
                  <w:r>
                    <w:rPr>
                      <w:rFonts w:cs="Times New Roman"/>
                      <w:sz w:val="21"/>
                      <w:szCs w:val="21"/>
                    </w:rPr>
                    <w:t>0</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西北</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3</w:t>
                  </w:r>
                  <w:r>
                    <w:rPr>
                      <w:rFonts w:cs="Times New Roman"/>
                      <w:sz w:val="21"/>
                      <w:szCs w:val="21"/>
                    </w:rPr>
                    <w:t>6m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63m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约15户，</w:t>
                  </w:r>
                  <w:r>
                    <w:rPr>
                      <w:rFonts w:hint="eastAsia" w:cs="Times New Roman"/>
                      <w:sz w:val="21"/>
                      <w:szCs w:val="21"/>
                    </w:rPr>
                    <w:t>4</w:t>
                  </w:r>
                  <w:r>
                    <w:rPr>
                      <w:rFonts w:cs="Times New Roman"/>
                      <w:sz w:val="21"/>
                      <w:szCs w:val="21"/>
                    </w:rPr>
                    <w:t>5</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马嘶溪村</w:t>
                  </w:r>
                  <w:r>
                    <w:rPr>
                      <w:rFonts w:hint="eastAsia" w:cs="Times New Roman"/>
                      <w:sz w:val="21"/>
                      <w:szCs w:val="21"/>
                    </w:rPr>
                    <w:t>村民委员会</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4</w:t>
                  </w:r>
                  <w:r>
                    <w:rPr>
                      <w:rFonts w:cs="Times New Roman"/>
                      <w:sz w:val="21"/>
                      <w:szCs w:val="21"/>
                    </w:rPr>
                    <w:t>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10m</w:t>
                  </w:r>
                </w:p>
              </w:tc>
              <w:tc>
                <w:tcPr>
                  <w:tcW w:w="1278"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约2</w:t>
                  </w:r>
                  <w:r>
                    <w:rPr>
                      <w:rFonts w:cs="Times New Roman"/>
                      <w:sz w:val="21"/>
                      <w:szCs w:val="21"/>
                    </w:rPr>
                    <w:t>0</w:t>
                  </w:r>
                  <w:r>
                    <w:rPr>
                      <w:rFonts w:hint="eastAsia" w:cs="Times New Roman"/>
                      <w:sz w:val="21"/>
                      <w:szCs w:val="21"/>
                    </w:rPr>
                    <w:t>人</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峨边火车站</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3</w:t>
                  </w:r>
                  <w:r>
                    <w:rPr>
                      <w:rFonts w:cs="Times New Roman"/>
                      <w:sz w:val="21"/>
                      <w:szCs w:val="21"/>
                    </w:rPr>
                    <w:t>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18m</w:t>
                  </w:r>
                </w:p>
              </w:tc>
              <w:tc>
                <w:tcPr>
                  <w:tcW w:w="1278"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约5</w:t>
                  </w:r>
                  <w:r>
                    <w:rPr>
                      <w:rFonts w:cs="Times New Roman"/>
                      <w:sz w:val="21"/>
                      <w:szCs w:val="21"/>
                    </w:rPr>
                    <w:t>00</w:t>
                  </w:r>
                  <w:r>
                    <w:rPr>
                      <w:rFonts w:hint="eastAsia" w:cs="Times New Roman"/>
                      <w:sz w:val="21"/>
                      <w:szCs w:val="21"/>
                    </w:rPr>
                    <w:t>人</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restart"/>
                  <w:vAlign w:val="center"/>
                </w:tcPr>
                <w:p>
                  <w:pPr>
                    <w:pBdr>
                      <w:left w:val="single" w:color="auto" w:sz="12" w:space="4"/>
                      <w:right w:val="single" w:color="auto" w:sz="12" w:space="4"/>
                    </w:pBdr>
                    <w:jc w:val="center"/>
                    <w:rPr>
                      <w:rFonts w:cs="Times New Roman"/>
                      <w:sz w:val="21"/>
                      <w:szCs w:val="21"/>
                    </w:rPr>
                  </w:pPr>
                  <w:r>
                    <w:rPr>
                      <w:rFonts w:cs="Times New Roman"/>
                      <w:sz w:val="21"/>
                      <w:szCs w:val="21"/>
                    </w:rPr>
                    <w:t>声环境</w:t>
                  </w: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北</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0m</w:t>
                  </w:r>
                </w:p>
              </w:tc>
              <w:tc>
                <w:tcPr>
                  <w:tcW w:w="1278"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户，</w:t>
                  </w:r>
                  <w:r>
                    <w:rPr>
                      <w:rFonts w:hint="eastAsia" w:cs="Times New Roman"/>
                      <w:sz w:val="21"/>
                      <w:szCs w:val="21"/>
                    </w:rPr>
                    <w:t>3人，</w:t>
                  </w:r>
                  <w:r>
                    <w:rPr>
                      <w:rFonts w:cs="Times New Roman"/>
                      <w:sz w:val="21"/>
                      <w:szCs w:val="21"/>
                    </w:rPr>
                    <w:t>居住生活</w:t>
                  </w:r>
                </w:p>
              </w:tc>
              <w:tc>
                <w:tcPr>
                  <w:tcW w:w="2350" w:type="dxa"/>
                  <w:vMerge w:val="restar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《声环境质量标准》（GB3096-2008）2类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南</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5</w:t>
                  </w:r>
                  <w:r>
                    <w:rPr>
                      <w:rFonts w:cs="Times New Roman"/>
                      <w:sz w:val="21"/>
                      <w:szCs w:val="21"/>
                    </w:rPr>
                    <w:t>1m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约20户，</w:t>
                  </w:r>
                  <w:r>
                    <w:rPr>
                      <w:rFonts w:hint="eastAsia" w:cs="Times New Roman"/>
                      <w:sz w:val="21"/>
                      <w:szCs w:val="21"/>
                    </w:rPr>
                    <w:t>6</w:t>
                  </w:r>
                  <w:r>
                    <w:rPr>
                      <w:rFonts w:cs="Times New Roman"/>
                      <w:sz w:val="21"/>
                      <w:szCs w:val="21"/>
                    </w:rPr>
                    <w:t>0</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3</w:t>
                  </w:r>
                  <w:r>
                    <w:rPr>
                      <w:rFonts w:cs="Times New Roman"/>
                      <w:sz w:val="21"/>
                      <w:szCs w:val="21"/>
                    </w:rPr>
                    <w:t>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7m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约50户，</w:t>
                  </w:r>
                  <w:r>
                    <w:rPr>
                      <w:rFonts w:hint="eastAsia" w:cs="Times New Roman"/>
                      <w:sz w:val="21"/>
                      <w:szCs w:val="21"/>
                    </w:rPr>
                    <w:t>1</w:t>
                  </w:r>
                  <w:r>
                    <w:rPr>
                      <w:rFonts w:cs="Times New Roman"/>
                      <w:sz w:val="21"/>
                      <w:szCs w:val="21"/>
                    </w:rPr>
                    <w:t>50</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85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50m</w:t>
                  </w:r>
                </w:p>
              </w:tc>
              <w:tc>
                <w:tcPr>
                  <w:tcW w:w="95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1</w:t>
                  </w:r>
                  <w:r>
                    <w:rPr>
                      <w:rFonts w:hint="eastAsia" w:cs="Times New Roman"/>
                      <w:sz w:val="21"/>
                      <w:szCs w:val="21"/>
                    </w:rPr>
                    <w:t>2</w:t>
                  </w:r>
                  <w:r>
                    <w:rPr>
                      <w:rFonts w:cs="Times New Roman"/>
                      <w:sz w:val="21"/>
                      <w:szCs w:val="21"/>
                    </w:rPr>
                    <w:t>7m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约40户，</w:t>
                  </w:r>
                  <w:r>
                    <w:rPr>
                      <w:rFonts w:hint="eastAsia" w:cs="Times New Roman"/>
                      <w:sz w:val="21"/>
                      <w:szCs w:val="21"/>
                    </w:rPr>
                    <w:t>1</w:t>
                  </w:r>
                  <w:r>
                    <w:rPr>
                      <w:rFonts w:cs="Times New Roman"/>
                      <w:sz w:val="21"/>
                      <w:szCs w:val="21"/>
                    </w:rPr>
                    <w:t>20</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西南</w:t>
                  </w:r>
                </w:p>
              </w:tc>
              <w:tc>
                <w:tcPr>
                  <w:tcW w:w="85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20m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99m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w:t>
                  </w:r>
                  <w:r>
                    <w:rPr>
                      <w:rFonts w:hint="eastAsia" w:cs="Times New Roman"/>
                      <w:sz w:val="21"/>
                      <w:szCs w:val="21"/>
                    </w:rPr>
                    <w:t>2</w:t>
                  </w:r>
                  <w:r>
                    <w:rPr>
                      <w:rFonts w:cs="Times New Roman"/>
                      <w:sz w:val="21"/>
                      <w:szCs w:val="21"/>
                    </w:rPr>
                    <w:t>6户，</w:t>
                  </w:r>
                  <w:r>
                    <w:rPr>
                      <w:rFonts w:hint="eastAsia" w:cs="Times New Roman"/>
                      <w:sz w:val="21"/>
                      <w:szCs w:val="21"/>
                    </w:rPr>
                    <w:t>7</w:t>
                  </w:r>
                  <w:r>
                    <w:rPr>
                      <w:rFonts w:cs="Times New Roman"/>
                      <w:sz w:val="21"/>
                      <w:szCs w:val="21"/>
                    </w:rPr>
                    <w:t>8</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西北</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3</w:t>
                  </w:r>
                  <w:r>
                    <w:rPr>
                      <w:rFonts w:cs="Times New Roman"/>
                      <w:sz w:val="21"/>
                      <w:szCs w:val="21"/>
                    </w:rPr>
                    <w:t>6m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63m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约15户，</w:t>
                  </w:r>
                  <w:r>
                    <w:rPr>
                      <w:rFonts w:hint="eastAsia" w:cs="Times New Roman"/>
                      <w:sz w:val="21"/>
                      <w:szCs w:val="21"/>
                    </w:rPr>
                    <w:t>4</w:t>
                  </w:r>
                  <w:r>
                    <w:rPr>
                      <w:rFonts w:cs="Times New Roman"/>
                      <w:sz w:val="21"/>
                      <w:szCs w:val="21"/>
                    </w:rPr>
                    <w:t>5</w:t>
                  </w:r>
                  <w:r>
                    <w:rPr>
                      <w:rFonts w:hint="eastAsia" w:cs="Times New Roman"/>
                      <w:sz w:val="21"/>
                      <w:szCs w:val="21"/>
                    </w:rPr>
                    <w:t>人，</w:t>
                  </w:r>
                  <w:r>
                    <w:rPr>
                      <w:rFonts w:cs="Times New Roman"/>
                      <w:sz w:val="21"/>
                      <w:szCs w:val="21"/>
                    </w:rPr>
                    <w:t>居住生活</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Merge w:val="continue"/>
                  <w:vAlign w:val="center"/>
                </w:tcPr>
                <w:p>
                  <w:pPr>
                    <w:pBdr>
                      <w:left w:val="single" w:color="auto" w:sz="12" w:space="4"/>
                      <w:right w:val="single" w:color="auto" w:sz="12" w:space="4"/>
                    </w:pBdr>
                    <w:jc w:val="center"/>
                    <w:rPr>
                      <w:rFonts w:cs="Times New Roman"/>
                      <w:sz w:val="21"/>
                      <w:szCs w:val="21"/>
                    </w:rPr>
                  </w:pP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马嘶溪村</w:t>
                  </w:r>
                  <w:r>
                    <w:rPr>
                      <w:rFonts w:hint="eastAsia" w:cs="Times New Roman"/>
                      <w:sz w:val="21"/>
                      <w:szCs w:val="21"/>
                    </w:rPr>
                    <w:t>村民委员会</w:t>
                  </w:r>
                </w:p>
              </w:tc>
              <w:tc>
                <w:tcPr>
                  <w:tcW w:w="1307"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8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4</w:t>
                  </w:r>
                  <w:r>
                    <w:rPr>
                      <w:rFonts w:cs="Times New Roman"/>
                      <w:sz w:val="21"/>
                      <w:szCs w:val="21"/>
                    </w:rPr>
                    <w:t>m</w:t>
                  </w:r>
                </w:p>
              </w:tc>
              <w:tc>
                <w:tcPr>
                  <w:tcW w:w="953"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10m</w:t>
                  </w:r>
                </w:p>
              </w:tc>
              <w:tc>
                <w:tcPr>
                  <w:tcW w:w="1278"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约2</w:t>
                  </w:r>
                  <w:r>
                    <w:rPr>
                      <w:rFonts w:cs="Times New Roman"/>
                      <w:sz w:val="21"/>
                      <w:szCs w:val="21"/>
                    </w:rPr>
                    <w:t>0</w:t>
                  </w:r>
                  <w:r>
                    <w:rPr>
                      <w:rFonts w:hint="eastAsia" w:cs="Times New Roman"/>
                      <w:sz w:val="21"/>
                      <w:szCs w:val="21"/>
                    </w:rPr>
                    <w:t>人</w:t>
                  </w:r>
                </w:p>
              </w:tc>
              <w:tc>
                <w:tcPr>
                  <w:tcW w:w="2350" w:type="dxa"/>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地表水环境</w:t>
                  </w:r>
                </w:p>
              </w:tc>
              <w:tc>
                <w:tcPr>
                  <w:tcW w:w="1309" w:type="dxa"/>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大渡河</w:t>
                  </w:r>
                </w:p>
              </w:tc>
              <w:tc>
                <w:tcPr>
                  <w:tcW w:w="1307"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东侧</w:t>
                  </w:r>
                </w:p>
              </w:tc>
              <w:tc>
                <w:tcPr>
                  <w:tcW w:w="853" w:type="dxa"/>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w:t>
                  </w:r>
                </w:p>
              </w:tc>
              <w:tc>
                <w:tcPr>
                  <w:tcW w:w="953" w:type="dxa"/>
                  <w:vAlign w:val="center"/>
                </w:tcPr>
                <w:p>
                  <w:pPr>
                    <w:pBdr>
                      <w:left w:val="single" w:color="auto" w:sz="12" w:space="4"/>
                      <w:right w:val="single" w:color="auto" w:sz="12" w:space="4"/>
                    </w:pBdr>
                    <w:jc w:val="center"/>
                    <w:rPr>
                      <w:rFonts w:cs="Times New Roman"/>
                      <w:bCs/>
                      <w:sz w:val="21"/>
                      <w:szCs w:val="21"/>
                    </w:rPr>
                  </w:pPr>
                  <w:r>
                    <w:rPr>
                      <w:rFonts w:hint="eastAsia" w:cs="Times New Roman"/>
                      <w:bCs/>
                      <w:sz w:val="21"/>
                      <w:szCs w:val="21"/>
                    </w:rPr>
                    <w:t>2</w:t>
                  </w:r>
                  <w:r>
                    <w:rPr>
                      <w:rFonts w:cs="Times New Roman"/>
                      <w:bCs/>
                      <w:sz w:val="21"/>
                      <w:szCs w:val="21"/>
                    </w:rPr>
                    <w:t>9m</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III类水体；行洪灌溉</w:t>
                  </w:r>
                </w:p>
              </w:tc>
              <w:tc>
                <w:tcPr>
                  <w:tcW w:w="2350"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《地表水环境质量标准》（GB3838-2002）</w:t>
                  </w:r>
                  <w:r>
                    <w:rPr>
                      <w:rFonts w:cs="Times New Roman"/>
                      <w:sz w:val="21"/>
                      <w:szCs w:val="21"/>
                    </w:rPr>
                    <w:fldChar w:fldCharType="begin"/>
                  </w:r>
                  <w:r>
                    <w:rPr>
                      <w:rFonts w:cs="Times New Roman"/>
                      <w:sz w:val="21"/>
                      <w:szCs w:val="21"/>
                    </w:rPr>
                    <w:instrText xml:space="preserve"> = 4 \* ROMAN </w:instrText>
                  </w:r>
                  <w:r>
                    <w:rPr>
                      <w:rFonts w:cs="Times New Roman"/>
                      <w:sz w:val="21"/>
                      <w:szCs w:val="21"/>
                    </w:rPr>
                    <w:fldChar w:fldCharType="separate"/>
                  </w:r>
                  <w:r>
                    <w:rPr>
                      <w:rFonts w:cs="Times New Roman"/>
                      <w:sz w:val="21"/>
                      <w:szCs w:val="21"/>
                    </w:rPr>
                    <w:t>I</w:t>
                  </w:r>
                  <w:r>
                    <w:rPr>
                      <w:rFonts w:cs="Times New Roman"/>
                      <w:sz w:val="21"/>
                      <w:szCs w:val="21"/>
                    </w:rPr>
                    <w:fldChar w:fldCharType="begin"/>
                  </w:r>
                  <w:r>
                    <w:rPr>
                      <w:rFonts w:cs="Times New Roman"/>
                      <w:sz w:val="21"/>
                      <w:szCs w:val="21"/>
                    </w:rPr>
                    <w:instrText xml:space="preserve"> = 3 \* ROMAN </w:instrText>
                  </w:r>
                  <w:r>
                    <w:rPr>
                      <w:rFonts w:cs="Times New Roman"/>
                      <w:sz w:val="21"/>
                      <w:szCs w:val="21"/>
                    </w:rPr>
                    <w:fldChar w:fldCharType="separate"/>
                  </w:r>
                  <w:r>
                    <w:rPr>
                      <w:rFonts w:cs="Times New Roman"/>
                      <w:sz w:val="21"/>
                      <w:szCs w:val="21"/>
                    </w:rPr>
                    <w:t>II</w:t>
                  </w:r>
                  <w:r>
                    <w:rPr>
                      <w:rFonts w:cs="Times New Roman"/>
                      <w:sz w:val="21"/>
                      <w:szCs w:val="21"/>
                    </w:rPr>
                    <w:fldChar w:fldCharType="end"/>
                  </w:r>
                  <w:r>
                    <w:rPr>
                      <w:rFonts w:cs="Times New Roman"/>
                      <w:sz w:val="21"/>
                      <w:szCs w:val="21"/>
                    </w:rPr>
                    <w:fldChar w:fldCharType="end"/>
                  </w:r>
                  <w:r>
                    <w:rPr>
                      <w:rFonts w:cs="Times New Roman"/>
                      <w:sz w:val="21"/>
                      <w:szCs w:val="21"/>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3"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地下水环境</w:t>
                  </w:r>
                </w:p>
              </w:tc>
              <w:tc>
                <w:tcPr>
                  <w:tcW w:w="1309"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当地地下水</w:t>
                  </w:r>
                </w:p>
              </w:tc>
              <w:tc>
                <w:tcPr>
                  <w:tcW w:w="1307"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w:t>
                  </w:r>
                </w:p>
              </w:tc>
              <w:tc>
                <w:tcPr>
                  <w:tcW w:w="853" w:type="dxa"/>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w:t>
                  </w:r>
                </w:p>
              </w:tc>
              <w:tc>
                <w:tcPr>
                  <w:tcW w:w="953" w:type="dxa"/>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w:t>
                  </w:r>
                </w:p>
              </w:tc>
              <w:tc>
                <w:tcPr>
                  <w:tcW w:w="1278"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w:t>
                  </w:r>
                </w:p>
              </w:tc>
              <w:tc>
                <w:tcPr>
                  <w:tcW w:w="2350" w:type="dxa"/>
                  <w:vAlign w:val="center"/>
                </w:tcPr>
                <w:p>
                  <w:pPr>
                    <w:pBdr>
                      <w:left w:val="single" w:color="auto" w:sz="12" w:space="4"/>
                      <w:right w:val="single" w:color="auto" w:sz="12" w:space="4"/>
                    </w:pBdr>
                    <w:jc w:val="center"/>
                    <w:rPr>
                      <w:rFonts w:cs="Times New Roman"/>
                      <w:sz w:val="21"/>
                      <w:szCs w:val="21"/>
                    </w:rPr>
                  </w:pPr>
                  <w:r>
                    <w:rPr>
                      <w:rFonts w:cs="Times New Roman"/>
                      <w:sz w:val="21"/>
                      <w:szCs w:val="21"/>
                    </w:rPr>
                    <w:t>《地下水环境质量标准》（GB/T 14848-2017）中</w:t>
                  </w:r>
                  <w:r>
                    <w:rPr>
                      <w:rFonts w:hint="eastAsia" w:ascii="宋体" w:hAnsi="宋体" w:cs="宋体"/>
                      <w:sz w:val="21"/>
                      <w:szCs w:val="21"/>
                    </w:rPr>
                    <w:t>Ⅲ</w:t>
                  </w:r>
                  <w:r>
                    <w:rPr>
                      <w:rFonts w:cs="Times New Roman"/>
                      <w:sz w:val="21"/>
                      <w:szCs w:val="21"/>
                    </w:rPr>
                    <w:t>类水域标准</w:t>
                  </w:r>
                </w:p>
              </w:tc>
            </w:tr>
            <w:bookmarkEnd w:id="3"/>
          </w:tbl>
          <w:p>
            <w:pPr>
              <w:adjustRightInd w:val="0"/>
              <w:snapToGrid w:val="0"/>
              <w:spacing w:line="360" w:lineRule="auto"/>
              <w:jc w:val="center"/>
              <w:rPr>
                <w:rFonts w:cs="Times New Roman"/>
                <w:b/>
                <w:szCs w:val="24"/>
              </w:rPr>
            </w:pPr>
            <w:r>
              <w:rPr>
                <w:rFonts w:cs="Times New Roman"/>
                <w:b/>
                <w:szCs w:val="24"/>
              </w:rPr>
              <w:t xml:space="preserve">表3-16  </w:t>
            </w:r>
            <w:r>
              <w:rPr>
                <w:rFonts w:hint="eastAsia" w:cs="Times New Roman"/>
                <w:b/>
                <w:szCs w:val="24"/>
              </w:rPr>
              <w:t>马嘶溪火车站片区污水管网</w:t>
            </w:r>
            <w:r>
              <w:rPr>
                <w:rFonts w:cs="Times New Roman"/>
                <w:b/>
                <w:szCs w:val="24"/>
              </w:rPr>
              <w:t>主要环境保护目标一览表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1457"/>
              <w:gridCol w:w="2040"/>
              <w:gridCol w:w="1020"/>
              <w:gridCol w:w="3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737" w:type="pct"/>
                  <w:vAlign w:val="center"/>
                </w:tcPr>
                <w:p>
                  <w:pPr>
                    <w:pStyle w:val="46"/>
                    <w:rPr>
                      <w:b/>
                      <w:bCs/>
                      <w:sz w:val="21"/>
                      <w:szCs w:val="21"/>
                    </w:rPr>
                  </w:pPr>
                  <w:r>
                    <w:rPr>
                      <w:b/>
                      <w:bCs/>
                      <w:sz w:val="21"/>
                      <w:szCs w:val="21"/>
                    </w:rPr>
                    <w:t>类别</w:t>
                  </w:r>
                </w:p>
              </w:tc>
              <w:tc>
                <w:tcPr>
                  <w:tcW w:w="794" w:type="pct"/>
                  <w:vAlign w:val="center"/>
                </w:tcPr>
                <w:p>
                  <w:pPr>
                    <w:pStyle w:val="46"/>
                    <w:rPr>
                      <w:b/>
                      <w:bCs/>
                      <w:sz w:val="21"/>
                      <w:szCs w:val="21"/>
                    </w:rPr>
                  </w:pPr>
                  <w:r>
                    <w:rPr>
                      <w:b/>
                      <w:bCs/>
                      <w:sz w:val="21"/>
                      <w:szCs w:val="21"/>
                    </w:rPr>
                    <w:t>保护目标</w:t>
                  </w:r>
                </w:p>
              </w:tc>
              <w:tc>
                <w:tcPr>
                  <w:tcW w:w="1112" w:type="pct"/>
                  <w:vAlign w:val="center"/>
                </w:tcPr>
                <w:p>
                  <w:pPr>
                    <w:pStyle w:val="46"/>
                    <w:rPr>
                      <w:b/>
                      <w:bCs/>
                      <w:sz w:val="21"/>
                      <w:szCs w:val="21"/>
                    </w:rPr>
                  </w:pPr>
                  <w:r>
                    <w:rPr>
                      <w:b/>
                      <w:bCs/>
                      <w:sz w:val="21"/>
                      <w:szCs w:val="21"/>
                    </w:rPr>
                    <w:t>与管网的距离方位</w:t>
                  </w:r>
                </w:p>
              </w:tc>
              <w:tc>
                <w:tcPr>
                  <w:tcW w:w="556" w:type="pct"/>
                  <w:vAlign w:val="center"/>
                </w:tcPr>
                <w:p>
                  <w:pPr>
                    <w:pStyle w:val="46"/>
                    <w:rPr>
                      <w:b/>
                      <w:bCs/>
                      <w:sz w:val="21"/>
                      <w:szCs w:val="21"/>
                    </w:rPr>
                  </w:pPr>
                  <w:r>
                    <w:rPr>
                      <w:b/>
                      <w:bCs/>
                      <w:sz w:val="21"/>
                      <w:szCs w:val="21"/>
                    </w:rPr>
                    <w:t>人数</w:t>
                  </w:r>
                </w:p>
              </w:tc>
              <w:tc>
                <w:tcPr>
                  <w:tcW w:w="1801" w:type="pct"/>
                  <w:vAlign w:val="center"/>
                </w:tcPr>
                <w:p>
                  <w:pPr>
                    <w:pStyle w:val="46"/>
                    <w:rPr>
                      <w:b/>
                      <w:bCs/>
                      <w:sz w:val="21"/>
                      <w:szCs w:val="21"/>
                    </w:rPr>
                  </w:pPr>
                  <w:r>
                    <w:rPr>
                      <w:b/>
                      <w:bCs/>
                      <w:sz w:val="21"/>
                      <w:szCs w:val="21"/>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7" w:type="pct"/>
                  <w:vAlign w:val="center"/>
                </w:tcPr>
                <w:p>
                  <w:pPr>
                    <w:pStyle w:val="46"/>
                    <w:rPr>
                      <w:sz w:val="21"/>
                      <w:szCs w:val="21"/>
                    </w:rPr>
                  </w:pPr>
                  <w:r>
                    <w:rPr>
                      <w:rFonts w:cs="Times New Roman"/>
                      <w:sz w:val="21"/>
                      <w:szCs w:val="21"/>
                    </w:rPr>
                    <w:t>环境空气、声环境</w:t>
                  </w:r>
                </w:p>
              </w:tc>
              <w:tc>
                <w:tcPr>
                  <w:tcW w:w="794" w:type="pct"/>
                  <w:vAlign w:val="center"/>
                </w:tcPr>
                <w:p>
                  <w:pPr>
                    <w:pStyle w:val="46"/>
                    <w:rPr>
                      <w:sz w:val="21"/>
                      <w:szCs w:val="21"/>
                    </w:rPr>
                  </w:pPr>
                  <w:r>
                    <w:rPr>
                      <w:rFonts w:hint="eastAsia" w:cs="Times New Roman"/>
                      <w:sz w:val="21"/>
                      <w:szCs w:val="21"/>
                    </w:rPr>
                    <w:t>马嘶溪火车站片区居民</w:t>
                  </w:r>
                </w:p>
              </w:tc>
              <w:tc>
                <w:tcPr>
                  <w:tcW w:w="1112" w:type="pct"/>
                  <w:vAlign w:val="center"/>
                </w:tcPr>
                <w:p>
                  <w:pPr>
                    <w:pStyle w:val="46"/>
                    <w:rPr>
                      <w:sz w:val="21"/>
                      <w:szCs w:val="21"/>
                    </w:rPr>
                  </w:pPr>
                  <w:r>
                    <w:rPr>
                      <w:sz w:val="21"/>
                      <w:szCs w:val="21"/>
                    </w:rPr>
                    <w:t>交叉分布在管网周围，离管网1～10m</w:t>
                  </w:r>
                </w:p>
              </w:tc>
              <w:tc>
                <w:tcPr>
                  <w:tcW w:w="556" w:type="pct"/>
                  <w:vAlign w:val="center"/>
                </w:tcPr>
                <w:p>
                  <w:pPr>
                    <w:pStyle w:val="46"/>
                    <w:rPr>
                      <w:sz w:val="21"/>
                      <w:szCs w:val="21"/>
                    </w:rPr>
                  </w:pPr>
                  <w:r>
                    <w:rPr>
                      <w:rFonts w:hint="eastAsia"/>
                      <w:sz w:val="21"/>
                      <w:szCs w:val="21"/>
                    </w:rPr>
                    <w:t>约</w:t>
                  </w:r>
                  <w:r>
                    <w:rPr>
                      <w:sz w:val="21"/>
                      <w:szCs w:val="21"/>
                    </w:rPr>
                    <w:t>600</w:t>
                  </w:r>
                  <w:r>
                    <w:rPr>
                      <w:rFonts w:hint="eastAsia"/>
                      <w:sz w:val="21"/>
                      <w:szCs w:val="21"/>
                    </w:rPr>
                    <w:t>人</w:t>
                  </w:r>
                </w:p>
              </w:tc>
              <w:tc>
                <w:tcPr>
                  <w:tcW w:w="1801" w:type="pct"/>
                  <w:vAlign w:val="center"/>
                </w:tcPr>
                <w:p>
                  <w:pPr>
                    <w:pStyle w:val="46"/>
                    <w:rPr>
                      <w:sz w:val="21"/>
                      <w:szCs w:val="21"/>
                    </w:rPr>
                  </w:pPr>
                  <w:r>
                    <w:rPr>
                      <w:sz w:val="21"/>
                      <w:szCs w:val="21"/>
                    </w:rPr>
                    <w:t>《环境空气质量标准》（GB3095-2012）二类标准</w:t>
                  </w:r>
                  <w:r>
                    <w:rPr>
                      <w:rFonts w:hint="eastAsia"/>
                      <w:sz w:val="21"/>
                      <w:szCs w:val="21"/>
                    </w:rPr>
                    <w:t>；</w:t>
                  </w:r>
                  <w:r>
                    <w:rPr>
                      <w:sz w:val="21"/>
                      <w:szCs w:val="21"/>
                    </w:rPr>
                    <w:t>《声环境质量标准》（GB3096-2008）2类标准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37" w:type="pct"/>
                  <w:vMerge w:val="restart"/>
                  <w:vAlign w:val="center"/>
                </w:tcPr>
                <w:p>
                  <w:pPr>
                    <w:pStyle w:val="46"/>
                    <w:rPr>
                      <w:rFonts w:cs="Times New Roman"/>
                      <w:sz w:val="21"/>
                      <w:szCs w:val="21"/>
                    </w:rPr>
                  </w:pPr>
                  <w:r>
                    <w:rPr>
                      <w:rFonts w:cs="Times New Roman"/>
                      <w:sz w:val="21"/>
                      <w:szCs w:val="21"/>
                    </w:rPr>
                    <w:t>地表水环境</w:t>
                  </w:r>
                  <w:r>
                    <w:rPr>
                      <w:rFonts w:hint="eastAsia" w:cs="Times New Roman"/>
                      <w:sz w:val="21"/>
                      <w:szCs w:val="21"/>
                    </w:rPr>
                    <w:t>、地下水环境</w:t>
                  </w:r>
                </w:p>
              </w:tc>
              <w:tc>
                <w:tcPr>
                  <w:tcW w:w="794" w:type="pct"/>
                  <w:vAlign w:val="center"/>
                </w:tcPr>
                <w:p>
                  <w:pPr>
                    <w:pStyle w:val="46"/>
                    <w:rPr>
                      <w:rFonts w:cs="Times New Roman"/>
                      <w:b/>
                      <w:sz w:val="21"/>
                      <w:szCs w:val="21"/>
                    </w:rPr>
                  </w:pPr>
                  <w:r>
                    <w:rPr>
                      <w:rFonts w:hint="eastAsia" w:cs="Times New Roman"/>
                      <w:sz w:val="21"/>
                      <w:szCs w:val="21"/>
                    </w:rPr>
                    <w:t>大渡河</w:t>
                  </w:r>
                </w:p>
              </w:tc>
              <w:tc>
                <w:tcPr>
                  <w:tcW w:w="1112" w:type="pct"/>
                  <w:vAlign w:val="center"/>
                </w:tcPr>
                <w:p>
                  <w:pPr>
                    <w:pStyle w:val="46"/>
                    <w:rPr>
                      <w:sz w:val="21"/>
                      <w:szCs w:val="21"/>
                    </w:rPr>
                  </w:pPr>
                  <w:r>
                    <w:rPr>
                      <w:rFonts w:hint="eastAsia"/>
                      <w:sz w:val="21"/>
                      <w:szCs w:val="21"/>
                    </w:rPr>
                    <w:t>北侧1</w:t>
                  </w:r>
                  <w:r>
                    <w:rPr>
                      <w:sz w:val="21"/>
                      <w:szCs w:val="21"/>
                    </w:rPr>
                    <w:t>66m</w:t>
                  </w:r>
                </w:p>
              </w:tc>
              <w:tc>
                <w:tcPr>
                  <w:tcW w:w="556" w:type="pct"/>
                  <w:vAlign w:val="center"/>
                </w:tcPr>
                <w:p>
                  <w:pPr>
                    <w:pStyle w:val="46"/>
                    <w:rPr>
                      <w:sz w:val="21"/>
                      <w:szCs w:val="21"/>
                    </w:rPr>
                  </w:pPr>
                  <w:r>
                    <w:rPr>
                      <w:rFonts w:hint="eastAsia"/>
                      <w:sz w:val="21"/>
                      <w:szCs w:val="21"/>
                    </w:rPr>
                    <w:t>/</w:t>
                  </w:r>
                </w:p>
              </w:tc>
              <w:tc>
                <w:tcPr>
                  <w:tcW w:w="1801" w:type="pct"/>
                  <w:vMerge w:val="restart"/>
                  <w:vAlign w:val="center"/>
                </w:tcPr>
                <w:p>
                  <w:pPr>
                    <w:pStyle w:val="46"/>
                    <w:rPr>
                      <w:sz w:val="21"/>
                      <w:szCs w:val="21"/>
                    </w:rPr>
                  </w:pPr>
                  <w:r>
                    <w:rPr>
                      <w:rFonts w:cs="Times New Roman"/>
                      <w:sz w:val="21"/>
                      <w:szCs w:val="21"/>
                    </w:rPr>
                    <w:t>《地表水环境质量标准》（GB3838-2002）</w:t>
                  </w:r>
                  <w:r>
                    <w:rPr>
                      <w:rFonts w:cs="Times New Roman"/>
                      <w:sz w:val="21"/>
                      <w:szCs w:val="21"/>
                    </w:rPr>
                    <w:fldChar w:fldCharType="begin"/>
                  </w:r>
                  <w:r>
                    <w:rPr>
                      <w:rFonts w:cs="Times New Roman"/>
                      <w:sz w:val="21"/>
                      <w:szCs w:val="21"/>
                    </w:rPr>
                    <w:instrText xml:space="preserve"> = 4 \* ROMAN </w:instrText>
                  </w:r>
                  <w:r>
                    <w:rPr>
                      <w:rFonts w:cs="Times New Roman"/>
                      <w:sz w:val="21"/>
                      <w:szCs w:val="21"/>
                    </w:rPr>
                    <w:fldChar w:fldCharType="separate"/>
                  </w:r>
                  <w:r>
                    <w:rPr>
                      <w:rFonts w:cs="Times New Roman"/>
                      <w:sz w:val="21"/>
                      <w:szCs w:val="21"/>
                    </w:rPr>
                    <w:t>I</w:t>
                  </w:r>
                  <w:r>
                    <w:rPr>
                      <w:rFonts w:cs="Times New Roman"/>
                      <w:sz w:val="21"/>
                      <w:szCs w:val="21"/>
                    </w:rPr>
                    <w:fldChar w:fldCharType="begin"/>
                  </w:r>
                  <w:r>
                    <w:rPr>
                      <w:rFonts w:cs="Times New Roman"/>
                      <w:sz w:val="21"/>
                      <w:szCs w:val="21"/>
                    </w:rPr>
                    <w:instrText xml:space="preserve"> = 3 \* ROMAN </w:instrText>
                  </w:r>
                  <w:r>
                    <w:rPr>
                      <w:rFonts w:cs="Times New Roman"/>
                      <w:sz w:val="21"/>
                      <w:szCs w:val="21"/>
                    </w:rPr>
                    <w:fldChar w:fldCharType="separate"/>
                  </w:r>
                  <w:r>
                    <w:rPr>
                      <w:rFonts w:cs="Times New Roman"/>
                      <w:sz w:val="21"/>
                      <w:szCs w:val="21"/>
                    </w:rPr>
                    <w:t>II</w:t>
                  </w:r>
                  <w:r>
                    <w:rPr>
                      <w:rFonts w:cs="Times New Roman"/>
                      <w:sz w:val="21"/>
                      <w:szCs w:val="21"/>
                    </w:rPr>
                    <w:fldChar w:fldCharType="end"/>
                  </w:r>
                  <w:r>
                    <w:rPr>
                      <w:rFonts w:cs="Times New Roman"/>
                      <w:sz w:val="21"/>
                      <w:szCs w:val="21"/>
                    </w:rPr>
                    <w:fldChar w:fldCharType="end"/>
                  </w:r>
                  <w:r>
                    <w:rPr>
                      <w:rFonts w:cs="Times New Roman"/>
                      <w:sz w:val="21"/>
                      <w:szCs w:val="21"/>
                    </w:rPr>
                    <w:t>类</w:t>
                  </w:r>
                  <w:r>
                    <w:rPr>
                      <w:rFonts w:hint="eastAsia" w:cs="Times New Roman"/>
                      <w:sz w:val="21"/>
                      <w:szCs w:val="21"/>
                    </w:rPr>
                    <w:t>；</w:t>
                  </w:r>
                  <w:r>
                    <w:rPr>
                      <w:rFonts w:cs="Times New Roman"/>
                      <w:sz w:val="21"/>
                      <w:szCs w:val="21"/>
                    </w:rPr>
                    <w:t>《地下水环境质量标准》（GB/T 14848-2017）中</w:t>
                  </w:r>
                  <w:r>
                    <w:rPr>
                      <w:rFonts w:hint="eastAsia" w:ascii="宋体" w:hAnsi="宋体" w:cs="宋体"/>
                      <w:sz w:val="21"/>
                      <w:szCs w:val="21"/>
                    </w:rPr>
                    <w:t>Ⅲ</w:t>
                  </w:r>
                  <w:r>
                    <w:rPr>
                      <w:rFonts w:cs="Times New Roman"/>
                      <w:sz w:val="21"/>
                      <w:szCs w:val="21"/>
                    </w:rPr>
                    <w:t>类水域标准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37" w:type="pct"/>
                  <w:vMerge w:val="continue"/>
                  <w:vAlign w:val="center"/>
                </w:tcPr>
                <w:p>
                  <w:pPr>
                    <w:pStyle w:val="46"/>
                    <w:rPr>
                      <w:rFonts w:cs="Times New Roman"/>
                      <w:sz w:val="21"/>
                      <w:szCs w:val="21"/>
                    </w:rPr>
                  </w:pPr>
                </w:p>
              </w:tc>
              <w:tc>
                <w:tcPr>
                  <w:tcW w:w="794" w:type="pct"/>
                  <w:vAlign w:val="center"/>
                </w:tcPr>
                <w:p>
                  <w:pPr>
                    <w:pStyle w:val="46"/>
                    <w:rPr>
                      <w:rFonts w:cs="Times New Roman"/>
                      <w:b/>
                      <w:sz w:val="21"/>
                      <w:szCs w:val="21"/>
                    </w:rPr>
                  </w:pPr>
                  <w:r>
                    <w:rPr>
                      <w:rFonts w:cs="Times New Roman"/>
                      <w:sz w:val="21"/>
                      <w:szCs w:val="21"/>
                    </w:rPr>
                    <w:t>当地地下水</w:t>
                  </w:r>
                </w:p>
              </w:tc>
              <w:tc>
                <w:tcPr>
                  <w:tcW w:w="1112" w:type="pct"/>
                  <w:vAlign w:val="center"/>
                </w:tcPr>
                <w:p>
                  <w:pPr>
                    <w:pStyle w:val="46"/>
                    <w:rPr>
                      <w:sz w:val="21"/>
                      <w:szCs w:val="21"/>
                    </w:rPr>
                  </w:pPr>
                  <w:r>
                    <w:rPr>
                      <w:rFonts w:hint="eastAsia"/>
                      <w:sz w:val="21"/>
                      <w:szCs w:val="21"/>
                    </w:rPr>
                    <w:t>/</w:t>
                  </w:r>
                </w:p>
              </w:tc>
              <w:tc>
                <w:tcPr>
                  <w:tcW w:w="556" w:type="pct"/>
                  <w:vAlign w:val="center"/>
                </w:tcPr>
                <w:p>
                  <w:pPr>
                    <w:pStyle w:val="46"/>
                    <w:rPr>
                      <w:sz w:val="21"/>
                      <w:szCs w:val="21"/>
                    </w:rPr>
                  </w:pPr>
                  <w:r>
                    <w:rPr>
                      <w:rFonts w:hint="eastAsia"/>
                      <w:sz w:val="21"/>
                      <w:szCs w:val="21"/>
                    </w:rPr>
                    <w:t>/</w:t>
                  </w:r>
                </w:p>
              </w:tc>
              <w:tc>
                <w:tcPr>
                  <w:tcW w:w="1801" w:type="pct"/>
                  <w:vMerge w:val="continue"/>
                  <w:vAlign w:val="center"/>
                </w:tcPr>
                <w:p>
                  <w:pPr>
                    <w:pStyle w:val="46"/>
                    <w:rPr>
                      <w:rFonts w:cs="Times New Roman"/>
                      <w:sz w:val="21"/>
                      <w:szCs w:val="21"/>
                    </w:rPr>
                  </w:pPr>
                </w:p>
              </w:tc>
            </w:tr>
          </w:tbl>
          <w:p>
            <w:pPr>
              <w:adjustRightInd w:val="0"/>
              <w:snapToGrid w:val="0"/>
              <w:spacing w:line="360" w:lineRule="auto"/>
              <w:jc w:val="center"/>
              <w:rPr>
                <w:rFonts w:cs="Times New Roman"/>
                <w:b/>
                <w:szCs w:val="24"/>
              </w:rPr>
            </w:pPr>
            <w:r>
              <w:rPr>
                <w:rFonts w:cs="Times New Roman"/>
                <w:b/>
                <w:szCs w:val="24"/>
              </w:rPr>
              <w:t xml:space="preserve">表3-17  </w:t>
            </w:r>
            <w:r>
              <w:rPr>
                <w:rFonts w:hint="eastAsia" w:cs="Times New Roman"/>
                <w:b/>
                <w:szCs w:val="24"/>
              </w:rPr>
              <w:t>经营所片区污水管网</w:t>
            </w:r>
            <w:r>
              <w:rPr>
                <w:rFonts w:cs="Times New Roman"/>
                <w:b/>
                <w:szCs w:val="24"/>
              </w:rPr>
              <w:t>主要环境保护目标一览表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1457"/>
              <w:gridCol w:w="2040"/>
              <w:gridCol w:w="1020"/>
              <w:gridCol w:w="3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7" w:type="pct"/>
                  <w:vAlign w:val="center"/>
                </w:tcPr>
                <w:p>
                  <w:pPr>
                    <w:pStyle w:val="46"/>
                    <w:rPr>
                      <w:b/>
                      <w:bCs/>
                      <w:sz w:val="21"/>
                      <w:szCs w:val="21"/>
                    </w:rPr>
                  </w:pPr>
                  <w:r>
                    <w:rPr>
                      <w:b/>
                      <w:bCs/>
                      <w:sz w:val="21"/>
                      <w:szCs w:val="21"/>
                    </w:rPr>
                    <w:t>类别</w:t>
                  </w:r>
                </w:p>
              </w:tc>
              <w:tc>
                <w:tcPr>
                  <w:tcW w:w="794" w:type="pct"/>
                  <w:vAlign w:val="center"/>
                </w:tcPr>
                <w:p>
                  <w:pPr>
                    <w:pStyle w:val="46"/>
                    <w:rPr>
                      <w:b/>
                      <w:bCs/>
                      <w:sz w:val="21"/>
                      <w:szCs w:val="21"/>
                    </w:rPr>
                  </w:pPr>
                  <w:r>
                    <w:rPr>
                      <w:b/>
                      <w:bCs/>
                      <w:sz w:val="21"/>
                      <w:szCs w:val="21"/>
                    </w:rPr>
                    <w:t>保护目标</w:t>
                  </w:r>
                </w:p>
              </w:tc>
              <w:tc>
                <w:tcPr>
                  <w:tcW w:w="1112" w:type="pct"/>
                  <w:vAlign w:val="center"/>
                </w:tcPr>
                <w:p>
                  <w:pPr>
                    <w:pStyle w:val="46"/>
                    <w:rPr>
                      <w:b/>
                      <w:bCs/>
                      <w:sz w:val="21"/>
                      <w:szCs w:val="21"/>
                    </w:rPr>
                  </w:pPr>
                  <w:r>
                    <w:rPr>
                      <w:b/>
                      <w:bCs/>
                      <w:sz w:val="21"/>
                      <w:szCs w:val="21"/>
                    </w:rPr>
                    <w:t>与管网的距离方位</w:t>
                  </w:r>
                </w:p>
              </w:tc>
              <w:tc>
                <w:tcPr>
                  <w:tcW w:w="556" w:type="pct"/>
                  <w:vAlign w:val="center"/>
                </w:tcPr>
                <w:p>
                  <w:pPr>
                    <w:pStyle w:val="46"/>
                    <w:rPr>
                      <w:b/>
                      <w:bCs/>
                      <w:sz w:val="21"/>
                      <w:szCs w:val="21"/>
                    </w:rPr>
                  </w:pPr>
                  <w:r>
                    <w:rPr>
                      <w:b/>
                      <w:bCs/>
                      <w:sz w:val="21"/>
                      <w:szCs w:val="21"/>
                    </w:rPr>
                    <w:t>人数</w:t>
                  </w:r>
                </w:p>
              </w:tc>
              <w:tc>
                <w:tcPr>
                  <w:tcW w:w="1801" w:type="pct"/>
                  <w:vAlign w:val="center"/>
                </w:tcPr>
                <w:p>
                  <w:pPr>
                    <w:pStyle w:val="46"/>
                    <w:rPr>
                      <w:b/>
                      <w:bCs/>
                      <w:sz w:val="21"/>
                      <w:szCs w:val="21"/>
                    </w:rPr>
                  </w:pPr>
                  <w:r>
                    <w:rPr>
                      <w:b/>
                      <w:bCs/>
                      <w:sz w:val="21"/>
                      <w:szCs w:val="21"/>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7" w:type="pct"/>
                  <w:vAlign w:val="center"/>
                </w:tcPr>
                <w:p>
                  <w:pPr>
                    <w:pStyle w:val="46"/>
                    <w:rPr>
                      <w:sz w:val="21"/>
                      <w:szCs w:val="21"/>
                    </w:rPr>
                  </w:pPr>
                  <w:r>
                    <w:rPr>
                      <w:rFonts w:cs="Times New Roman"/>
                      <w:sz w:val="21"/>
                      <w:szCs w:val="21"/>
                    </w:rPr>
                    <w:t>环境空气、声环境</w:t>
                  </w:r>
                </w:p>
              </w:tc>
              <w:tc>
                <w:tcPr>
                  <w:tcW w:w="794" w:type="pct"/>
                  <w:vAlign w:val="center"/>
                </w:tcPr>
                <w:p>
                  <w:pPr>
                    <w:pStyle w:val="46"/>
                    <w:rPr>
                      <w:sz w:val="21"/>
                      <w:szCs w:val="21"/>
                    </w:rPr>
                  </w:pPr>
                  <w:r>
                    <w:rPr>
                      <w:rFonts w:hint="eastAsia" w:cs="Times New Roman"/>
                      <w:sz w:val="21"/>
                      <w:szCs w:val="21"/>
                    </w:rPr>
                    <w:t>经营所片区居民</w:t>
                  </w:r>
                </w:p>
              </w:tc>
              <w:tc>
                <w:tcPr>
                  <w:tcW w:w="1112" w:type="pct"/>
                  <w:vAlign w:val="center"/>
                </w:tcPr>
                <w:p>
                  <w:pPr>
                    <w:pStyle w:val="46"/>
                    <w:rPr>
                      <w:sz w:val="21"/>
                      <w:szCs w:val="21"/>
                    </w:rPr>
                  </w:pPr>
                  <w:r>
                    <w:rPr>
                      <w:sz w:val="21"/>
                      <w:szCs w:val="21"/>
                    </w:rPr>
                    <w:t>交叉分布在管网周围，离管网1～10m</w:t>
                  </w:r>
                </w:p>
              </w:tc>
              <w:tc>
                <w:tcPr>
                  <w:tcW w:w="556" w:type="pct"/>
                  <w:vAlign w:val="center"/>
                </w:tcPr>
                <w:p>
                  <w:pPr>
                    <w:pStyle w:val="46"/>
                    <w:rPr>
                      <w:sz w:val="21"/>
                      <w:szCs w:val="21"/>
                    </w:rPr>
                  </w:pPr>
                  <w:r>
                    <w:rPr>
                      <w:rFonts w:hint="eastAsia"/>
                      <w:sz w:val="21"/>
                      <w:szCs w:val="21"/>
                    </w:rPr>
                    <w:t>约</w:t>
                  </w:r>
                  <w:r>
                    <w:rPr>
                      <w:sz w:val="21"/>
                      <w:szCs w:val="21"/>
                    </w:rPr>
                    <w:t>200</w:t>
                  </w:r>
                  <w:r>
                    <w:rPr>
                      <w:rFonts w:hint="eastAsia"/>
                      <w:sz w:val="21"/>
                      <w:szCs w:val="21"/>
                    </w:rPr>
                    <w:t>人</w:t>
                  </w:r>
                </w:p>
              </w:tc>
              <w:tc>
                <w:tcPr>
                  <w:tcW w:w="1801" w:type="pct"/>
                  <w:vAlign w:val="center"/>
                </w:tcPr>
                <w:p>
                  <w:pPr>
                    <w:pStyle w:val="46"/>
                    <w:rPr>
                      <w:sz w:val="21"/>
                      <w:szCs w:val="21"/>
                    </w:rPr>
                  </w:pPr>
                  <w:r>
                    <w:rPr>
                      <w:sz w:val="21"/>
                      <w:szCs w:val="21"/>
                    </w:rPr>
                    <w:t>《环境空气质量标准》（GB3095-2012）二类标准</w:t>
                  </w:r>
                  <w:r>
                    <w:rPr>
                      <w:rFonts w:hint="eastAsia"/>
                      <w:sz w:val="21"/>
                      <w:szCs w:val="21"/>
                    </w:rPr>
                    <w:t>；</w:t>
                  </w:r>
                  <w:r>
                    <w:rPr>
                      <w:sz w:val="21"/>
                      <w:szCs w:val="21"/>
                    </w:rPr>
                    <w:t>《声环境质量标准》（GB3096-2008）2类标准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37" w:type="pct"/>
                  <w:vMerge w:val="restart"/>
                  <w:vAlign w:val="center"/>
                </w:tcPr>
                <w:p>
                  <w:pPr>
                    <w:pStyle w:val="46"/>
                    <w:rPr>
                      <w:rFonts w:cs="Times New Roman"/>
                      <w:sz w:val="21"/>
                      <w:szCs w:val="21"/>
                    </w:rPr>
                  </w:pPr>
                  <w:r>
                    <w:rPr>
                      <w:rFonts w:cs="Times New Roman"/>
                      <w:sz w:val="21"/>
                      <w:szCs w:val="21"/>
                    </w:rPr>
                    <w:t>地表水环境</w:t>
                  </w:r>
                  <w:r>
                    <w:rPr>
                      <w:rFonts w:hint="eastAsia" w:cs="Times New Roman"/>
                      <w:sz w:val="21"/>
                      <w:szCs w:val="21"/>
                    </w:rPr>
                    <w:t>、地下水环境</w:t>
                  </w:r>
                </w:p>
              </w:tc>
              <w:tc>
                <w:tcPr>
                  <w:tcW w:w="794" w:type="pct"/>
                  <w:vAlign w:val="center"/>
                </w:tcPr>
                <w:p>
                  <w:pPr>
                    <w:pStyle w:val="46"/>
                    <w:rPr>
                      <w:rFonts w:cs="Times New Roman"/>
                      <w:b/>
                      <w:sz w:val="21"/>
                      <w:szCs w:val="21"/>
                    </w:rPr>
                  </w:pPr>
                  <w:r>
                    <w:rPr>
                      <w:rFonts w:hint="eastAsia" w:cs="Times New Roman"/>
                      <w:sz w:val="21"/>
                      <w:szCs w:val="21"/>
                    </w:rPr>
                    <w:t>大渡河</w:t>
                  </w:r>
                </w:p>
              </w:tc>
              <w:tc>
                <w:tcPr>
                  <w:tcW w:w="1112" w:type="pct"/>
                  <w:vAlign w:val="center"/>
                </w:tcPr>
                <w:p>
                  <w:pPr>
                    <w:pStyle w:val="46"/>
                    <w:rPr>
                      <w:sz w:val="21"/>
                      <w:szCs w:val="21"/>
                    </w:rPr>
                  </w:pPr>
                  <w:r>
                    <w:rPr>
                      <w:rFonts w:hint="eastAsia"/>
                      <w:sz w:val="21"/>
                      <w:szCs w:val="21"/>
                    </w:rPr>
                    <w:t>北侧</w:t>
                  </w:r>
                  <w:r>
                    <w:rPr>
                      <w:sz w:val="21"/>
                      <w:szCs w:val="21"/>
                    </w:rPr>
                    <w:t>174m</w:t>
                  </w:r>
                </w:p>
              </w:tc>
              <w:tc>
                <w:tcPr>
                  <w:tcW w:w="556" w:type="pct"/>
                  <w:vAlign w:val="center"/>
                </w:tcPr>
                <w:p>
                  <w:pPr>
                    <w:pStyle w:val="46"/>
                    <w:rPr>
                      <w:sz w:val="21"/>
                      <w:szCs w:val="21"/>
                    </w:rPr>
                  </w:pPr>
                  <w:r>
                    <w:rPr>
                      <w:rFonts w:hint="eastAsia"/>
                      <w:sz w:val="21"/>
                      <w:szCs w:val="21"/>
                    </w:rPr>
                    <w:t>/</w:t>
                  </w:r>
                </w:p>
              </w:tc>
              <w:tc>
                <w:tcPr>
                  <w:tcW w:w="1801" w:type="pct"/>
                  <w:vMerge w:val="restart"/>
                  <w:vAlign w:val="center"/>
                </w:tcPr>
                <w:p>
                  <w:pPr>
                    <w:pStyle w:val="46"/>
                    <w:rPr>
                      <w:sz w:val="21"/>
                      <w:szCs w:val="21"/>
                    </w:rPr>
                  </w:pPr>
                  <w:r>
                    <w:rPr>
                      <w:rFonts w:cs="Times New Roman"/>
                      <w:sz w:val="21"/>
                      <w:szCs w:val="21"/>
                    </w:rPr>
                    <w:t>《地表水环境质量标准》（GB3838-2002）</w:t>
                  </w:r>
                  <w:r>
                    <w:rPr>
                      <w:rFonts w:cs="Times New Roman"/>
                      <w:sz w:val="21"/>
                      <w:szCs w:val="21"/>
                    </w:rPr>
                    <w:fldChar w:fldCharType="begin"/>
                  </w:r>
                  <w:r>
                    <w:rPr>
                      <w:rFonts w:cs="Times New Roman"/>
                      <w:sz w:val="21"/>
                      <w:szCs w:val="21"/>
                    </w:rPr>
                    <w:instrText xml:space="preserve"> = 4 \* ROMAN </w:instrText>
                  </w:r>
                  <w:r>
                    <w:rPr>
                      <w:rFonts w:cs="Times New Roman"/>
                      <w:sz w:val="21"/>
                      <w:szCs w:val="21"/>
                    </w:rPr>
                    <w:fldChar w:fldCharType="separate"/>
                  </w:r>
                  <w:r>
                    <w:rPr>
                      <w:rFonts w:cs="Times New Roman"/>
                      <w:sz w:val="21"/>
                      <w:szCs w:val="21"/>
                    </w:rPr>
                    <w:t>I</w:t>
                  </w:r>
                  <w:r>
                    <w:rPr>
                      <w:rFonts w:cs="Times New Roman"/>
                      <w:sz w:val="21"/>
                      <w:szCs w:val="21"/>
                    </w:rPr>
                    <w:fldChar w:fldCharType="begin"/>
                  </w:r>
                  <w:r>
                    <w:rPr>
                      <w:rFonts w:cs="Times New Roman"/>
                      <w:sz w:val="21"/>
                      <w:szCs w:val="21"/>
                    </w:rPr>
                    <w:instrText xml:space="preserve"> = 3 \* ROMAN </w:instrText>
                  </w:r>
                  <w:r>
                    <w:rPr>
                      <w:rFonts w:cs="Times New Roman"/>
                      <w:sz w:val="21"/>
                      <w:szCs w:val="21"/>
                    </w:rPr>
                    <w:fldChar w:fldCharType="separate"/>
                  </w:r>
                  <w:r>
                    <w:rPr>
                      <w:rFonts w:cs="Times New Roman"/>
                      <w:sz w:val="21"/>
                      <w:szCs w:val="21"/>
                    </w:rPr>
                    <w:t>II</w:t>
                  </w:r>
                  <w:r>
                    <w:rPr>
                      <w:rFonts w:cs="Times New Roman"/>
                      <w:sz w:val="21"/>
                      <w:szCs w:val="21"/>
                    </w:rPr>
                    <w:fldChar w:fldCharType="end"/>
                  </w:r>
                  <w:r>
                    <w:rPr>
                      <w:rFonts w:cs="Times New Roman"/>
                      <w:sz w:val="21"/>
                      <w:szCs w:val="21"/>
                    </w:rPr>
                    <w:fldChar w:fldCharType="end"/>
                  </w:r>
                  <w:r>
                    <w:rPr>
                      <w:rFonts w:cs="Times New Roman"/>
                      <w:sz w:val="21"/>
                      <w:szCs w:val="21"/>
                    </w:rPr>
                    <w:t>类</w:t>
                  </w:r>
                  <w:r>
                    <w:rPr>
                      <w:rFonts w:hint="eastAsia" w:cs="Times New Roman"/>
                      <w:sz w:val="21"/>
                      <w:szCs w:val="21"/>
                    </w:rPr>
                    <w:t>；</w:t>
                  </w:r>
                  <w:r>
                    <w:rPr>
                      <w:rFonts w:cs="Times New Roman"/>
                      <w:sz w:val="21"/>
                      <w:szCs w:val="21"/>
                    </w:rPr>
                    <w:t>《地下水环境质量标准》（GB/T 14848-2017）中</w:t>
                  </w:r>
                  <w:r>
                    <w:rPr>
                      <w:rFonts w:hint="eastAsia" w:ascii="宋体" w:hAnsi="宋体" w:cs="宋体"/>
                      <w:sz w:val="21"/>
                      <w:szCs w:val="21"/>
                    </w:rPr>
                    <w:t>Ⅲ</w:t>
                  </w:r>
                  <w:r>
                    <w:rPr>
                      <w:rFonts w:cs="Times New Roman"/>
                      <w:sz w:val="21"/>
                      <w:szCs w:val="21"/>
                    </w:rPr>
                    <w:t>类水域标准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37" w:type="pct"/>
                  <w:vMerge w:val="continue"/>
                  <w:vAlign w:val="center"/>
                </w:tcPr>
                <w:p>
                  <w:pPr>
                    <w:pStyle w:val="46"/>
                    <w:rPr>
                      <w:rFonts w:cs="Times New Roman"/>
                      <w:sz w:val="21"/>
                      <w:szCs w:val="21"/>
                    </w:rPr>
                  </w:pPr>
                </w:p>
              </w:tc>
              <w:tc>
                <w:tcPr>
                  <w:tcW w:w="794" w:type="pct"/>
                  <w:vAlign w:val="center"/>
                </w:tcPr>
                <w:p>
                  <w:pPr>
                    <w:pStyle w:val="46"/>
                    <w:rPr>
                      <w:rFonts w:cs="Times New Roman"/>
                      <w:b/>
                      <w:sz w:val="21"/>
                      <w:szCs w:val="21"/>
                    </w:rPr>
                  </w:pPr>
                  <w:r>
                    <w:rPr>
                      <w:rFonts w:cs="Times New Roman"/>
                      <w:sz w:val="21"/>
                      <w:szCs w:val="21"/>
                    </w:rPr>
                    <w:t>当地地下水</w:t>
                  </w:r>
                </w:p>
              </w:tc>
              <w:tc>
                <w:tcPr>
                  <w:tcW w:w="1112" w:type="pct"/>
                  <w:vAlign w:val="center"/>
                </w:tcPr>
                <w:p>
                  <w:pPr>
                    <w:pStyle w:val="46"/>
                    <w:rPr>
                      <w:sz w:val="21"/>
                      <w:szCs w:val="21"/>
                    </w:rPr>
                  </w:pPr>
                  <w:r>
                    <w:rPr>
                      <w:rFonts w:hint="eastAsia"/>
                      <w:sz w:val="21"/>
                      <w:szCs w:val="21"/>
                    </w:rPr>
                    <w:t>/</w:t>
                  </w:r>
                </w:p>
              </w:tc>
              <w:tc>
                <w:tcPr>
                  <w:tcW w:w="556" w:type="pct"/>
                  <w:vAlign w:val="center"/>
                </w:tcPr>
                <w:p>
                  <w:pPr>
                    <w:pStyle w:val="46"/>
                    <w:rPr>
                      <w:sz w:val="21"/>
                      <w:szCs w:val="21"/>
                    </w:rPr>
                  </w:pPr>
                  <w:r>
                    <w:rPr>
                      <w:rFonts w:hint="eastAsia"/>
                      <w:sz w:val="21"/>
                      <w:szCs w:val="21"/>
                    </w:rPr>
                    <w:t>/</w:t>
                  </w:r>
                </w:p>
              </w:tc>
              <w:tc>
                <w:tcPr>
                  <w:tcW w:w="1801" w:type="pct"/>
                  <w:vMerge w:val="continue"/>
                  <w:vAlign w:val="center"/>
                </w:tcPr>
                <w:p>
                  <w:pPr>
                    <w:pStyle w:val="46"/>
                    <w:rPr>
                      <w:rFonts w:cs="Times New Roman"/>
                      <w:sz w:val="21"/>
                      <w:szCs w:val="21"/>
                    </w:rPr>
                  </w:pPr>
                </w:p>
              </w:tc>
            </w:tr>
          </w:tbl>
          <w:p>
            <w:pPr>
              <w:adjustRightInd w:val="0"/>
              <w:snapToGrid w:val="0"/>
              <w:spacing w:line="360" w:lineRule="auto"/>
              <w:jc w:val="center"/>
              <w:rPr>
                <w:rFonts w:cs="Times New Roman"/>
                <w:b/>
                <w:szCs w:val="24"/>
              </w:rPr>
            </w:pPr>
            <w:r>
              <w:rPr>
                <w:rFonts w:cs="Times New Roman"/>
                <w:b/>
                <w:szCs w:val="24"/>
              </w:rPr>
              <w:t xml:space="preserve">表3-18  </w:t>
            </w:r>
            <w:r>
              <w:rPr>
                <w:rFonts w:hint="eastAsia" w:cs="Times New Roman"/>
                <w:b/>
                <w:szCs w:val="24"/>
              </w:rPr>
              <w:t>老人民医院片区污水管网</w:t>
            </w:r>
            <w:r>
              <w:rPr>
                <w:rFonts w:cs="Times New Roman"/>
                <w:b/>
                <w:szCs w:val="24"/>
              </w:rPr>
              <w:t>周围主要环境保护目标</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1457"/>
              <w:gridCol w:w="2040"/>
              <w:gridCol w:w="1020"/>
              <w:gridCol w:w="3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7" w:type="pct"/>
                  <w:vAlign w:val="center"/>
                </w:tcPr>
                <w:p>
                  <w:pPr>
                    <w:pStyle w:val="46"/>
                    <w:rPr>
                      <w:b/>
                      <w:bCs/>
                      <w:sz w:val="21"/>
                      <w:szCs w:val="21"/>
                    </w:rPr>
                  </w:pPr>
                  <w:r>
                    <w:rPr>
                      <w:b/>
                      <w:bCs/>
                      <w:sz w:val="21"/>
                      <w:szCs w:val="21"/>
                    </w:rPr>
                    <w:t>类别</w:t>
                  </w:r>
                </w:p>
              </w:tc>
              <w:tc>
                <w:tcPr>
                  <w:tcW w:w="794" w:type="pct"/>
                  <w:vAlign w:val="center"/>
                </w:tcPr>
                <w:p>
                  <w:pPr>
                    <w:pStyle w:val="46"/>
                    <w:rPr>
                      <w:b/>
                      <w:bCs/>
                      <w:sz w:val="21"/>
                      <w:szCs w:val="21"/>
                    </w:rPr>
                  </w:pPr>
                  <w:r>
                    <w:rPr>
                      <w:b/>
                      <w:bCs/>
                      <w:sz w:val="21"/>
                      <w:szCs w:val="21"/>
                    </w:rPr>
                    <w:t>保护目标</w:t>
                  </w:r>
                </w:p>
              </w:tc>
              <w:tc>
                <w:tcPr>
                  <w:tcW w:w="1112" w:type="pct"/>
                  <w:vAlign w:val="center"/>
                </w:tcPr>
                <w:p>
                  <w:pPr>
                    <w:pStyle w:val="46"/>
                    <w:rPr>
                      <w:b/>
                      <w:bCs/>
                      <w:sz w:val="21"/>
                      <w:szCs w:val="21"/>
                    </w:rPr>
                  </w:pPr>
                  <w:r>
                    <w:rPr>
                      <w:b/>
                      <w:bCs/>
                      <w:sz w:val="21"/>
                      <w:szCs w:val="21"/>
                    </w:rPr>
                    <w:t>与管网的距离方位</w:t>
                  </w:r>
                </w:p>
              </w:tc>
              <w:tc>
                <w:tcPr>
                  <w:tcW w:w="556" w:type="pct"/>
                  <w:vAlign w:val="center"/>
                </w:tcPr>
                <w:p>
                  <w:pPr>
                    <w:pStyle w:val="46"/>
                    <w:rPr>
                      <w:b/>
                      <w:bCs/>
                      <w:sz w:val="21"/>
                      <w:szCs w:val="21"/>
                    </w:rPr>
                  </w:pPr>
                  <w:r>
                    <w:rPr>
                      <w:b/>
                      <w:bCs/>
                      <w:sz w:val="21"/>
                      <w:szCs w:val="21"/>
                    </w:rPr>
                    <w:t>人数</w:t>
                  </w:r>
                </w:p>
              </w:tc>
              <w:tc>
                <w:tcPr>
                  <w:tcW w:w="1801" w:type="pct"/>
                  <w:vAlign w:val="center"/>
                </w:tcPr>
                <w:p>
                  <w:pPr>
                    <w:pStyle w:val="46"/>
                    <w:rPr>
                      <w:b/>
                      <w:bCs/>
                      <w:sz w:val="21"/>
                      <w:szCs w:val="21"/>
                    </w:rPr>
                  </w:pPr>
                  <w:r>
                    <w:rPr>
                      <w:b/>
                      <w:bCs/>
                      <w:sz w:val="21"/>
                      <w:szCs w:val="21"/>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7" w:type="pct"/>
                  <w:vAlign w:val="center"/>
                </w:tcPr>
                <w:p>
                  <w:pPr>
                    <w:pStyle w:val="46"/>
                    <w:rPr>
                      <w:sz w:val="21"/>
                      <w:szCs w:val="21"/>
                    </w:rPr>
                  </w:pPr>
                  <w:r>
                    <w:rPr>
                      <w:rFonts w:cs="Times New Roman"/>
                      <w:sz w:val="21"/>
                      <w:szCs w:val="21"/>
                    </w:rPr>
                    <w:t>环境空气、声环境</w:t>
                  </w:r>
                </w:p>
              </w:tc>
              <w:tc>
                <w:tcPr>
                  <w:tcW w:w="794" w:type="pct"/>
                  <w:vAlign w:val="center"/>
                </w:tcPr>
                <w:p>
                  <w:pPr>
                    <w:pStyle w:val="46"/>
                    <w:rPr>
                      <w:sz w:val="21"/>
                      <w:szCs w:val="21"/>
                    </w:rPr>
                  </w:pPr>
                  <w:r>
                    <w:rPr>
                      <w:rFonts w:hint="eastAsia" w:cs="Times New Roman"/>
                      <w:sz w:val="21"/>
                      <w:szCs w:val="21"/>
                    </w:rPr>
                    <w:t>老人民医院片区</w:t>
                  </w:r>
                </w:p>
              </w:tc>
              <w:tc>
                <w:tcPr>
                  <w:tcW w:w="1112" w:type="pct"/>
                  <w:vAlign w:val="center"/>
                </w:tcPr>
                <w:p>
                  <w:pPr>
                    <w:pStyle w:val="46"/>
                    <w:rPr>
                      <w:sz w:val="21"/>
                      <w:szCs w:val="21"/>
                    </w:rPr>
                  </w:pPr>
                  <w:r>
                    <w:rPr>
                      <w:sz w:val="21"/>
                      <w:szCs w:val="21"/>
                    </w:rPr>
                    <w:t>交叉分布在管网周围，离管网1～10m</w:t>
                  </w:r>
                </w:p>
              </w:tc>
              <w:tc>
                <w:tcPr>
                  <w:tcW w:w="556" w:type="pct"/>
                  <w:vAlign w:val="center"/>
                </w:tcPr>
                <w:p>
                  <w:pPr>
                    <w:pStyle w:val="46"/>
                    <w:rPr>
                      <w:sz w:val="21"/>
                      <w:szCs w:val="21"/>
                    </w:rPr>
                  </w:pPr>
                  <w:r>
                    <w:rPr>
                      <w:rFonts w:hint="eastAsia"/>
                      <w:sz w:val="21"/>
                      <w:szCs w:val="21"/>
                    </w:rPr>
                    <w:t>约</w:t>
                  </w:r>
                  <w:r>
                    <w:rPr>
                      <w:sz w:val="21"/>
                      <w:szCs w:val="21"/>
                    </w:rPr>
                    <w:t>500人</w:t>
                  </w:r>
                </w:p>
              </w:tc>
              <w:tc>
                <w:tcPr>
                  <w:tcW w:w="1801" w:type="pct"/>
                  <w:vAlign w:val="center"/>
                </w:tcPr>
                <w:p>
                  <w:pPr>
                    <w:pStyle w:val="46"/>
                    <w:rPr>
                      <w:sz w:val="21"/>
                      <w:szCs w:val="21"/>
                    </w:rPr>
                  </w:pPr>
                  <w:r>
                    <w:rPr>
                      <w:sz w:val="21"/>
                      <w:szCs w:val="21"/>
                    </w:rPr>
                    <w:t>《环境空气质量标准》（GB3095-2012）二类标准</w:t>
                  </w:r>
                  <w:r>
                    <w:rPr>
                      <w:rFonts w:hint="eastAsia"/>
                      <w:sz w:val="21"/>
                      <w:szCs w:val="21"/>
                    </w:rPr>
                    <w:t>；</w:t>
                  </w:r>
                  <w:r>
                    <w:rPr>
                      <w:sz w:val="21"/>
                      <w:szCs w:val="21"/>
                    </w:rPr>
                    <w:t>《声环境质量标准》（GB3096-2008）2类标准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37" w:type="pct"/>
                  <w:vMerge w:val="restart"/>
                  <w:vAlign w:val="center"/>
                </w:tcPr>
                <w:p>
                  <w:pPr>
                    <w:pStyle w:val="46"/>
                    <w:rPr>
                      <w:rFonts w:cs="Times New Roman"/>
                      <w:sz w:val="21"/>
                      <w:szCs w:val="21"/>
                    </w:rPr>
                  </w:pPr>
                  <w:r>
                    <w:rPr>
                      <w:rFonts w:cs="Times New Roman"/>
                      <w:sz w:val="21"/>
                      <w:szCs w:val="21"/>
                    </w:rPr>
                    <w:t>地表水环境</w:t>
                  </w:r>
                  <w:r>
                    <w:rPr>
                      <w:rFonts w:hint="eastAsia" w:cs="Times New Roman"/>
                      <w:sz w:val="21"/>
                      <w:szCs w:val="21"/>
                    </w:rPr>
                    <w:t>、地下水环境</w:t>
                  </w:r>
                </w:p>
              </w:tc>
              <w:tc>
                <w:tcPr>
                  <w:tcW w:w="794" w:type="pct"/>
                  <w:vAlign w:val="center"/>
                </w:tcPr>
                <w:p>
                  <w:pPr>
                    <w:pStyle w:val="46"/>
                    <w:rPr>
                      <w:rFonts w:cs="Times New Roman"/>
                      <w:b/>
                      <w:sz w:val="21"/>
                      <w:szCs w:val="21"/>
                    </w:rPr>
                  </w:pPr>
                  <w:r>
                    <w:rPr>
                      <w:rFonts w:hint="eastAsia" w:cs="Times New Roman"/>
                      <w:sz w:val="21"/>
                      <w:szCs w:val="21"/>
                    </w:rPr>
                    <w:t>大渡河</w:t>
                  </w:r>
                </w:p>
              </w:tc>
              <w:tc>
                <w:tcPr>
                  <w:tcW w:w="1112" w:type="pct"/>
                  <w:vAlign w:val="center"/>
                </w:tcPr>
                <w:p>
                  <w:pPr>
                    <w:pStyle w:val="46"/>
                    <w:rPr>
                      <w:sz w:val="21"/>
                      <w:szCs w:val="21"/>
                    </w:rPr>
                  </w:pPr>
                  <w:r>
                    <w:rPr>
                      <w:rFonts w:hint="eastAsia"/>
                      <w:sz w:val="21"/>
                      <w:szCs w:val="21"/>
                    </w:rPr>
                    <w:t>北侧</w:t>
                  </w:r>
                  <w:r>
                    <w:rPr>
                      <w:sz w:val="21"/>
                      <w:szCs w:val="21"/>
                    </w:rPr>
                    <w:t>48m</w:t>
                  </w:r>
                </w:p>
              </w:tc>
              <w:tc>
                <w:tcPr>
                  <w:tcW w:w="556" w:type="pct"/>
                  <w:vAlign w:val="center"/>
                </w:tcPr>
                <w:p>
                  <w:pPr>
                    <w:pStyle w:val="46"/>
                    <w:rPr>
                      <w:sz w:val="21"/>
                      <w:szCs w:val="21"/>
                    </w:rPr>
                  </w:pPr>
                  <w:r>
                    <w:rPr>
                      <w:rFonts w:hint="eastAsia"/>
                      <w:sz w:val="21"/>
                      <w:szCs w:val="21"/>
                    </w:rPr>
                    <w:t>/</w:t>
                  </w:r>
                </w:p>
              </w:tc>
              <w:tc>
                <w:tcPr>
                  <w:tcW w:w="1801" w:type="pct"/>
                  <w:vMerge w:val="restart"/>
                  <w:vAlign w:val="center"/>
                </w:tcPr>
                <w:p>
                  <w:pPr>
                    <w:pStyle w:val="46"/>
                    <w:rPr>
                      <w:sz w:val="21"/>
                      <w:szCs w:val="21"/>
                    </w:rPr>
                  </w:pPr>
                  <w:r>
                    <w:rPr>
                      <w:rFonts w:cs="Times New Roman"/>
                      <w:sz w:val="21"/>
                      <w:szCs w:val="21"/>
                    </w:rPr>
                    <w:t>《地表水环境质量标准》（GB3838-2002）</w:t>
                  </w:r>
                  <w:r>
                    <w:rPr>
                      <w:rFonts w:cs="Times New Roman"/>
                      <w:sz w:val="21"/>
                      <w:szCs w:val="21"/>
                    </w:rPr>
                    <w:fldChar w:fldCharType="begin"/>
                  </w:r>
                  <w:r>
                    <w:rPr>
                      <w:rFonts w:cs="Times New Roman"/>
                      <w:sz w:val="21"/>
                      <w:szCs w:val="21"/>
                    </w:rPr>
                    <w:instrText xml:space="preserve"> = 4 \* ROMAN </w:instrText>
                  </w:r>
                  <w:r>
                    <w:rPr>
                      <w:rFonts w:cs="Times New Roman"/>
                      <w:sz w:val="21"/>
                      <w:szCs w:val="21"/>
                    </w:rPr>
                    <w:fldChar w:fldCharType="separate"/>
                  </w:r>
                  <w:r>
                    <w:rPr>
                      <w:rFonts w:cs="Times New Roman"/>
                      <w:sz w:val="21"/>
                      <w:szCs w:val="21"/>
                    </w:rPr>
                    <w:t>I</w:t>
                  </w:r>
                  <w:r>
                    <w:rPr>
                      <w:rFonts w:cs="Times New Roman"/>
                      <w:sz w:val="21"/>
                      <w:szCs w:val="21"/>
                    </w:rPr>
                    <w:fldChar w:fldCharType="begin"/>
                  </w:r>
                  <w:r>
                    <w:rPr>
                      <w:rFonts w:cs="Times New Roman"/>
                      <w:sz w:val="21"/>
                      <w:szCs w:val="21"/>
                    </w:rPr>
                    <w:instrText xml:space="preserve"> = 3 \* ROMAN </w:instrText>
                  </w:r>
                  <w:r>
                    <w:rPr>
                      <w:rFonts w:cs="Times New Roman"/>
                      <w:sz w:val="21"/>
                      <w:szCs w:val="21"/>
                    </w:rPr>
                    <w:fldChar w:fldCharType="separate"/>
                  </w:r>
                  <w:r>
                    <w:rPr>
                      <w:rFonts w:cs="Times New Roman"/>
                      <w:sz w:val="21"/>
                      <w:szCs w:val="21"/>
                    </w:rPr>
                    <w:t>II</w:t>
                  </w:r>
                  <w:r>
                    <w:rPr>
                      <w:rFonts w:cs="Times New Roman"/>
                      <w:sz w:val="21"/>
                      <w:szCs w:val="21"/>
                    </w:rPr>
                    <w:fldChar w:fldCharType="end"/>
                  </w:r>
                  <w:r>
                    <w:rPr>
                      <w:rFonts w:cs="Times New Roman"/>
                      <w:sz w:val="21"/>
                      <w:szCs w:val="21"/>
                    </w:rPr>
                    <w:fldChar w:fldCharType="end"/>
                  </w:r>
                  <w:r>
                    <w:rPr>
                      <w:rFonts w:cs="Times New Roman"/>
                      <w:sz w:val="21"/>
                      <w:szCs w:val="21"/>
                    </w:rPr>
                    <w:t>类</w:t>
                  </w:r>
                  <w:r>
                    <w:rPr>
                      <w:rFonts w:hint="eastAsia" w:cs="Times New Roman"/>
                      <w:sz w:val="21"/>
                      <w:szCs w:val="21"/>
                    </w:rPr>
                    <w:t>；</w:t>
                  </w:r>
                  <w:r>
                    <w:rPr>
                      <w:rFonts w:cs="Times New Roman"/>
                      <w:sz w:val="21"/>
                      <w:szCs w:val="21"/>
                    </w:rPr>
                    <w:t>《地下水环境质量标准》（GB/T 14848-2017）中</w:t>
                  </w:r>
                  <w:r>
                    <w:rPr>
                      <w:rFonts w:hint="eastAsia" w:ascii="宋体" w:hAnsi="宋体" w:cs="宋体"/>
                      <w:sz w:val="21"/>
                      <w:szCs w:val="21"/>
                    </w:rPr>
                    <w:t>Ⅲ</w:t>
                  </w:r>
                  <w:r>
                    <w:rPr>
                      <w:rFonts w:cs="Times New Roman"/>
                      <w:sz w:val="21"/>
                      <w:szCs w:val="21"/>
                    </w:rPr>
                    <w:t>类水域标准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37" w:type="pct"/>
                  <w:vMerge w:val="continue"/>
                  <w:vAlign w:val="center"/>
                </w:tcPr>
                <w:p>
                  <w:pPr>
                    <w:pStyle w:val="46"/>
                    <w:rPr>
                      <w:rFonts w:cs="Times New Roman"/>
                      <w:sz w:val="21"/>
                      <w:szCs w:val="21"/>
                    </w:rPr>
                  </w:pPr>
                </w:p>
              </w:tc>
              <w:tc>
                <w:tcPr>
                  <w:tcW w:w="794" w:type="pct"/>
                  <w:vAlign w:val="center"/>
                </w:tcPr>
                <w:p>
                  <w:pPr>
                    <w:pStyle w:val="46"/>
                    <w:rPr>
                      <w:rFonts w:cs="Times New Roman"/>
                      <w:b/>
                      <w:sz w:val="21"/>
                      <w:szCs w:val="21"/>
                    </w:rPr>
                  </w:pPr>
                  <w:r>
                    <w:rPr>
                      <w:rFonts w:cs="Times New Roman"/>
                      <w:sz w:val="21"/>
                      <w:szCs w:val="21"/>
                    </w:rPr>
                    <w:t>当地地下水</w:t>
                  </w:r>
                </w:p>
              </w:tc>
              <w:tc>
                <w:tcPr>
                  <w:tcW w:w="1112" w:type="pct"/>
                  <w:vAlign w:val="center"/>
                </w:tcPr>
                <w:p>
                  <w:pPr>
                    <w:pStyle w:val="46"/>
                    <w:rPr>
                      <w:sz w:val="21"/>
                      <w:szCs w:val="21"/>
                    </w:rPr>
                  </w:pPr>
                  <w:r>
                    <w:rPr>
                      <w:rFonts w:hint="eastAsia"/>
                      <w:sz w:val="21"/>
                      <w:szCs w:val="21"/>
                    </w:rPr>
                    <w:t>/</w:t>
                  </w:r>
                </w:p>
              </w:tc>
              <w:tc>
                <w:tcPr>
                  <w:tcW w:w="556" w:type="pct"/>
                  <w:vAlign w:val="center"/>
                </w:tcPr>
                <w:p>
                  <w:pPr>
                    <w:pStyle w:val="46"/>
                    <w:rPr>
                      <w:sz w:val="21"/>
                      <w:szCs w:val="21"/>
                    </w:rPr>
                  </w:pPr>
                  <w:r>
                    <w:rPr>
                      <w:rFonts w:hint="eastAsia"/>
                      <w:sz w:val="21"/>
                      <w:szCs w:val="21"/>
                    </w:rPr>
                    <w:t>/</w:t>
                  </w:r>
                </w:p>
              </w:tc>
              <w:tc>
                <w:tcPr>
                  <w:tcW w:w="1801" w:type="pct"/>
                  <w:vMerge w:val="continue"/>
                  <w:vAlign w:val="center"/>
                </w:tcPr>
                <w:p>
                  <w:pPr>
                    <w:pStyle w:val="46"/>
                    <w:rPr>
                      <w:rFonts w:cs="Times New Roman"/>
                      <w:sz w:val="21"/>
                      <w:szCs w:val="21"/>
                    </w:rPr>
                  </w:pPr>
                </w:p>
              </w:tc>
            </w:tr>
          </w:tbl>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p>
            <w:pPr>
              <w:spacing w:line="480" w:lineRule="exact"/>
              <w:rPr>
                <w:rFonts w:cs="Times New Roman"/>
                <w:sz w:val="30"/>
                <w:szCs w:val="30"/>
              </w:rPr>
            </w:pPr>
          </w:p>
        </w:tc>
      </w:tr>
    </w:tbl>
    <w:p>
      <w:pPr>
        <w:spacing w:after="120" w:afterLines="50"/>
        <w:outlineLvl w:val="0"/>
        <w:rPr>
          <w:rFonts w:cs="Times New Roman"/>
          <w:b/>
          <w:sz w:val="30"/>
          <w:szCs w:val="30"/>
        </w:rPr>
      </w:pPr>
      <w:r>
        <w:rPr>
          <w:rFonts w:cs="Times New Roman"/>
          <w:sz w:val="28"/>
        </w:rPr>
        <w:br w:type="page"/>
      </w:r>
      <w:r>
        <w:rPr>
          <w:rFonts w:cs="Times New Roman"/>
          <w:b/>
          <w:sz w:val="30"/>
          <w:szCs w:val="30"/>
        </w:rPr>
        <w:t>评价适用标准（表四）</w:t>
      </w:r>
    </w:p>
    <w:tbl>
      <w:tblPr>
        <w:tblStyle w:val="3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8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pPr>
              <w:spacing w:line="720" w:lineRule="auto"/>
              <w:rPr>
                <w:rFonts w:cs="Times New Roman"/>
                <w:b/>
                <w:sz w:val="28"/>
                <w:szCs w:val="28"/>
              </w:rPr>
            </w:pPr>
            <w:r>
              <w:rPr>
                <w:rFonts w:cs="Times New Roman"/>
                <w:b/>
                <w:sz w:val="28"/>
                <w:szCs w:val="28"/>
              </w:rPr>
              <w:t>环</w:t>
            </w:r>
          </w:p>
          <w:p>
            <w:pPr>
              <w:spacing w:line="720" w:lineRule="auto"/>
              <w:rPr>
                <w:rFonts w:cs="Times New Roman"/>
                <w:b/>
                <w:sz w:val="28"/>
                <w:szCs w:val="28"/>
              </w:rPr>
            </w:pPr>
            <w:r>
              <w:rPr>
                <w:rFonts w:cs="Times New Roman"/>
                <w:b/>
                <w:sz w:val="28"/>
                <w:szCs w:val="28"/>
              </w:rPr>
              <w:t>境</w:t>
            </w:r>
          </w:p>
          <w:p>
            <w:pPr>
              <w:spacing w:line="720" w:lineRule="auto"/>
              <w:rPr>
                <w:rFonts w:cs="Times New Roman"/>
                <w:b/>
                <w:sz w:val="28"/>
                <w:szCs w:val="28"/>
              </w:rPr>
            </w:pPr>
            <w:r>
              <w:rPr>
                <w:rFonts w:cs="Times New Roman"/>
                <w:b/>
                <w:sz w:val="28"/>
                <w:szCs w:val="28"/>
              </w:rPr>
              <w:t>质</w:t>
            </w:r>
          </w:p>
          <w:p>
            <w:pPr>
              <w:spacing w:line="720" w:lineRule="auto"/>
              <w:rPr>
                <w:rFonts w:cs="Times New Roman"/>
                <w:b/>
                <w:sz w:val="28"/>
                <w:szCs w:val="28"/>
              </w:rPr>
            </w:pPr>
            <w:r>
              <w:rPr>
                <w:rFonts w:cs="Times New Roman"/>
                <w:b/>
                <w:sz w:val="28"/>
                <w:szCs w:val="28"/>
              </w:rPr>
              <w:t>量</w:t>
            </w:r>
          </w:p>
          <w:p>
            <w:pPr>
              <w:spacing w:line="720" w:lineRule="auto"/>
              <w:rPr>
                <w:rFonts w:cs="Times New Roman"/>
                <w:b/>
                <w:sz w:val="28"/>
                <w:szCs w:val="28"/>
              </w:rPr>
            </w:pPr>
            <w:r>
              <w:rPr>
                <w:rFonts w:cs="Times New Roman"/>
                <w:b/>
                <w:sz w:val="28"/>
                <w:szCs w:val="28"/>
              </w:rPr>
              <w:t>标</w:t>
            </w:r>
          </w:p>
          <w:p>
            <w:pPr>
              <w:spacing w:line="720" w:lineRule="auto"/>
              <w:rPr>
                <w:rFonts w:cs="Times New Roman"/>
              </w:rPr>
            </w:pPr>
            <w:r>
              <w:rPr>
                <w:rFonts w:cs="Times New Roman"/>
                <w:b/>
                <w:sz w:val="28"/>
                <w:szCs w:val="28"/>
              </w:rPr>
              <w:t>准</w:t>
            </w:r>
          </w:p>
        </w:tc>
        <w:tc>
          <w:tcPr>
            <w:tcW w:w="8541" w:type="dxa"/>
          </w:tcPr>
          <w:p>
            <w:pPr>
              <w:spacing w:line="480" w:lineRule="exact"/>
              <w:ind w:firstLine="480" w:firstLineChars="200"/>
              <w:rPr>
                <w:rFonts w:cs="Times New Roman"/>
                <w:bCs/>
                <w:szCs w:val="24"/>
              </w:rPr>
            </w:pPr>
            <w:r>
              <w:rPr>
                <w:rFonts w:cs="Times New Roman"/>
                <w:bCs/>
                <w:szCs w:val="24"/>
              </w:rPr>
              <w:t>根据项目实际情况，结合现行环境标准，本项目执行以下标准。</w:t>
            </w:r>
          </w:p>
          <w:p>
            <w:pPr>
              <w:spacing w:before="120" w:after="120" w:line="480" w:lineRule="exact"/>
              <w:rPr>
                <w:rFonts w:cs="Times New Roman"/>
                <w:b/>
                <w:szCs w:val="24"/>
              </w:rPr>
            </w:pPr>
            <w:r>
              <w:rPr>
                <w:rFonts w:cs="Times New Roman"/>
                <w:b/>
                <w:szCs w:val="24"/>
              </w:rPr>
              <w:t>一、环境空气质量：</w:t>
            </w:r>
          </w:p>
          <w:p>
            <w:pPr>
              <w:spacing w:line="360" w:lineRule="auto"/>
              <w:ind w:firstLine="480" w:firstLineChars="200"/>
              <w:rPr>
                <w:rFonts w:cs="Times New Roman"/>
                <w:b/>
                <w:bCs/>
              </w:rPr>
            </w:pPr>
            <w:r>
              <w:rPr>
                <w:rFonts w:cs="Times New Roman"/>
              </w:rPr>
              <w:t>执行《环境空气质量标准》(GB3095-2012)中的二级标准浓度参考限值</w:t>
            </w:r>
            <w:r>
              <w:rPr>
                <w:rFonts w:hint="eastAsia" w:cs="Times New Roman"/>
              </w:rPr>
              <w:t>和《环境影响技术导则大气环境》（</w:t>
            </w:r>
            <w:r>
              <w:rPr>
                <w:rFonts w:cs="Times New Roman"/>
              </w:rPr>
              <w:t>HJ2.2-2018）附录D其他污染物空气质量浓度参考限值，标准限值见表4-1。</w:t>
            </w:r>
          </w:p>
          <w:p>
            <w:pPr>
              <w:adjustRightInd w:val="0"/>
              <w:snapToGrid w:val="0"/>
              <w:spacing w:line="360" w:lineRule="auto"/>
              <w:jc w:val="center"/>
              <w:rPr>
                <w:rFonts w:cs="Times New Roman"/>
                <w:b/>
                <w:szCs w:val="24"/>
              </w:rPr>
            </w:pPr>
            <w:r>
              <w:rPr>
                <w:rFonts w:cs="Times New Roman"/>
                <w:b/>
                <w:szCs w:val="24"/>
              </w:rPr>
              <w:t>表4-1  空气环境质量评价标准</w:t>
            </w:r>
          </w:p>
          <w:tbl>
            <w:tblPr>
              <w:tblStyle w:val="30"/>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2250"/>
              <w:gridCol w:w="2281"/>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1"/>
                      <w:szCs w:val="21"/>
                    </w:rPr>
                  </w:pPr>
                  <w:r>
                    <w:rPr>
                      <w:rFonts w:cs="Times New Roman"/>
                      <w:sz w:val="21"/>
                      <w:szCs w:val="21"/>
                    </w:rPr>
                    <w:t>污染物名称</w:t>
                  </w: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取值时间</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标准浓度限值（mg/m</w:t>
                  </w:r>
                  <w:r>
                    <w:rPr>
                      <w:rFonts w:cs="Times New Roman"/>
                      <w:sz w:val="21"/>
                      <w:szCs w:val="21"/>
                      <w:vertAlign w:val="superscript"/>
                    </w:rPr>
                    <w:t>3</w:t>
                  </w:r>
                  <w:r>
                    <w:rPr>
                      <w:rFonts w:cs="Times New Roman"/>
                      <w:sz w:val="21"/>
                      <w:szCs w:val="21"/>
                    </w:rPr>
                    <w:t>）</w:t>
                  </w:r>
                </w:p>
              </w:tc>
              <w:tc>
                <w:tcPr>
                  <w:tcW w:w="2039"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restart"/>
                  <w:tcBorders>
                    <w:top w:val="nil"/>
                    <w:left w:val="single" w:color="auto" w:sz="4" w:space="0"/>
                    <w:bottom w:val="single" w:color="auto" w:sz="4" w:space="0"/>
                    <w:right w:val="single" w:color="auto" w:sz="4" w:space="0"/>
                  </w:tcBorders>
                  <w:vAlign w:val="center"/>
                </w:tcPr>
                <w:p>
                  <w:pPr>
                    <w:jc w:val="center"/>
                    <w:rPr>
                      <w:rFonts w:cs="Times New Roman"/>
                      <w:sz w:val="21"/>
                      <w:szCs w:val="21"/>
                    </w:rPr>
                  </w:pPr>
                  <w:r>
                    <w:rPr>
                      <w:rFonts w:cs="Times New Roman"/>
                      <w:sz w:val="21"/>
                      <w:szCs w:val="21"/>
                    </w:rPr>
                    <w:t>SO</w:t>
                  </w:r>
                  <w:r>
                    <w:rPr>
                      <w:rFonts w:cs="Times New Roman"/>
                      <w:sz w:val="21"/>
                      <w:szCs w:val="21"/>
                      <w:vertAlign w:val="subscript"/>
                    </w:rPr>
                    <w:t>2</w:t>
                  </w: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年平均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0.06</w:t>
                  </w:r>
                </w:p>
              </w:tc>
              <w:tc>
                <w:tcPr>
                  <w:tcW w:w="2039" w:type="dxa"/>
                  <w:vMerge w:val="restart"/>
                  <w:tcBorders>
                    <w:top w:val="nil"/>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《环境空气质量标准》（GB3095-2012）二级标准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continue"/>
                  <w:tcBorders>
                    <w:top w:val="nil"/>
                    <w:left w:val="single" w:color="auto" w:sz="4" w:space="0"/>
                    <w:bottom w:val="single" w:color="auto" w:sz="4" w:space="0"/>
                    <w:right w:val="single" w:color="auto" w:sz="4" w:space="0"/>
                  </w:tcBorders>
                  <w:vAlign w:val="center"/>
                </w:tcPr>
                <w:p>
                  <w:pPr>
                    <w:widowControl/>
                    <w:jc w:val="left"/>
                    <w:rPr>
                      <w:rFonts w:cs="Times New Roman"/>
                      <w:sz w:val="21"/>
                      <w:szCs w:val="21"/>
                    </w:rPr>
                  </w:pP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日平均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0.15</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continue"/>
                  <w:tcBorders>
                    <w:top w:val="nil"/>
                    <w:left w:val="single" w:color="auto" w:sz="4" w:space="0"/>
                    <w:bottom w:val="single" w:color="auto" w:sz="4" w:space="0"/>
                    <w:right w:val="single" w:color="auto" w:sz="4" w:space="0"/>
                  </w:tcBorders>
                  <w:vAlign w:val="center"/>
                </w:tcPr>
                <w:p>
                  <w:pPr>
                    <w:widowControl/>
                    <w:jc w:val="left"/>
                    <w:rPr>
                      <w:rFonts w:cs="Times New Roman"/>
                      <w:sz w:val="21"/>
                      <w:szCs w:val="21"/>
                    </w:rPr>
                  </w:pP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小时平均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0.50</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restart"/>
                  <w:tcBorders>
                    <w:top w:val="nil"/>
                    <w:left w:val="single" w:color="auto" w:sz="4" w:space="0"/>
                    <w:bottom w:val="single" w:color="auto" w:sz="4" w:space="0"/>
                    <w:right w:val="single" w:color="auto" w:sz="4" w:space="0"/>
                  </w:tcBorders>
                  <w:vAlign w:val="center"/>
                </w:tcPr>
                <w:p>
                  <w:pPr>
                    <w:jc w:val="center"/>
                    <w:rPr>
                      <w:rFonts w:cs="Times New Roman"/>
                      <w:sz w:val="21"/>
                      <w:szCs w:val="21"/>
                    </w:rPr>
                  </w:pPr>
                  <w:r>
                    <w:rPr>
                      <w:rFonts w:cs="Times New Roman"/>
                      <w:sz w:val="21"/>
                      <w:szCs w:val="21"/>
                    </w:rPr>
                    <w:t>NO</w:t>
                  </w:r>
                  <w:r>
                    <w:rPr>
                      <w:rFonts w:cs="Times New Roman"/>
                      <w:sz w:val="21"/>
                      <w:szCs w:val="21"/>
                      <w:vertAlign w:val="subscript"/>
                    </w:rPr>
                    <w:t>2</w:t>
                  </w: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年平均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0.04</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continue"/>
                  <w:tcBorders>
                    <w:top w:val="nil"/>
                    <w:left w:val="single" w:color="auto" w:sz="4" w:space="0"/>
                    <w:bottom w:val="single" w:color="auto" w:sz="4" w:space="0"/>
                    <w:right w:val="single" w:color="auto" w:sz="4" w:space="0"/>
                  </w:tcBorders>
                  <w:vAlign w:val="center"/>
                </w:tcPr>
                <w:p>
                  <w:pPr>
                    <w:widowControl/>
                    <w:jc w:val="left"/>
                    <w:rPr>
                      <w:rFonts w:cs="Times New Roman"/>
                      <w:sz w:val="21"/>
                      <w:szCs w:val="21"/>
                    </w:rPr>
                  </w:pP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日平均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0.08</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1586" w:type="dxa"/>
                  <w:vMerge w:val="continue"/>
                  <w:tcBorders>
                    <w:top w:val="nil"/>
                    <w:left w:val="single" w:color="auto" w:sz="4" w:space="0"/>
                    <w:bottom w:val="single" w:color="auto" w:sz="4" w:space="0"/>
                    <w:right w:val="single" w:color="auto" w:sz="4" w:space="0"/>
                  </w:tcBorders>
                  <w:vAlign w:val="center"/>
                </w:tcPr>
                <w:p>
                  <w:pPr>
                    <w:widowControl/>
                    <w:jc w:val="left"/>
                    <w:rPr>
                      <w:rFonts w:cs="Times New Roman"/>
                      <w:sz w:val="21"/>
                      <w:szCs w:val="21"/>
                    </w:rPr>
                  </w:pP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小时平均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0.20</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1586" w:type="dxa"/>
                  <w:vMerge w:val="restart"/>
                  <w:tcBorders>
                    <w:top w:val="nil"/>
                    <w:left w:val="single" w:color="auto" w:sz="4" w:space="0"/>
                    <w:bottom w:val="single" w:color="auto" w:sz="4" w:space="0"/>
                    <w:right w:val="single" w:color="auto" w:sz="4" w:space="0"/>
                  </w:tcBorders>
                  <w:vAlign w:val="center"/>
                </w:tcPr>
                <w:p>
                  <w:pPr>
                    <w:jc w:val="center"/>
                    <w:rPr>
                      <w:rFonts w:cs="Times New Roman"/>
                      <w:sz w:val="21"/>
                      <w:szCs w:val="21"/>
                    </w:rPr>
                  </w:pPr>
                  <w:r>
                    <w:rPr>
                      <w:rFonts w:cs="Times New Roman"/>
                      <w:sz w:val="21"/>
                      <w:szCs w:val="21"/>
                    </w:rPr>
                    <w:t>CO</w:t>
                  </w: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日平均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4</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86" w:type="dxa"/>
                  <w:vMerge w:val="continue"/>
                  <w:tcBorders>
                    <w:top w:val="nil"/>
                    <w:left w:val="single" w:color="auto" w:sz="4" w:space="0"/>
                    <w:bottom w:val="single" w:color="auto" w:sz="4" w:space="0"/>
                    <w:right w:val="single" w:color="auto" w:sz="4" w:space="0"/>
                  </w:tcBorders>
                  <w:vAlign w:val="center"/>
                </w:tcPr>
                <w:p>
                  <w:pPr>
                    <w:widowControl/>
                    <w:jc w:val="left"/>
                    <w:rPr>
                      <w:rFonts w:cs="Times New Roman"/>
                      <w:sz w:val="21"/>
                      <w:szCs w:val="21"/>
                    </w:rPr>
                  </w:pP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小时平均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10</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586" w:type="dxa"/>
                  <w:vMerge w:val="restart"/>
                  <w:tcBorders>
                    <w:top w:val="nil"/>
                    <w:left w:val="single" w:color="auto" w:sz="4" w:space="0"/>
                    <w:bottom w:val="single" w:color="auto" w:sz="4" w:space="0"/>
                    <w:right w:val="single" w:color="auto" w:sz="4" w:space="0"/>
                  </w:tcBorders>
                  <w:vAlign w:val="center"/>
                </w:tcPr>
                <w:p>
                  <w:pPr>
                    <w:jc w:val="center"/>
                    <w:rPr>
                      <w:rFonts w:cs="Times New Roman"/>
                      <w:sz w:val="21"/>
                      <w:szCs w:val="21"/>
                    </w:rPr>
                  </w:pPr>
                  <w:r>
                    <w:rPr>
                      <w:rFonts w:cs="Times New Roman"/>
                      <w:sz w:val="21"/>
                      <w:szCs w:val="21"/>
                    </w:rPr>
                    <w:t>O</w:t>
                  </w:r>
                  <w:r>
                    <w:rPr>
                      <w:rFonts w:cs="Times New Roman"/>
                      <w:sz w:val="21"/>
                      <w:szCs w:val="21"/>
                      <w:vertAlign w:val="subscript"/>
                    </w:rPr>
                    <w:t>3</w:t>
                  </w: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日最大8小时平均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0.16</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586" w:type="dxa"/>
                  <w:vMerge w:val="continue"/>
                  <w:tcBorders>
                    <w:top w:val="nil"/>
                    <w:left w:val="single" w:color="auto" w:sz="4" w:space="0"/>
                    <w:bottom w:val="single" w:color="auto" w:sz="4" w:space="0"/>
                    <w:right w:val="single" w:color="auto" w:sz="4" w:space="0"/>
                  </w:tcBorders>
                  <w:vAlign w:val="center"/>
                </w:tcPr>
                <w:p>
                  <w:pPr>
                    <w:widowControl/>
                    <w:jc w:val="left"/>
                    <w:rPr>
                      <w:rFonts w:cs="Times New Roman"/>
                      <w:sz w:val="21"/>
                      <w:szCs w:val="21"/>
                    </w:rPr>
                  </w:pP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小时平均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0.20</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restart"/>
                  <w:tcBorders>
                    <w:top w:val="nil"/>
                    <w:left w:val="single" w:color="auto" w:sz="4" w:space="0"/>
                    <w:bottom w:val="single" w:color="auto" w:sz="4" w:space="0"/>
                    <w:right w:val="single" w:color="auto" w:sz="4" w:space="0"/>
                  </w:tcBorders>
                  <w:vAlign w:val="center"/>
                </w:tcPr>
                <w:p>
                  <w:pPr>
                    <w:jc w:val="center"/>
                    <w:rPr>
                      <w:rFonts w:cs="Times New Roman"/>
                      <w:sz w:val="21"/>
                      <w:szCs w:val="21"/>
                    </w:rPr>
                  </w:pPr>
                  <w:r>
                    <w:rPr>
                      <w:rFonts w:cs="Times New Roman"/>
                      <w:sz w:val="21"/>
                      <w:szCs w:val="21"/>
                    </w:rPr>
                    <w:t>PM</w:t>
                  </w:r>
                  <w:r>
                    <w:rPr>
                      <w:rFonts w:cs="Times New Roman"/>
                      <w:sz w:val="21"/>
                      <w:szCs w:val="21"/>
                      <w:vertAlign w:val="subscript"/>
                    </w:rPr>
                    <w:t>10</w:t>
                  </w: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年平均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0.07</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586" w:type="dxa"/>
                  <w:vMerge w:val="continue"/>
                  <w:tcBorders>
                    <w:top w:val="nil"/>
                    <w:left w:val="single" w:color="auto" w:sz="4" w:space="0"/>
                    <w:bottom w:val="single" w:color="auto" w:sz="4" w:space="0"/>
                    <w:right w:val="single" w:color="auto" w:sz="4" w:space="0"/>
                  </w:tcBorders>
                  <w:vAlign w:val="center"/>
                </w:tcPr>
                <w:p>
                  <w:pPr>
                    <w:widowControl/>
                    <w:jc w:val="left"/>
                    <w:rPr>
                      <w:rFonts w:cs="Times New Roman"/>
                      <w:sz w:val="21"/>
                      <w:szCs w:val="21"/>
                    </w:rPr>
                  </w:pP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日平均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0.15</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586" w:type="dxa"/>
                  <w:vMerge w:val="restart"/>
                  <w:tcBorders>
                    <w:top w:val="nil"/>
                    <w:left w:val="single" w:color="auto" w:sz="4" w:space="0"/>
                    <w:bottom w:val="single" w:color="auto" w:sz="4" w:space="0"/>
                    <w:right w:val="single" w:color="auto" w:sz="4" w:space="0"/>
                  </w:tcBorders>
                  <w:vAlign w:val="center"/>
                </w:tcPr>
                <w:p>
                  <w:pPr>
                    <w:jc w:val="center"/>
                    <w:rPr>
                      <w:rFonts w:cs="Times New Roman"/>
                      <w:sz w:val="21"/>
                      <w:szCs w:val="21"/>
                    </w:rPr>
                  </w:pPr>
                  <w:r>
                    <w:rPr>
                      <w:rFonts w:cs="Times New Roman"/>
                      <w:sz w:val="21"/>
                      <w:szCs w:val="21"/>
                    </w:rPr>
                    <w:t>PM</w:t>
                  </w:r>
                  <w:r>
                    <w:rPr>
                      <w:rFonts w:cs="Times New Roman"/>
                      <w:sz w:val="21"/>
                      <w:szCs w:val="21"/>
                      <w:vertAlign w:val="subscript"/>
                    </w:rPr>
                    <w:t>2.5</w:t>
                  </w: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年平均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0.035</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586" w:type="dxa"/>
                  <w:vMerge w:val="continue"/>
                  <w:tcBorders>
                    <w:top w:val="nil"/>
                    <w:left w:val="single" w:color="auto" w:sz="4" w:space="0"/>
                    <w:bottom w:val="single" w:color="auto" w:sz="4" w:space="0"/>
                    <w:right w:val="single" w:color="auto" w:sz="4" w:space="0"/>
                  </w:tcBorders>
                  <w:vAlign w:val="center"/>
                </w:tcPr>
                <w:p>
                  <w:pPr>
                    <w:widowControl/>
                    <w:jc w:val="left"/>
                    <w:rPr>
                      <w:rFonts w:cs="Times New Roman"/>
                      <w:sz w:val="21"/>
                      <w:szCs w:val="21"/>
                    </w:rPr>
                  </w:pP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日平均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0.075</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1"/>
                      <w:szCs w:val="21"/>
                    </w:rPr>
                  </w:pPr>
                  <w:r>
                    <w:rPr>
                      <w:rFonts w:cs="Times New Roman"/>
                      <w:sz w:val="21"/>
                      <w:szCs w:val="21"/>
                    </w:rPr>
                    <w:t>H</w:t>
                  </w:r>
                  <w:r>
                    <w:rPr>
                      <w:rFonts w:cs="Times New Roman"/>
                      <w:sz w:val="21"/>
                      <w:szCs w:val="21"/>
                      <w:vertAlign w:val="subscript"/>
                    </w:rPr>
                    <w:t>2</w:t>
                  </w:r>
                  <w:r>
                    <w:rPr>
                      <w:rFonts w:cs="Times New Roman"/>
                      <w:sz w:val="21"/>
                      <w:szCs w:val="21"/>
                    </w:rPr>
                    <w:t>S</w:t>
                  </w: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小时平均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0.01</w:t>
                  </w:r>
                </w:p>
              </w:tc>
              <w:tc>
                <w:tcPr>
                  <w:tcW w:w="2039" w:type="dxa"/>
                  <w:vMerge w:val="restart"/>
                  <w:tcBorders>
                    <w:top w:val="nil"/>
                    <w:left w:val="nil"/>
                    <w:bottom w:val="single" w:color="auto" w:sz="4" w:space="0"/>
                    <w:right w:val="single" w:color="auto" w:sz="4" w:space="0"/>
                  </w:tcBorders>
                  <w:vAlign w:val="center"/>
                </w:tcPr>
                <w:p>
                  <w:pPr>
                    <w:jc w:val="center"/>
                    <w:rPr>
                      <w:rFonts w:cs="Times New Roman"/>
                      <w:sz w:val="21"/>
                      <w:szCs w:val="21"/>
                    </w:rPr>
                  </w:pPr>
                  <w:r>
                    <w:rPr>
                      <w:rFonts w:hint="eastAsia" w:cs="Times New Roman"/>
                      <w:sz w:val="21"/>
                      <w:szCs w:val="21"/>
                    </w:rPr>
                    <w:t>《</w:t>
                  </w:r>
                  <w:r>
                    <w:rPr>
                      <w:rFonts w:cs="Times New Roman"/>
                      <w:sz w:val="21"/>
                      <w:szCs w:val="21"/>
                    </w:rPr>
                    <w:t>HJ2.2-2018</w:t>
                  </w:r>
                  <w:r>
                    <w:rPr>
                      <w:rFonts w:hint="eastAsia" w:cs="Times New Roman"/>
                      <w:sz w:val="21"/>
                      <w:szCs w:val="21"/>
                    </w:rPr>
                    <w:t>》</w:t>
                  </w:r>
                  <w:r>
                    <w:rPr>
                      <w:rFonts w:cs="Times New Roman"/>
                      <w:sz w:val="21"/>
                      <w:szCs w:val="21"/>
                    </w:rPr>
                    <w:t>附录D其他污染物空气质量浓度标准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1"/>
                      <w:szCs w:val="21"/>
                    </w:rPr>
                  </w:pPr>
                  <w:r>
                    <w:rPr>
                      <w:rFonts w:cs="Times New Roman"/>
                      <w:sz w:val="21"/>
                      <w:szCs w:val="21"/>
                    </w:rPr>
                    <w:t>NH</w:t>
                  </w:r>
                  <w:r>
                    <w:rPr>
                      <w:rFonts w:cs="Times New Roman"/>
                      <w:sz w:val="21"/>
                      <w:szCs w:val="21"/>
                      <w:vertAlign w:val="subscript"/>
                    </w:rPr>
                    <w:t>3</w:t>
                  </w:r>
                </w:p>
              </w:tc>
              <w:tc>
                <w:tcPr>
                  <w:tcW w:w="2250"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小时平均</w:t>
                  </w:r>
                </w:p>
              </w:tc>
              <w:tc>
                <w:tcPr>
                  <w:tcW w:w="2281" w:type="dxa"/>
                  <w:tcBorders>
                    <w:top w:val="single" w:color="auto" w:sz="4" w:space="0"/>
                    <w:left w:val="nil"/>
                    <w:bottom w:val="single" w:color="auto" w:sz="4" w:space="0"/>
                    <w:right w:val="single" w:color="auto" w:sz="4" w:space="0"/>
                  </w:tcBorders>
                  <w:vAlign w:val="center"/>
                </w:tcPr>
                <w:p>
                  <w:pPr>
                    <w:jc w:val="center"/>
                    <w:rPr>
                      <w:rFonts w:cs="Times New Roman"/>
                      <w:sz w:val="21"/>
                      <w:szCs w:val="21"/>
                    </w:rPr>
                  </w:pPr>
                  <w:r>
                    <w:rPr>
                      <w:rFonts w:cs="Times New Roman"/>
                      <w:sz w:val="21"/>
                      <w:szCs w:val="21"/>
                    </w:rPr>
                    <w:t>0.2</w:t>
                  </w:r>
                </w:p>
              </w:tc>
              <w:tc>
                <w:tcPr>
                  <w:tcW w:w="2039" w:type="dxa"/>
                  <w:vMerge w:val="continue"/>
                  <w:tcBorders>
                    <w:top w:val="nil"/>
                    <w:left w:val="nil"/>
                    <w:bottom w:val="single" w:color="auto" w:sz="4" w:space="0"/>
                    <w:right w:val="single" w:color="auto" w:sz="4" w:space="0"/>
                  </w:tcBorders>
                  <w:vAlign w:val="center"/>
                </w:tcPr>
                <w:p>
                  <w:pPr>
                    <w:widowControl/>
                    <w:jc w:val="left"/>
                    <w:rPr>
                      <w:rFonts w:cs="Times New Roman"/>
                      <w:sz w:val="21"/>
                      <w:szCs w:val="21"/>
                    </w:rPr>
                  </w:pPr>
                </w:p>
              </w:tc>
            </w:tr>
          </w:tbl>
          <w:p>
            <w:pPr>
              <w:spacing w:before="120" w:after="120" w:line="480" w:lineRule="exact"/>
              <w:rPr>
                <w:rFonts w:cs="Times New Roman"/>
                <w:b/>
                <w:szCs w:val="24"/>
              </w:rPr>
            </w:pPr>
            <w:r>
              <w:rPr>
                <w:rFonts w:cs="Times New Roman"/>
                <w:b/>
                <w:szCs w:val="24"/>
              </w:rPr>
              <w:t>二、地表水环境质量:</w:t>
            </w:r>
          </w:p>
          <w:p>
            <w:pPr>
              <w:pStyle w:val="23"/>
              <w:spacing w:line="480" w:lineRule="exact"/>
              <w:ind w:left="0" w:firstLine="480" w:firstLineChars="200"/>
              <w:rPr>
                <w:rFonts w:cs="Times New Roman"/>
                <w:b/>
                <w:bCs/>
                <w:szCs w:val="24"/>
              </w:rPr>
            </w:pPr>
            <w:r>
              <w:rPr>
                <w:rFonts w:cs="Times New Roman"/>
                <w:szCs w:val="24"/>
              </w:rPr>
              <w:t>执行《地表水环境质量标准》（GB3838-2002）</w:t>
            </w:r>
            <w:r>
              <w:rPr>
                <w:rFonts w:hint="eastAsia" w:ascii="宋体" w:hAnsi="宋体" w:cs="宋体"/>
                <w:szCs w:val="24"/>
              </w:rPr>
              <w:t>Ⅲ</w:t>
            </w:r>
            <w:r>
              <w:rPr>
                <w:rFonts w:cs="Times New Roman"/>
                <w:szCs w:val="24"/>
              </w:rPr>
              <w:t>类标准，见表4-2。</w:t>
            </w:r>
          </w:p>
          <w:p>
            <w:pPr>
              <w:adjustRightInd w:val="0"/>
              <w:snapToGrid w:val="0"/>
              <w:spacing w:line="360" w:lineRule="auto"/>
              <w:jc w:val="center"/>
              <w:rPr>
                <w:rFonts w:cs="Times New Roman"/>
                <w:b/>
                <w:szCs w:val="24"/>
              </w:rPr>
            </w:pPr>
            <w:r>
              <w:rPr>
                <w:rFonts w:cs="Times New Roman"/>
                <w:b/>
                <w:szCs w:val="24"/>
              </w:rPr>
              <w:t>表4-2  地表水环境质量标准</w:t>
            </w:r>
          </w:p>
          <w:p>
            <w:pPr>
              <w:widowControl/>
              <w:adjustRightInd w:val="0"/>
              <w:snapToGrid w:val="0"/>
              <w:jc w:val="right"/>
              <w:rPr>
                <w:rFonts w:cs="Times New Roman"/>
                <w:snapToGrid w:val="0"/>
                <w:kern w:val="0"/>
                <w:sz w:val="21"/>
                <w:szCs w:val="21"/>
              </w:rPr>
            </w:pPr>
            <w:r>
              <w:rPr>
                <w:rFonts w:cs="Times New Roman"/>
                <w:snapToGrid w:val="0"/>
                <w:kern w:val="0"/>
                <w:sz w:val="21"/>
                <w:szCs w:val="21"/>
              </w:rPr>
              <w:t>单位：mg/L</w:t>
            </w:r>
          </w:p>
          <w:tbl>
            <w:tblPr>
              <w:tblStyle w:val="30"/>
              <w:tblW w:w="8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1765"/>
              <w:gridCol w:w="979"/>
              <w:gridCol w:w="986"/>
              <w:gridCol w:w="978"/>
              <w:gridCol w:w="976"/>
              <w:gridCol w:w="1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2" w:type="dxa"/>
                  <w:vAlign w:val="center"/>
                </w:tcPr>
                <w:p>
                  <w:pPr>
                    <w:adjustRightInd w:val="0"/>
                    <w:snapToGrid w:val="0"/>
                    <w:spacing w:line="276" w:lineRule="auto"/>
                    <w:jc w:val="center"/>
                    <w:rPr>
                      <w:rFonts w:cs="Times New Roman"/>
                      <w:sz w:val="21"/>
                      <w:szCs w:val="21"/>
                    </w:rPr>
                  </w:pPr>
                  <w:r>
                    <w:rPr>
                      <w:rFonts w:cs="Times New Roman"/>
                      <w:sz w:val="21"/>
                      <w:szCs w:val="21"/>
                      <w:lang w:val="zh-CN"/>
                    </w:rPr>
                    <w:t>指标</w:t>
                  </w:r>
                </w:p>
              </w:tc>
              <w:tc>
                <w:tcPr>
                  <w:tcW w:w="1765" w:type="dxa"/>
                  <w:vAlign w:val="center"/>
                </w:tcPr>
                <w:p>
                  <w:pPr>
                    <w:spacing w:line="276" w:lineRule="auto"/>
                    <w:jc w:val="center"/>
                    <w:rPr>
                      <w:rFonts w:cs="Times New Roman"/>
                      <w:sz w:val="21"/>
                      <w:szCs w:val="21"/>
                    </w:rPr>
                  </w:pPr>
                  <w:r>
                    <w:rPr>
                      <w:rFonts w:cs="Times New Roman"/>
                      <w:sz w:val="21"/>
                      <w:szCs w:val="21"/>
                    </w:rPr>
                    <w:t>pH</w:t>
                  </w:r>
                </w:p>
              </w:tc>
              <w:tc>
                <w:tcPr>
                  <w:tcW w:w="979" w:type="dxa"/>
                  <w:vAlign w:val="center"/>
                </w:tcPr>
                <w:p>
                  <w:pPr>
                    <w:spacing w:line="276" w:lineRule="auto"/>
                    <w:jc w:val="center"/>
                    <w:rPr>
                      <w:rFonts w:cs="Times New Roman"/>
                      <w:sz w:val="21"/>
                      <w:szCs w:val="21"/>
                    </w:rPr>
                  </w:pPr>
                  <w:r>
                    <w:rPr>
                      <w:rFonts w:cs="Times New Roman"/>
                      <w:sz w:val="21"/>
                      <w:szCs w:val="21"/>
                    </w:rPr>
                    <w:t>BOD</w:t>
                  </w:r>
                </w:p>
              </w:tc>
              <w:tc>
                <w:tcPr>
                  <w:tcW w:w="986" w:type="dxa"/>
                  <w:vAlign w:val="center"/>
                </w:tcPr>
                <w:p>
                  <w:pPr>
                    <w:spacing w:line="276" w:lineRule="auto"/>
                    <w:jc w:val="center"/>
                    <w:rPr>
                      <w:rFonts w:cs="Times New Roman"/>
                      <w:sz w:val="21"/>
                      <w:szCs w:val="21"/>
                    </w:rPr>
                  </w:pPr>
                  <w:r>
                    <w:rPr>
                      <w:rFonts w:cs="Times New Roman"/>
                      <w:sz w:val="21"/>
                      <w:szCs w:val="21"/>
                    </w:rPr>
                    <w:t>COD</w:t>
                  </w:r>
                  <w:r>
                    <w:rPr>
                      <w:rFonts w:cs="Times New Roman"/>
                      <w:sz w:val="21"/>
                      <w:szCs w:val="21"/>
                      <w:vertAlign w:val="subscript"/>
                    </w:rPr>
                    <w:t>Cr</w:t>
                  </w:r>
                </w:p>
              </w:tc>
              <w:tc>
                <w:tcPr>
                  <w:tcW w:w="978" w:type="dxa"/>
                  <w:vAlign w:val="center"/>
                </w:tcPr>
                <w:p>
                  <w:pPr>
                    <w:spacing w:line="276" w:lineRule="auto"/>
                    <w:jc w:val="center"/>
                    <w:rPr>
                      <w:rFonts w:cs="Times New Roman"/>
                      <w:sz w:val="21"/>
                      <w:szCs w:val="21"/>
                    </w:rPr>
                  </w:pPr>
                  <w:r>
                    <w:rPr>
                      <w:rFonts w:cs="Times New Roman"/>
                      <w:sz w:val="21"/>
                      <w:szCs w:val="21"/>
                    </w:rPr>
                    <w:t>氨氮</w:t>
                  </w:r>
                </w:p>
              </w:tc>
              <w:tc>
                <w:tcPr>
                  <w:tcW w:w="976" w:type="dxa"/>
                  <w:vAlign w:val="center"/>
                </w:tcPr>
                <w:p>
                  <w:pPr>
                    <w:spacing w:line="276" w:lineRule="auto"/>
                    <w:jc w:val="center"/>
                    <w:rPr>
                      <w:rFonts w:cs="Times New Roman"/>
                      <w:sz w:val="21"/>
                      <w:szCs w:val="21"/>
                    </w:rPr>
                  </w:pPr>
                  <w:r>
                    <w:rPr>
                      <w:rFonts w:cs="Times New Roman"/>
                      <w:sz w:val="21"/>
                      <w:szCs w:val="21"/>
                    </w:rPr>
                    <w:t>总磷</w:t>
                  </w:r>
                </w:p>
              </w:tc>
              <w:tc>
                <w:tcPr>
                  <w:tcW w:w="1429" w:type="dxa"/>
                  <w:vAlign w:val="center"/>
                </w:tcPr>
                <w:p>
                  <w:pPr>
                    <w:rPr>
                      <w:rFonts w:cs="Times New Roman"/>
                      <w:sz w:val="21"/>
                      <w:szCs w:val="21"/>
                    </w:rPr>
                  </w:pPr>
                  <w:r>
                    <w:rPr>
                      <w:rFonts w:hint="eastAsia" w:cs="Times New Roman"/>
                      <w:sz w:val="21"/>
                      <w:szCs w:val="21"/>
                    </w:rPr>
                    <w:t>粪</w:t>
                  </w:r>
                  <w:r>
                    <w:rPr>
                      <w:rFonts w:cs="Times New Roman"/>
                      <w:sz w:val="21"/>
                      <w:szCs w:val="21"/>
                    </w:rPr>
                    <w:t>大肠菌群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2" w:type="dxa"/>
                  <w:vAlign w:val="center"/>
                </w:tcPr>
                <w:p>
                  <w:pPr>
                    <w:adjustRightInd w:val="0"/>
                    <w:snapToGrid w:val="0"/>
                    <w:spacing w:line="276" w:lineRule="auto"/>
                    <w:jc w:val="center"/>
                    <w:rPr>
                      <w:rFonts w:cs="Times New Roman"/>
                      <w:sz w:val="21"/>
                      <w:szCs w:val="21"/>
                    </w:rPr>
                  </w:pPr>
                  <w:r>
                    <w:rPr>
                      <w:rFonts w:cs="Times New Roman"/>
                      <w:sz w:val="21"/>
                      <w:szCs w:val="21"/>
                      <w:lang w:val="zh-CN"/>
                    </w:rPr>
                    <w:t>标准值</w:t>
                  </w:r>
                  <w:r>
                    <w:rPr>
                      <w:rFonts w:cs="Times New Roman"/>
                      <w:sz w:val="21"/>
                      <w:szCs w:val="21"/>
                    </w:rPr>
                    <w:t>（</w:t>
                  </w:r>
                  <w:r>
                    <w:rPr>
                      <w:rFonts w:hint="eastAsia" w:ascii="宋体" w:hAnsi="宋体" w:cs="宋体"/>
                      <w:sz w:val="21"/>
                      <w:szCs w:val="21"/>
                    </w:rPr>
                    <w:t>Ⅲ</w:t>
                  </w:r>
                  <w:r>
                    <w:rPr>
                      <w:rFonts w:cs="Times New Roman"/>
                      <w:sz w:val="21"/>
                      <w:szCs w:val="21"/>
                      <w:lang w:val="zh-CN"/>
                    </w:rPr>
                    <w:t>类</w:t>
                  </w:r>
                  <w:r>
                    <w:rPr>
                      <w:rFonts w:cs="Times New Roman"/>
                      <w:sz w:val="21"/>
                      <w:szCs w:val="21"/>
                    </w:rPr>
                    <w:t>）</w:t>
                  </w:r>
                </w:p>
              </w:tc>
              <w:tc>
                <w:tcPr>
                  <w:tcW w:w="1765" w:type="dxa"/>
                  <w:vAlign w:val="center"/>
                </w:tcPr>
                <w:p>
                  <w:pPr>
                    <w:spacing w:line="276" w:lineRule="auto"/>
                    <w:jc w:val="center"/>
                    <w:rPr>
                      <w:rFonts w:cs="Times New Roman"/>
                      <w:sz w:val="21"/>
                      <w:szCs w:val="21"/>
                    </w:rPr>
                  </w:pPr>
                  <w:r>
                    <w:rPr>
                      <w:rFonts w:cs="Times New Roman"/>
                      <w:sz w:val="21"/>
                      <w:szCs w:val="21"/>
                    </w:rPr>
                    <w:t>6~9</w:t>
                  </w:r>
                  <w:r>
                    <w:rPr>
                      <w:rFonts w:hint="eastAsia" w:cs="Times New Roman"/>
                      <w:sz w:val="21"/>
                      <w:szCs w:val="21"/>
                    </w:rPr>
                    <w:t>（无量纲）</w:t>
                  </w:r>
                </w:p>
              </w:tc>
              <w:tc>
                <w:tcPr>
                  <w:tcW w:w="979" w:type="dxa"/>
                  <w:vAlign w:val="center"/>
                </w:tcPr>
                <w:p>
                  <w:pPr>
                    <w:spacing w:line="276" w:lineRule="auto"/>
                    <w:jc w:val="center"/>
                    <w:rPr>
                      <w:rFonts w:cs="Times New Roman"/>
                      <w:sz w:val="21"/>
                      <w:szCs w:val="21"/>
                    </w:rPr>
                  </w:pPr>
                  <w:r>
                    <w:rPr>
                      <w:rFonts w:cs="Times New Roman"/>
                      <w:sz w:val="21"/>
                      <w:szCs w:val="21"/>
                    </w:rPr>
                    <w:t>≤4</w:t>
                  </w:r>
                </w:p>
              </w:tc>
              <w:tc>
                <w:tcPr>
                  <w:tcW w:w="986" w:type="dxa"/>
                  <w:vAlign w:val="center"/>
                </w:tcPr>
                <w:p>
                  <w:pPr>
                    <w:spacing w:line="276" w:lineRule="auto"/>
                    <w:jc w:val="center"/>
                    <w:rPr>
                      <w:rFonts w:cs="Times New Roman"/>
                      <w:sz w:val="21"/>
                      <w:szCs w:val="21"/>
                    </w:rPr>
                  </w:pPr>
                  <w:r>
                    <w:rPr>
                      <w:rFonts w:cs="Times New Roman"/>
                      <w:sz w:val="21"/>
                      <w:szCs w:val="21"/>
                    </w:rPr>
                    <w:t>≤20</w:t>
                  </w:r>
                </w:p>
              </w:tc>
              <w:tc>
                <w:tcPr>
                  <w:tcW w:w="978" w:type="dxa"/>
                  <w:vAlign w:val="center"/>
                </w:tcPr>
                <w:p>
                  <w:pPr>
                    <w:spacing w:line="276" w:lineRule="auto"/>
                    <w:jc w:val="center"/>
                    <w:rPr>
                      <w:rFonts w:cs="Times New Roman"/>
                      <w:sz w:val="21"/>
                      <w:szCs w:val="21"/>
                    </w:rPr>
                  </w:pPr>
                  <w:r>
                    <w:rPr>
                      <w:rFonts w:cs="Times New Roman"/>
                      <w:sz w:val="21"/>
                      <w:szCs w:val="21"/>
                    </w:rPr>
                    <w:t>≤1.0</w:t>
                  </w:r>
                </w:p>
              </w:tc>
              <w:tc>
                <w:tcPr>
                  <w:tcW w:w="976" w:type="dxa"/>
                  <w:vAlign w:val="center"/>
                </w:tcPr>
                <w:p>
                  <w:pPr>
                    <w:spacing w:line="276" w:lineRule="auto"/>
                    <w:jc w:val="center"/>
                    <w:rPr>
                      <w:rFonts w:cs="Times New Roman"/>
                      <w:sz w:val="21"/>
                      <w:szCs w:val="21"/>
                    </w:rPr>
                  </w:pPr>
                  <w:r>
                    <w:rPr>
                      <w:rFonts w:cs="Times New Roman"/>
                      <w:sz w:val="21"/>
                      <w:szCs w:val="21"/>
                    </w:rPr>
                    <w:t>≤0.2</w:t>
                  </w:r>
                </w:p>
              </w:tc>
              <w:tc>
                <w:tcPr>
                  <w:tcW w:w="1429" w:type="dxa"/>
                  <w:vAlign w:val="center"/>
                </w:tcPr>
                <w:p>
                  <w:pPr>
                    <w:spacing w:line="276" w:lineRule="auto"/>
                    <w:jc w:val="center"/>
                    <w:rPr>
                      <w:rFonts w:cs="Times New Roman"/>
                      <w:sz w:val="21"/>
                      <w:szCs w:val="21"/>
                    </w:rPr>
                  </w:pPr>
                  <w:r>
                    <w:rPr>
                      <w:rFonts w:cs="Times New Roman"/>
                      <w:sz w:val="21"/>
                      <w:szCs w:val="21"/>
                    </w:rPr>
                    <w:t>≤1×10</w:t>
                  </w:r>
                  <w:r>
                    <w:rPr>
                      <w:rFonts w:cs="Times New Roman"/>
                      <w:sz w:val="21"/>
                      <w:szCs w:val="21"/>
                      <w:vertAlign w:val="superscript"/>
                    </w:rPr>
                    <w:t>4</w:t>
                  </w:r>
                  <w:r>
                    <w:rPr>
                      <w:rFonts w:cs="Times New Roman"/>
                      <w:sz w:val="21"/>
                      <w:szCs w:val="21"/>
                    </w:rPr>
                    <w:t>个/L</w:t>
                  </w:r>
                </w:p>
              </w:tc>
            </w:tr>
          </w:tbl>
          <w:p>
            <w:pPr>
              <w:spacing w:before="120" w:after="120" w:line="480" w:lineRule="exact"/>
              <w:rPr>
                <w:rFonts w:cs="Times New Roman"/>
                <w:b/>
                <w:szCs w:val="24"/>
              </w:rPr>
            </w:pPr>
            <w:r>
              <w:rPr>
                <w:rFonts w:cs="Times New Roman"/>
                <w:b/>
                <w:szCs w:val="24"/>
              </w:rPr>
              <w:t>三、地下</w:t>
            </w:r>
            <w:r>
              <w:rPr>
                <w:rFonts w:hint="eastAsia" w:cs="Times New Roman"/>
                <w:b/>
                <w:szCs w:val="24"/>
              </w:rPr>
              <w:t>水</w:t>
            </w:r>
            <w:r>
              <w:rPr>
                <w:rFonts w:cs="Times New Roman"/>
                <w:b/>
                <w:szCs w:val="24"/>
              </w:rPr>
              <w:t>环境质量:</w:t>
            </w:r>
          </w:p>
          <w:p>
            <w:pPr>
              <w:spacing w:line="360" w:lineRule="auto"/>
              <w:ind w:firstLine="480" w:firstLineChars="200"/>
            </w:pPr>
            <w:r>
              <w:rPr>
                <w:rFonts w:ascii="宋体" w:hAnsi="宋体"/>
              </w:rPr>
              <w:t>执行《地下水质量标准》（</w:t>
            </w:r>
            <w:r>
              <w:t>GB/T14848-2017</w:t>
            </w:r>
            <w:r>
              <w:rPr>
                <w:rFonts w:ascii="宋体" w:hAnsi="宋体"/>
              </w:rPr>
              <w:t>）</w:t>
            </w:r>
            <w:r>
              <w:rPr>
                <w:rFonts w:hint="eastAsia" w:ascii="宋体" w:hAnsi="宋体" w:cs="宋体"/>
              </w:rPr>
              <w:t>Ⅲ</w:t>
            </w:r>
            <w:r>
              <w:rPr>
                <w:rFonts w:ascii="宋体" w:hAnsi="宋体"/>
              </w:rPr>
              <w:t>类标准，详见下表。</w:t>
            </w:r>
          </w:p>
          <w:p>
            <w:pPr>
              <w:widowControl/>
              <w:adjustRightInd w:val="0"/>
              <w:snapToGrid w:val="0"/>
              <w:spacing w:line="480" w:lineRule="exact"/>
              <w:ind w:right="106" w:rightChars="44"/>
              <w:jc w:val="center"/>
              <w:rPr>
                <w:rFonts w:cs="Times New Roman"/>
                <w:b/>
                <w:szCs w:val="24"/>
              </w:rPr>
            </w:pPr>
            <w:r>
              <w:rPr>
                <w:rFonts w:cs="Times New Roman"/>
                <w:b/>
                <w:szCs w:val="24"/>
              </w:rPr>
              <w:t>表4-3  地下水质量标准</w:t>
            </w:r>
          </w:p>
          <w:p>
            <w:pPr>
              <w:adjustRightInd w:val="0"/>
              <w:snapToGrid w:val="0"/>
              <w:jc w:val="right"/>
              <w:rPr>
                <w:rFonts w:eastAsia="黑体"/>
                <w:spacing w:val="20"/>
                <w:kern w:val="24"/>
                <w:sz w:val="21"/>
                <w:szCs w:val="21"/>
              </w:rPr>
            </w:pPr>
            <w:r>
              <w:rPr>
                <w:rFonts w:ascii="黑体" w:hAnsi="黑体" w:eastAsia="黑体"/>
                <w:spacing w:val="20"/>
                <w:kern w:val="24"/>
                <w:sz w:val="21"/>
                <w:szCs w:val="21"/>
              </w:rPr>
              <w:t>单位：</w:t>
            </w:r>
            <w:r>
              <w:rPr>
                <w:rFonts w:eastAsia="黑体"/>
                <w:spacing w:val="20"/>
                <w:kern w:val="24"/>
                <w:sz w:val="21"/>
                <w:szCs w:val="21"/>
              </w:rPr>
              <w:t>mg/L(pH</w:t>
            </w:r>
            <w:r>
              <w:rPr>
                <w:rFonts w:ascii="黑体" w:hAnsi="黑体" w:eastAsia="黑体"/>
                <w:spacing w:val="20"/>
                <w:kern w:val="24"/>
                <w:sz w:val="21"/>
                <w:szCs w:val="21"/>
              </w:rPr>
              <w:t>除外</w:t>
            </w:r>
            <w:r>
              <w:rPr>
                <w:rFonts w:eastAsia="黑体"/>
                <w:spacing w:val="20"/>
                <w:kern w:val="24"/>
                <w:sz w:val="21"/>
                <w:szCs w:val="21"/>
              </w:rPr>
              <w:t>)</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915"/>
              <w:gridCol w:w="1162"/>
              <w:gridCol w:w="862"/>
              <w:gridCol w:w="647"/>
              <w:gridCol w:w="647"/>
              <w:gridCol w:w="647"/>
              <w:gridCol w:w="646"/>
              <w:gridCol w:w="699"/>
              <w:gridCol w:w="684"/>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21"/>
                      <w:szCs w:val="21"/>
                    </w:rPr>
                  </w:pPr>
                  <w:r>
                    <w:rPr>
                      <w:sz w:val="21"/>
                      <w:szCs w:val="21"/>
                    </w:rPr>
                    <w:t>项目</w:t>
                  </w:r>
                </w:p>
              </w:tc>
              <w:tc>
                <w:tcPr>
                  <w:tcW w:w="550"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pH</w:t>
                  </w:r>
                  <w:r>
                    <w:rPr>
                      <w:rFonts w:ascii="宋体" w:hAnsi="宋体"/>
                      <w:sz w:val="21"/>
                      <w:szCs w:val="21"/>
                    </w:rPr>
                    <w:t>（无量纲）</w:t>
                  </w:r>
                </w:p>
              </w:tc>
              <w:tc>
                <w:tcPr>
                  <w:tcW w:w="698"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rFonts w:hint="eastAsia"/>
                      <w:sz w:val="21"/>
                      <w:szCs w:val="21"/>
                    </w:rPr>
                    <w:t>耗氧量（CODMn法，以O</w:t>
                  </w:r>
                  <w:r>
                    <w:rPr>
                      <w:rFonts w:hint="eastAsia"/>
                      <w:sz w:val="21"/>
                      <w:szCs w:val="21"/>
                      <w:vertAlign w:val="subscript"/>
                    </w:rPr>
                    <w:t>2</w:t>
                  </w:r>
                  <w:r>
                    <w:rPr>
                      <w:rFonts w:hint="eastAsia"/>
                      <w:sz w:val="21"/>
                      <w:szCs w:val="21"/>
                    </w:rPr>
                    <w:t>计）</w:t>
                  </w:r>
                </w:p>
              </w:tc>
              <w:tc>
                <w:tcPr>
                  <w:tcW w:w="518"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溶解性总固体</w:t>
                  </w:r>
                </w:p>
              </w:tc>
              <w:tc>
                <w:tcPr>
                  <w:tcW w:w="389"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硫酸盐</w:t>
                  </w:r>
                </w:p>
              </w:tc>
              <w:tc>
                <w:tcPr>
                  <w:tcW w:w="389"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氯化物</w:t>
                  </w:r>
                </w:p>
              </w:tc>
              <w:tc>
                <w:tcPr>
                  <w:tcW w:w="389"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钠</w:t>
                  </w:r>
                </w:p>
              </w:tc>
              <w:tc>
                <w:tcPr>
                  <w:tcW w:w="388"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硝酸盐</w:t>
                  </w:r>
                </w:p>
              </w:tc>
              <w:tc>
                <w:tcPr>
                  <w:tcW w:w="420"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亚硝酸盐</w:t>
                  </w:r>
                </w:p>
              </w:tc>
              <w:tc>
                <w:tcPr>
                  <w:tcW w:w="411"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氨氮</w:t>
                  </w:r>
                </w:p>
              </w:tc>
              <w:tc>
                <w:tcPr>
                  <w:tcW w:w="420"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六价铬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21"/>
                      <w:szCs w:val="21"/>
                    </w:rPr>
                  </w:pPr>
                  <w:r>
                    <w:rPr>
                      <w:sz w:val="21"/>
                      <w:szCs w:val="21"/>
                    </w:rPr>
                    <w:t>标准值mg/L</w:t>
                  </w:r>
                </w:p>
              </w:tc>
              <w:tc>
                <w:tcPr>
                  <w:tcW w:w="550"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6.5~8.5</w:t>
                  </w:r>
                </w:p>
              </w:tc>
              <w:tc>
                <w:tcPr>
                  <w:tcW w:w="698"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kern w:val="0"/>
                      <w:sz w:val="21"/>
                      <w:szCs w:val="21"/>
                    </w:rPr>
                    <w:t>≤</w:t>
                  </w:r>
                  <w:r>
                    <w:rPr>
                      <w:rFonts w:hint="eastAsia"/>
                      <w:kern w:val="0"/>
                      <w:sz w:val="21"/>
                      <w:szCs w:val="21"/>
                    </w:rPr>
                    <w:t>3.0</w:t>
                  </w:r>
                </w:p>
              </w:tc>
              <w:tc>
                <w:tcPr>
                  <w:tcW w:w="518"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≤1000</w:t>
                  </w:r>
                </w:p>
              </w:tc>
              <w:tc>
                <w:tcPr>
                  <w:tcW w:w="389"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≤250</w:t>
                  </w:r>
                </w:p>
              </w:tc>
              <w:tc>
                <w:tcPr>
                  <w:tcW w:w="389"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sz w:val="21"/>
                      <w:szCs w:val="21"/>
                    </w:rPr>
                    <w:t>≤250</w:t>
                  </w:r>
                </w:p>
              </w:tc>
              <w:tc>
                <w:tcPr>
                  <w:tcW w:w="389"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kern w:val="0"/>
                      <w:sz w:val="21"/>
                      <w:szCs w:val="21"/>
                    </w:rPr>
                    <w:t>≤</w:t>
                  </w:r>
                  <w:r>
                    <w:rPr>
                      <w:rFonts w:hint="eastAsia"/>
                      <w:kern w:val="0"/>
                      <w:sz w:val="21"/>
                      <w:szCs w:val="21"/>
                    </w:rPr>
                    <w:t>200</w:t>
                  </w:r>
                </w:p>
              </w:tc>
              <w:tc>
                <w:tcPr>
                  <w:tcW w:w="388" w:type="pct"/>
                  <w:tcBorders>
                    <w:top w:val="single" w:color="auto" w:sz="4" w:space="0"/>
                    <w:left w:val="nil"/>
                    <w:bottom w:val="single" w:color="auto" w:sz="4" w:space="0"/>
                    <w:right w:val="single" w:color="auto" w:sz="4" w:space="0"/>
                  </w:tcBorders>
                  <w:vAlign w:val="center"/>
                </w:tcPr>
                <w:p>
                  <w:pPr>
                    <w:adjustRightInd w:val="0"/>
                    <w:snapToGrid w:val="0"/>
                    <w:jc w:val="center"/>
                    <w:rPr>
                      <w:sz w:val="21"/>
                      <w:szCs w:val="21"/>
                    </w:rPr>
                  </w:pPr>
                  <w:r>
                    <w:rPr>
                      <w:kern w:val="0"/>
                      <w:sz w:val="21"/>
                      <w:szCs w:val="21"/>
                    </w:rPr>
                    <w:t>≤</w:t>
                  </w:r>
                  <w:r>
                    <w:rPr>
                      <w:rFonts w:hint="eastAsia"/>
                      <w:kern w:val="0"/>
                      <w:sz w:val="21"/>
                      <w:szCs w:val="21"/>
                    </w:rPr>
                    <w:t>20</w:t>
                  </w:r>
                </w:p>
              </w:tc>
              <w:tc>
                <w:tcPr>
                  <w:tcW w:w="420" w:type="pct"/>
                  <w:tcBorders>
                    <w:top w:val="single" w:color="auto" w:sz="4" w:space="0"/>
                    <w:left w:val="nil"/>
                    <w:bottom w:val="single" w:color="auto" w:sz="4" w:space="0"/>
                    <w:right w:val="single" w:color="auto" w:sz="4" w:space="0"/>
                  </w:tcBorders>
                  <w:vAlign w:val="center"/>
                </w:tcPr>
                <w:p>
                  <w:pPr>
                    <w:adjustRightInd w:val="0"/>
                    <w:snapToGrid w:val="0"/>
                    <w:jc w:val="center"/>
                    <w:rPr>
                      <w:kern w:val="0"/>
                      <w:sz w:val="21"/>
                      <w:szCs w:val="21"/>
                    </w:rPr>
                  </w:pPr>
                  <w:r>
                    <w:rPr>
                      <w:kern w:val="0"/>
                      <w:sz w:val="21"/>
                      <w:szCs w:val="21"/>
                    </w:rPr>
                    <w:t>≤</w:t>
                  </w:r>
                  <w:r>
                    <w:rPr>
                      <w:rFonts w:hint="eastAsia"/>
                      <w:kern w:val="0"/>
                      <w:sz w:val="21"/>
                      <w:szCs w:val="21"/>
                    </w:rPr>
                    <w:t>1.00</w:t>
                  </w:r>
                </w:p>
              </w:tc>
              <w:tc>
                <w:tcPr>
                  <w:tcW w:w="411" w:type="pct"/>
                  <w:tcBorders>
                    <w:top w:val="single" w:color="auto" w:sz="4" w:space="0"/>
                    <w:left w:val="nil"/>
                    <w:bottom w:val="single" w:color="auto" w:sz="4" w:space="0"/>
                    <w:right w:val="single" w:color="auto" w:sz="4" w:space="0"/>
                  </w:tcBorders>
                  <w:vAlign w:val="center"/>
                </w:tcPr>
                <w:p>
                  <w:pPr>
                    <w:adjustRightInd w:val="0"/>
                    <w:snapToGrid w:val="0"/>
                    <w:jc w:val="center"/>
                    <w:rPr>
                      <w:kern w:val="0"/>
                      <w:sz w:val="21"/>
                      <w:szCs w:val="21"/>
                    </w:rPr>
                  </w:pPr>
                  <w:r>
                    <w:rPr>
                      <w:kern w:val="0"/>
                      <w:sz w:val="21"/>
                      <w:szCs w:val="21"/>
                    </w:rPr>
                    <w:t>≤</w:t>
                  </w:r>
                  <w:r>
                    <w:rPr>
                      <w:rFonts w:hint="eastAsia"/>
                      <w:kern w:val="0"/>
                      <w:sz w:val="21"/>
                      <w:szCs w:val="21"/>
                    </w:rPr>
                    <w:t>0.5</w:t>
                  </w:r>
                </w:p>
              </w:tc>
              <w:tc>
                <w:tcPr>
                  <w:tcW w:w="420" w:type="pct"/>
                  <w:tcBorders>
                    <w:top w:val="single" w:color="auto" w:sz="4" w:space="0"/>
                    <w:left w:val="nil"/>
                    <w:bottom w:val="single" w:color="auto" w:sz="4" w:space="0"/>
                    <w:right w:val="single" w:color="auto" w:sz="4" w:space="0"/>
                  </w:tcBorders>
                  <w:vAlign w:val="center"/>
                </w:tcPr>
                <w:p>
                  <w:pPr>
                    <w:adjustRightInd w:val="0"/>
                    <w:snapToGrid w:val="0"/>
                    <w:jc w:val="center"/>
                    <w:rPr>
                      <w:kern w:val="0"/>
                      <w:sz w:val="21"/>
                      <w:szCs w:val="21"/>
                    </w:rPr>
                  </w:pPr>
                  <w:r>
                    <w:rPr>
                      <w:kern w:val="0"/>
                      <w:sz w:val="21"/>
                      <w:szCs w:val="21"/>
                    </w:rPr>
                    <w:t>≤</w:t>
                  </w:r>
                  <w:r>
                    <w:rPr>
                      <w:rFonts w:hint="eastAsia"/>
                      <w:kern w:val="0"/>
                      <w:sz w:val="21"/>
                      <w:szCs w:val="21"/>
                    </w:rPr>
                    <w:t>0.05</w:t>
                  </w:r>
                </w:p>
              </w:tc>
            </w:tr>
          </w:tbl>
          <w:p>
            <w:pPr>
              <w:spacing w:before="120" w:after="120" w:line="480" w:lineRule="exact"/>
              <w:rPr>
                <w:rFonts w:cs="Times New Roman"/>
                <w:b/>
                <w:szCs w:val="24"/>
              </w:rPr>
            </w:pPr>
            <w:r>
              <w:rPr>
                <w:rFonts w:cs="Times New Roman"/>
                <w:b/>
                <w:szCs w:val="24"/>
              </w:rPr>
              <w:t>四、</w:t>
            </w:r>
            <w:r>
              <w:rPr>
                <w:rFonts w:cs="Times New Roman"/>
                <w:b/>
                <w:bCs/>
                <w:szCs w:val="24"/>
              </w:rPr>
              <w:t>声环境</w:t>
            </w:r>
            <w:r>
              <w:rPr>
                <w:rFonts w:cs="Times New Roman"/>
                <w:b/>
                <w:szCs w:val="24"/>
              </w:rPr>
              <w:t>质量：</w:t>
            </w:r>
          </w:p>
          <w:p>
            <w:pPr>
              <w:pStyle w:val="23"/>
              <w:spacing w:line="480" w:lineRule="exact"/>
              <w:ind w:left="0" w:firstLine="480" w:firstLineChars="200"/>
              <w:rPr>
                <w:rFonts w:cs="Times New Roman"/>
                <w:b/>
                <w:bCs/>
                <w:szCs w:val="24"/>
              </w:rPr>
            </w:pPr>
            <w:r>
              <w:rPr>
                <w:rFonts w:hint="eastAsia"/>
                <w:kern w:val="0"/>
                <w:lang w:bidi="ar"/>
              </w:rPr>
              <w:t>执行</w:t>
            </w:r>
            <w:r>
              <w:rPr>
                <w:kern w:val="0"/>
                <w:lang w:bidi="ar"/>
              </w:rPr>
              <w:t>《声环境质量标准》（GB3096-2008）中2类标准限值</w:t>
            </w:r>
            <w:r>
              <w:rPr>
                <w:rFonts w:hint="eastAsia"/>
                <w:kern w:val="0"/>
                <w:lang w:bidi="ar"/>
              </w:rPr>
              <w:t>。</w:t>
            </w:r>
          </w:p>
          <w:p>
            <w:pPr>
              <w:widowControl/>
              <w:adjustRightInd w:val="0"/>
              <w:snapToGrid w:val="0"/>
              <w:spacing w:line="480" w:lineRule="exact"/>
              <w:ind w:right="106" w:rightChars="44"/>
              <w:jc w:val="center"/>
              <w:rPr>
                <w:rFonts w:cs="Times New Roman"/>
                <w:b/>
                <w:szCs w:val="24"/>
              </w:rPr>
            </w:pPr>
            <w:r>
              <w:rPr>
                <w:rFonts w:cs="Times New Roman"/>
                <w:b/>
                <w:szCs w:val="24"/>
              </w:rPr>
              <w:t>表4-4  环境噪声标准值表</w:t>
            </w:r>
          </w:p>
          <w:p>
            <w:pPr>
              <w:widowControl/>
              <w:adjustRightInd w:val="0"/>
              <w:snapToGrid w:val="0"/>
              <w:spacing w:line="480" w:lineRule="exact"/>
              <w:ind w:right="106" w:rightChars="44"/>
              <w:jc w:val="right"/>
              <w:rPr>
                <w:rFonts w:cs="Times New Roman"/>
                <w:snapToGrid w:val="0"/>
                <w:kern w:val="0"/>
                <w:sz w:val="21"/>
                <w:szCs w:val="21"/>
              </w:rPr>
            </w:pPr>
            <w:r>
              <w:rPr>
                <w:rFonts w:cs="Times New Roman"/>
                <w:snapToGrid w:val="0"/>
                <w:kern w:val="0"/>
                <w:sz w:val="21"/>
                <w:szCs w:val="21"/>
              </w:rPr>
              <w:t>单位：dB(A)</w:t>
            </w:r>
          </w:p>
          <w:tbl>
            <w:tblPr>
              <w:tblStyle w:val="30"/>
              <w:tblW w:w="828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659"/>
              <w:gridCol w:w="2835"/>
              <w:gridCol w:w="279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59" w:type="dxa"/>
                  <w:tcBorders>
                    <w:top w:val="single" w:color="auto" w:sz="6" w:space="0"/>
                    <w:left w:val="single" w:color="auto" w:sz="6" w:space="0"/>
                    <w:bottom w:val="single" w:color="auto" w:sz="6" w:space="0"/>
                    <w:right w:val="single" w:color="auto" w:sz="6" w:space="0"/>
                  </w:tcBorders>
                  <w:vAlign w:val="center"/>
                </w:tcPr>
                <w:p>
                  <w:pPr>
                    <w:spacing w:line="276" w:lineRule="auto"/>
                    <w:jc w:val="center"/>
                    <w:rPr>
                      <w:rFonts w:cs="Times New Roman"/>
                      <w:caps/>
                      <w:sz w:val="21"/>
                      <w:szCs w:val="18"/>
                    </w:rPr>
                  </w:pPr>
                  <w:r>
                    <w:rPr>
                      <w:rFonts w:cs="Times New Roman"/>
                      <w:caps/>
                      <w:sz w:val="21"/>
                      <w:szCs w:val="18"/>
                    </w:rPr>
                    <w:t>标准</w:t>
                  </w:r>
                </w:p>
              </w:tc>
              <w:tc>
                <w:tcPr>
                  <w:tcW w:w="2835" w:type="dxa"/>
                  <w:tcBorders>
                    <w:top w:val="single" w:color="auto" w:sz="6" w:space="0"/>
                    <w:left w:val="single" w:color="auto" w:sz="6" w:space="0"/>
                    <w:bottom w:val="single" w:color="auto" w:sz="6" w:space="0"/>
                    <w:right w:val="single" w:color="auto" w:sz="6" w:space="0"/>
                  </w:tcBorders>
                  <w:vAlign w:val="center"/>
                </w:tcPr>
                <w:p>
                  <w:pPr>
                    <w:spacing w:line="276" w:lineRule="auto"/>
                    <w:jc w:val="center"/>
                    <w:rPr>
                      <w:rFonts w:cs="Times New Roman"/>
                      <w:caps/>
                      <w:sz w:val="21"/>
                      <w:szCs w:val="18"/>
                    </w:rPr>
                  </w:pPr>
                  <w:r>
                    <w:rPr>
                      <w:rFonts w:cs="Times New Roman"/>
                      <w:caps/>
                      <w:sz w:val="21"/>
                      <w:szCs w:val="18"/>
                    </w:rPr>
                    <w:t>昼间</w:t>
                  </w:r>
                </w:p>
              </w:tc>
              <w:tc>
                <w:tcPr>
                  <w:tcW w:w="2790" w:type="dxa"/>
                  <w:tcBorders>
                    <w:top w:val="single" w:color="auto" w:sz="6" w:space="0"/>
                    <w:left w:val="single" w:color="auto" w:sz="6" w:space="0"/>
                    <w:bottom w:val="single" w:color="auto" w:sz="6" w:space="0"/>
                    <w:right w:val="single" w:color="auto" w:sz="6" w:space="0"/>
                  </w:tcBorders>
                  <w:vAlign w:val="center"/>
                </w:tcPr>
                <w:p>
                  <w:pPr>
                    <w:spacing w:line="276" w:lineRule="auto"/>
                    <w:jc w:val="center"/>
                    <w:rPr>
                      <w:rFonts w:cs="Times New Roman"/>
                      <w:caps/>
                      <w:sz w:val="21"/>
                      <w:szCs w:val="18"/>
                    </w:rPr>
                  </w:pPr>
                  <w:r>
                    <w:rPr>
                      <w:rFonts w:cs="Times New Roman"/>
                      <w:caps/>
                      <w:sz w:val="21"/>
                      <w:szCs w:val="18"/>
                    </w:rPr>
                    <w:t>夜间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59" w:type="dxa"/>
                  <w:tcBorders>
                    <w:top w:val="single" w:color="auto" w:sz="6" w:space="0"/>
                    <w:left w:val="single" w:color="auto" w:sz="6" w:space="0"/>
                    <w:bottom w:val="single" w:color="auto" w:sz="6" w:space="0"/>
                    <w:right w:val="single" w:color="auto" w:sz="6" w:space="0"/>
                  </w:tcBorders>
                  <w:vAlign w:val="center"/>
                </w:tcPr>
                <w:p>
                  <w:pPr>
                    <w:spacing w:line="276" w:lineRule="auto"/>
                    <w:jc w:val="center"/>
                    <w:rPr>
                      <w:rFonts w:cs="Times New Roman"/>
                      <w:caps/>
                      <w:sz w:val="21"/>
                      <w:szCs w:val="18"/>
                    </w:rPr>
                  </w:pPr>
                  <w:r>
                    <w:rPr>
                      <w:rFonts w:cs="Times New Roman"/>
                      <w:caps/>
                      <w:sz w:val="21"/>
                      <w:szCs w:val="18"/>
                    </w:rPr>
                    <w:t>2类标准</w:t>
                  </w:r>
                </w:p>
              </w:tc>
              <w:tc>
                <w:tcPr>
                  <w:tcW w:w="2835" w:type="dxa"/>
                  <w:tcBorders>
                    <w:top w:val="single" w:color="auto" w:sz="6" w:space="0"/>
                    <w:left w:val="single" w:color="auto" w:sz="6" w:space="0"/>
                    <w:bottom w:val="single" w:color="auto" w:sz="6" w:space="0"/>
                    <w:right w:val="single" w:color="auto" w:sz="6" w:space="0"/>
                  </w:tcBorders>
                  <w:vAlign w:val="center"/>
                </w:tcPr>
                <w:p>
                  <w:pPr>
                    <w:spacing w:line="276" w:lineRule="auto"/>
                    <w:jc w:val="center"/>
                    <w:rPr>
                      <w:rFonts w:cs="Times New Roman"/>
                      <w:caps/>
                      <w:sz w:val="21"/>
                      <w:szCs w:val="18"/>
                    </w:rPr>
                  </w:pPr>
                  <w:r>
                    <w:rPr>
                      <w:rFonts w:cs="Times New Roman"/>
                      <w:caps/>
                      <w:sz w:val="21"/>
                      <w:szCs w:val="18"/>
                    </w:rPr>
                    <w:t>60</w:t>
                  </w:r>
                </w:p>
              </w:tc>
              <w:tc>
                <w:tcPr>
                  <w:tcW w:w="2790" w:type="dxa"/>
                  <w:tcBorders>
                    <w:top w:val="single" w:color="auto" w:sz="6" w:space="0"/>
                    <w:left w:val="single" w:color="auto" w:sz="6" w:space="0"/>
                    <w:bottom w:val="single" w:color="auto" w:sz="6" w:space="0"/>
                    <w:right w:val="single" w:color="auto" w:sz="6" w:space="0"/>
                  </w:tcBorders>
                  <w:vAlign w:val="center"/>
                </w:tcPr>
                <w:p>
                  <w:pPr>
                    <w:spacing w:line="276" w:lineRule="auto"/>
                    <w:jc w:val="center"/>
                    <w:rPr>
                      <w:rFonts w:cs="Times New Roman"/>
                      <w:caps/>
                      <w:sz w:val="21"/>
                      <w:szCs w:val="18"/>
                    </w:rPr>
                  </w:pPr>
                  <w:r>
                    <w:rPr>
                      <w:rFonts w:cs="Times New Roman"/>
                      <w:caps/>
                      <w:sz w:val="21"/>
                      <w:szCs w:val="18"/>
                    </w:rPr>
                    <w:t>50</w:t>
                  </w:r>
                </w:p>
              </w:tc>
            </w:tr>
          </w:tbl>
          <w:p>
            <w:pPr>
              <w:tabs>
                <w:tab w:val="left" w:pos="2792"/>
              </w:tabs>
              <w:spacing w:line="480" w:lineRule="exact"/>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pPr>
              <w:spacing w:line="360" w:lineRule="auto"/>
              <w:rPr>
                <w:rFonts w:cs="Times New Roman"/>
                <w:b/>
                <w:sz w:val="28"/>
                <w:szCs w:val="28"/>
              </w:rPr>
            </w:pPr>
            <w:r>
              <w:rPr>
                <w:rFonts w:cs="Times New Roman"/>
                <w:b/>
                <w:sz w:val="28"/>
                <w:szCs w:val="28"/>
              </w:rPr>
              <w:t>污</w:t>
            </w:r>
          </w:p>
          <w:p>
            <w:pPr>
              <w:spacing w:line="360" w:lineRule="auto"/>
              <w:rPr>
                <w:rFonts w:cs="Times New Roman"/>
                <w:b/>
                <w:sz w:val="28"/>
                <w:szCs w:val="28"/>
              </w:rPr>
            </w:pPr>
            <w:r>
              <w:rPr>
                <w:rFonts w:cs="Times New Roman"/>
                <w:b/>
                <w:sz w:val="28"/>
                <w:szCs w:val="28"/>
              </w:rPr>
              <w:t>染</w:t>
            </w:r>
          </w:p>
          <w:p>
            <w:pPr>
              <w:spacing w:line="360" w:lineRule="auto"/>
              <w:rPr>
                <w:rFonts w:cs="Times New Roman"/>
                <w:b/>
                <w:sz w:val="28"/>
                <w:szCs w:val="28"/>
              </w:rPr>
            </w:pPr>
            <w:r>
              <w:rPr>
                <w:rFonts w:cs="Times New Roman"/>
                <w:b/>
                <w:sz w:val="28"/>
                <w:szCs w:val="28"/>
              </w:rPr>
              <w:t>物</w:t>
            </w:r>
          </w:p>
          <w:p>
            <w:pPr>
              <w:spacing w:line="360" w:lineRule="auto"/>
              <w:rPr>
                <w:rFonts w:cs="Times New Roman"/>
                <w:b/>
                <w:sz w:val="28"/>
                <w:szCs w:val="28"/>
              </w:rPr>
            </w:pPr>
            <w:r>
              <w:rPr>
                <w:rFonts w:cs="Times New Roman"/>
                <w:b/>
                <w:sz w:val="28"/>
                <w:szCs w:val="28"/>
              </w:rPr>
              <w:t>排</w:t>
            </w:r>
          </w:p>
          <w:p>
            <w:pPr>
              <w:spacing w:line="360" w:lineRule="auto"/>
              <w:rPr>
                <w:rFonts w:cs="Times New Roman"/>
                <w:b/>
                <w:sz w:val="28"/>
                <w:szCs w:val="28"/>
              </w:rPr>
            </w:pPr>
            <w:r>
              <w:rPr>
                <w:rFonts w:cs="Times New Roman"/>
                <w:b/>
                <w:sz w:val="28"/>
                <w:szCs w:val="28"/>
              </w:rPr>
              <w:t>放</w:t>
            </w:r>
          </w:p>
          <w:p>
            <w:pPr>
              <w:spacing w:line="360" w:lineRule="auto"/>
              <w:rPr>
                <w:rFonts w:cs="Times New Roman"/>
                <w:b/>
                <w:sz w:val="28"/>
                <w:szCs w:val="28"/>
              </w:rPr>
            </w:pPr>
            <w:r>
              <w:rPr>
                <w:rFonts w:cs="Times New Roman"/>
                <w:b/>
                <w:sz w:val="28"/>
                <w:szCs w:val="28"/>
              </w:rPr>
              <w:t>标</w:t>
            </w:r>
          </w:p>
          <w:p>
            <w:pPr>
              <w:spacing w:line="360" w:lineRule="auto"/>
              <w:rPr>
                <w:rFonts w:cs="Times New Roman"/>
                <w:b/>
                <w:sz w:val="28"/>
                <w:szCs w:val="28"/>
              </w:rPr>
            </w:pPr>
            <w:r>
              <w:rPr>
                <w:rFonts w:cs="Times New Roman"/>
                <w:b/>
                <w:sz w:val="28"/>
                <w:szCs w:val="28"/>
              </w:rPr>
              <w:t>准</w:t>
            </w:r>
          </w:p>
          <w:p>
            <w:pPr>
              <w:spacing w:line="360" w:lineRule="exact"/>
              <w:ind w:left="482" w:firstLine="482"/>
              <w:rPr>
                <w:rFonts w:cs="Times New Roman"/>
                <w:b/>
              </w:rPr>
            </w:pPr>
          </w:p>
        </w:tc>
        <w:tc>
          <w:tcPr>
            <w:tcW w:w="8541" w:type="dxa"/>
          </w:tcPr>
          <w:p>
            <w:pPr>
              <w:spacing w:line="480" w:lineRule="exact"/>
              <w:rPr>
                <w:rFonts w:cs="Times New Roman"/>
                <w:b/>
                <w:szCs w:val="24"/>
              </w:rPr>
            </w:pPr>
            <w:r>
              <w:rPr>
                <w:rFonts w:cs="Times New Roman"/>
                <w:b/>
                <w:szCs w:val="24"/>
              </w:rPr>
              <w:t>一、废气排放标准</w:t>
            </w:r>
          </w:p>
          <w:p>
            <w:pPr>
              <w:adjustRightInd w:val="0"/>
              <w:snapToGrid w:val="0"/>
              <w:spacing w:line="360" w:lineRule="auto"/>
              <w:ind w:firstLine="480" w:firstLineChars="200"/>
            </w:pPr>
            <w:r>
              <w:rPr>
                <w:rFonts w:hint="eastAsia"/>
              </w:rPr>
              <w:t>施工期大气污染</w:t>
            </w:r>
            <w:r>
              <w:t>执行《</w:t>
            </w:r>
            <w:r>
              <w:rPr>
                <w:rFonts w:hint="eastAsia"/>
              </w:rPr>
              <w:t>四川省施工场地扬尘排放标准</w:t>
            </w:r>
            <w:r>
              <w:t>》（</w:t>
            </w:r>
            <w:r>
              <w:rPr>
                <w:rFonts w:hint="eastAsia"/>
              </w:rPr>
              <w:t>DB51/2682-2020</w:t>
            </w:r>
            <w:r>
              <w:t>）。</w:t>
            </w:r>
            <w:r>
              <w:rPr>
                <w:rFonts w:hint="eastAsia"/>
              </w:rPr>
              <w:t>见表4-</w:t>
            </w:r>
            <w:r>
              <w:t>5</w:t>
            </w:r>
            <w:r>
              <w:rPr>
                <w:rFonts w:hint="eastAsia"/>
              </w:rPr>
              <w:t>。</w:t>
            </w:r>
          </w:p>
          <w:p>
            <w:pPr>
              <w:widowControl/>
              <w:adjustRightInd w:val="0"/>
              <w:snapToGrid w:val="0"/>
              <w:jc w:val="center"/>
              <w:rPr>
                <w:rFonts w:cs="Times New Roman"/>
                <w:b/>
                <w:szCs w:val="24"/>
              </w:rPr>
            </w:pPr>
            <w:r>
              <w:rPr>
                <w:rFonts w:cs="Times New Roman"/>
                <w:b/>
                <w:szCs w:val="24"/>
              </w:rPr>
              <w:t>表4-5</w:t>
            </w:r>
            <w:r>
              <w:rPr>
                <w:rFonts w:hint="eastAsia" w:cs="Times New Roman"/>
                <w:b/>
                <w:szCs w:val="24"/>
              </w:rPr>
              <w:t xml:space="preserve">  四川省施工场地扬尘排放限值</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13"/>
              <w:gridCol w:w="2930"/>
              <w:gridCol w:w="1646"/>
              <w:gridCol w:w="1507"/>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0" w:hRule="exact"/>
                <w:jc w:val="center"/>
              </w:trPr>
              <w:tc>
                <w:tcPr>
                  <w:tcW w:w="609" w:type="pct"/>
                  <w:vAlign w:val="center"/>
                </w:tcPr>
                <w:p>
                  <w:pPr>
                    <w:autoSpaceDE w:val="0"/>
                    <w:autoSpaceDN w:val="0"/>
                    <w:adjustRightInd w:val="0"/>
                    <w:spacing w:line="244" w:lineRule="exact"/>
                    <w:ind w:left="9" w:right="9"/>
                    <w:jc w:val="center"/>
                    <w:rPr>
                      <w:b/>
                      <w:bCs/>
                      <w:sz w:val="21"/>
                      <w:szCs w:val="21"/>
                      <w:lang w:val="zh-CN"/>
                    </w:rPr>
                  </w:pPr>
                  <w:r>
                    <w:rPr>
                      <w:b/>
                      <w:bCs/>
                      <w:sz w:val="21"/>
                      <w:szCs w:val="21"/>
                      <w:lang w:val="zh-CN"/>
                    </w:rPr>
                    <w:t>监测项目</w:t>
                  </w:r>
                </w:p>
              </w:tc>
              <w:tc>
                <w:tcPr>
                  <w:tcW w:w="1762" w:type="pct"/>
                  <w:vAlign w:val="center"/>
                </w:tcPr>
                <w:p>
                  <w:pPr>
                    <w:autoSpaceDE w:val="0"/>
                    <w:autoSpaceDN w:val="0"/>
                    <w:adjustRightInd w:val="0"/>
                    <w:spacing w:line="254" w:lineRule="exact"/>
                    <w:ind w:left="9" w:right="9"/>
                    <w:jc w:val="center"/>
                    <w:rPr>
                      <w:b/>
                      <w:bCs/>
                      <w:sz w:val="21"/>
                      <w:szCs w:val="21"/>
                    </w:rPr>
                  </w:pPr>
                  <w:r>
                    <w:rPr>
                      <w:b/>
                      <w:bCs/>
                      <w:sz w:val="21"/>
                      <w:szCs w:val="21"/>
                    </w:rPr>
                    <w:t>区域</w:t>
                  </w:r>
                </w:p>
              </w:tc>
              <w:tc>
                <w:tcPr>
                  <w:tcW w:w="990" w:type="pct"/>
                  <w:vAlign w:val="center"/>
                </w:tcPr>
                <w:p>
                  <w:pPr>
                    <w:autoSpaceDE w:val="0"/>
                    <w:autoSpaceDN w:val="0"/>
                    <w:adjustRightInd w:val="0"/>
                    <w:spacing w:line="254" w:lineRule="exact"/>
                    <w:ind w:left="9" w:right="9"/>
                    <w:jc w:val="center"/>
                    <w:rPr>
                      <w:b/>
                      <w:bCs/>
                      <w:sz w:val="21"/>
                      <w:szCs w:val="21"/>
                      <w:lang w:val="zh-CN"/>
                    </w:rPr>
                  </w:pPr>
                  <w:r>
                    <w:rPr>
                      <w:b/>
                      <w:bCs/>
                      <w:sz w:val="21"/>
                      <w:szCs w:val="21"/>
                      <w:lang w:val="zh-CN"/>
                    </w:rPr>
                    <w:t>施工阶段</w:t>
                  </w:r>
                </w:p>
              </w:tc>
              <w:tc>
                <w:tcPr>
                  <w:tcW w:w="906" w:type="pct"/>
                  <w:vAlign w:val="center"/>
                </w:tcPr>
                <w:p>
                  <w:pPr>
                    <w:autoSpaceDE w:val="0"/>
                    <w:autoSpaceDN w:val="0"/>
                    <w:adjustRightInd w:val="0"/>
                    <w:spacing w:line="264" w:lineRule="exact"/>
                    <w:ind w:left="9" w:right="9"/>
                    <w:jc w:val="center"/>
                    <w:rPr>
                      <w:b/>
                      <w:bCs/>
                      <w:sz w:val="21"/>
                      <w:szCs w:val="21"/>
                      <w:lang w:val="zh-CN"/>
                    </w:rPr>
                  </w:pPr>
                  <w:r>
                    <w:rPr>
                      <w:b/>
                      <w:bCs/>
                      <w:sz w:val="21"/>
                      <w:szCs w:val="21"/>
                      <w:lang w:val="zh-CN"/>
                    </w:rPr>
                    <w:t>监测点排放限值</w:t>
                  </w:r>
                  <w:r>
                    <w:rPr>
                      <w:rFonts w:hint="eastAsia"/>
                      <w:b/>
                      <w:bCs/>
                      <w:sz w:val="21"/>
                      <w:szCs w:val="21"/>
                      <w:lang w:val="zh-CN"/>
                    </w:rPr>
                    <w:t>，</w:t>
                  </w:r>
                  <w:r>
                    <w:rPr>
                      <w:rFonts w:cs="Times New Roman"/>
                      <w:b/>
                      <w:szCs w:val="24"/>
                    </w:rPr>
                    <w:t>μg/m</w:t>
                  </w:r>
                  <w:r>
                    <w:rPr>
                      <w:rFonts w:cs="Times New Roman"/>
                      <w:b/>
                      <w:szCs w:val="24"/>
                      <w:vertAlign w:val="superscript"/>
                    </w:rPr>
                    <w:t>3</w:t>
                  </w:r>
                </w:p>
              </w:tc>
              <w:tc>
                <w:tcPr>
                  <w:tcW w:w="733" w:type="pct"/>
                  <w:vAlign w:val="center"/>
                </w:tcPr>
                <w:p>
                  <w:pPr>
                    <w:autoSpaceDE w:val="0"/>
                    <w:autoSpaceDN w:val="0"/>
                    <w:adjustRightInd w:val="0"/>
                    <w:spacing w:line="264" w:lineRule="exact"/>
                    <w:ind w:left="9" w:right="9"/>
                    <w:jc w:val="center"/>
                    <w:rPr>
                      <w:b/>
                      <w:bCs/>
                      <w:sz w:val="21"/>
                      <w:szCs w:val="21"/>
                      <w:lang w:val="zh-CN"/>
                    </w:rPr>
                  </w:pPr>
                  <w:r>
                    <w:rPr>
                      <w:b/>
                      <w:bCs/>
                      <w:sz w:val="21"/>
                      <w:szCs w:val="21"/>
                      <w:lang w:val="zh-CN"/>
                    </w:rPr>
                    <w:t>监测时间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jc w:val="center"/>
              </w:trPr>
              <w:tc>
                <w:tcPr>
                  <w:tcW w:w="609" w:type="pct"/>
                  <w:vMerge w:val="restart"/>
                  <w:vAlign w:val="center"/>
                </w:tcPr>
                <w:p>
                  <w:pPr>
                    <w:autoSpaceDE w:val="0"/>
                    <w:autoSpaceDN w:val="0"/>
                    <w:adjustRightInd w:val="0"/>
                    <w:spacing w:line="244" w:lineRule="exact"/>
                    <w:ind w:left="9" w:right="9"/>
                    <w:jc w:val="center"/>
                    <w:rPr>
                      <w:sz w:val="21"/>
                      <w:szCs w:val="21"/>
                      <w:lang w:val="zh-CN"/>
                    </w:rPr>
                  </w:pPr>
                  <w:r>
                    <w:rPr>
                      <w:sz w:val="21"/>
                      <w:szCs w:val="21"/>
                    </w:rPr>
                    <w:t>总悬浮颗粒物（TSP）</w:t>
                  </w:r>
                </w:p>
              </w:tc>
              <w:tc>
                <w:tcPr>
                  <w:tcW w:w="1762" w:type="pct"/>
                  <w:vMerge w:val="restart"/>
                  <w:vAlign w:val="center"/>
                </w:tcPr>
                <w:p>
                  <w:pPr>
                    <w:autoSpaceDE w:val="0"/>
                    <w:autoSpaceDN w:val="0"/>
                    <w:adjustRightInd w:val="0"/>
                    <w:spacing w:line="254" w:lineRule="exact"/>
                    <w:ind w:left="9" w:right="9"/>
                    <w:jc w:val="center"/>
                    <w:rPr>
                      <w:sz w:val="21"/>
                      <w:szCs w:val="21"/>
                    </w:rPr>
                  </w:pPr>
                  <w:r>
                    <w:rPr>
                      <w:sz w:val="21"/>
                      <w:szCs w:val="21"/>
                    </w:rPr>
                    <w:t>成都市、自贡市、泸州市、德阳市、绵 阳市、广元市、遂宁市、内江市、乐山市、南充市、宜宾市、广安市、达州市、巴中市、雅安市、眉山市、资阳市</w:t>
                  </w:r>
                </w:p>
              </w:tc>
              <w:tc>
                <w:tcPr>
                  <w:tcW w:w="990" w:type="pct"/>
                  <w:vAlign w:val="center"/>
                </w:tcPr>
                <w:p>
                  <w:pPr>
                    <w:autoSpaceDE w:val="0"/>
                    <w:autoSpaceDN w:val="0"/>
                    <w:adjustRightInd w:val="0"/>
                    <w:spacing w:line="254" w:lineRule="exact"/>
                    <w:ind w:left="9" w:right="9"/>
                    <w:jc w:val="center"/>
                    <w:rPr>
                      <w:sz w:val="21"/>
                      <w:szCs w:val="21"/>
                    </w:rPr>
                  </w:pPr>
                  <w:r>
                    <w:rPr>
                      <w:sz w:val="21"/>
                      <w:szCs w:val="21"/>
                    </w:rPr>
                    <w:t>拆除工程/土方开挖/土方回填阶段</w:t>
                  </w:r>
                </w:p>
              </w:tc>
              <w:tc>
                <w:tcPr>
                  <w:tcW w:w="906" w:type="pct"/>
                  <w:vAlign w:val="center"/>
                </w:tcPr>
                <w:p>
                  <w:pPr>
                    <w:autoSpaceDE w:val="0"/>
                    <w:autoSpaceDN w:val="0"/>
                    <w:adjustRightInd w:val="0"/>
                    <w:spacing w:line="264" w:lineRule="exact"/>
                    <w:ind w:left="9" w:right="9"/>
                    <w:jc w:val="center"/>
                    <w:rPr>
                      <w:sz w:val="21"/>
                      <w:szCs w:val="21"/>
                    </w:rPr>
                  </w:pPr>
                  <w:r>
                    <w:rPr>
                      <w:sz w:val="21"/>
                      <w:szCs w:val="21"/>
                    </w:rPr>
                    <w:t>600</w:t>
                  </w:r>
                </w:p>
              </w:tc>
              <w:tc>
                <w:tcPr>
                  <w:tcW w:w="733" w:type="pct"/>
                  <w:vMerge w:val="restart"/>
                  <w:vAlign w:val="center"/>
                </w:tcPr>
                <w:p>
                  <w:pPr>
                    <w:autoSpaceDE w:val="0"/>
                    <w:autoSpaceDN w:val="0"/>
                    <w:adjustRightInd w:val="0"/>
                    <w:spacing w:line="264" w:lineRule="exact"/>
                    <w:ind w:left="9" w:right="9"/>
                    <w:jc w:val="center"/>
                    <w:rPr>
                      <w:sz w:val="21"/>
                      <w:szCs w:val="21"/>
                      <w:lang w:val="zh-CN"/>
                    </w:rPr>
                  </w:pPr>
                  <w:r>
                    <w:rPr>
                      <w:sz w:val="21"/>
                      <w:szCs w:val="21"/>
                    </w:rPr>
                    <w:t>自监测起持续15分钟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jc w:val="center"/>
              </w:trPr>
              <w:tc>
                <w:tcPr>
                  <w:tcW w:w="609" w:type="pct"/>
                  <w:vMerge w:val="continue"/>
                  <w:vAlign w:val="center"/>
                </w:tcPr>
                <w:p>
                  <w:pPr>
                    <w:autoSpaceDE w:val="0"/>
                    <w:autoSpaceDN w:val="0"/>
                    <w:adjustRightInd w:val="0"/>
                    <w:spacing w:line="264" w:lineRule="exact"/>
                    <w:ind w:left="9" w:right="9"/>
                    <w:jc w:val="center"/>
                    <w:rPr>
                      <w:sz w:val="21"/>
                      <w:szCs w:val="21"/>
                    </w:rPr>
                  </w:pPr>
                </w:p>
              </w:tc>
              <w:tc>
                <w:tcPr>
                  <w:tcW w:w="1762" w:type="pct"/>
                  <w:vMerge w:val="continue"/>
                  <w:vAlign w:val="center"/>
                </w:tcPr>
                <w:p>
                  <w:pPr>
                    <w:autoSpaceDE w:val="0"/>
                    <w:autoSpaceDN w:val="0"/>
                    <w:adjustRightInd w:val="0"/>
                    <w:spacing w:line="264" w:lineRule="exact"/>
                    <w:ind w:left="9" w:right="9"/>
                    <w:jc w:val="center"/>
                    <w:rPr>
                      <w:sz w:val="21"/>
                      <w:szCs w:val="21"/>
                    </w:rPr>
                  </w:pPr>
                </w:p>
              </w:tc>
              <w:tc>
                <w:tcPr>
                  <w:tcW w:w="990" w:type="pct"/>
                  <w:vAlign w:val="center"/>
                </w:tcPr>
                <w:p>
                  <w:pPr>
                    <w:autoSpaceDE w:val="0"/>
                    <w:autoSpaceDN w:val="0"/>
                    <w:adjustRightInd w:val="0"/>
                    <w:spacing w:line="264" w:lineRule="exact"/>
                    <w:ind w:left="9" w:right="9"/>
                    <w:jc w:val="center"/>
                    <w:rPr>
                      <w:sz w:val="21"/>
                      <w:szCs w:val="21"/>
                    </w:rPr>
                  </w:pPr>
                  <w:r>
                    <w:rPr>
                      <w:sz w:val="21"/>
                      <w:szCs w:val="21"/>
                    </w:rPr>
                    <w:t>其他工程阶段</w:t>
                  </w:r>
                </w:p>
              </w:tc>
              <w:tc>
                <w:tcPr>
                  <w:tcW w:w="906" w:type="pct"/>
                  <w:vAlign w:val="center"/>
                </w:tcPr>
                <w:p>
                  <w:pPr>
                    <w:autoSpaceDE w:val="0"/>
                    <w:autoSpaceDN w:val="0"/>
                    <w:adjustRightInd w:val="0"/>
                    <w:spacing w:line="264" w:lineRule="exact"/>
                    <w:ind w:left="9" w:right="9"/>
                    <w:jc w:val="center"/>
                    <w:rPr>
                      <w:sz w:val="21"/>
                      <w:szCs w:val="21"/>
                    </w:rPr>
                  </w:pPr>
                  <w:r>
                    <w:rPr>
                      <w:sz w:val="21"/>
                      <w:szCs w:val="21"/>
                    </w:rPr>
                    <w:t>250</w:t>
                  </w:r>
                </w:p>
              </w:tc>
              <w:tc>
                <w:tcPr>
                  <w:tcW w:w="733" w:type="pct"/>
                  <w:vMerge w:val="continue"/>
                  <w:vAlign w:val="center"/>
                </w:tcPr>
                <w:p>
                  <w:pPr>
                    <w:autoSpaceDE w:val="0"/>
                    <w:autoSpaceDN w:val="0"/>
                    <w:adjustRightInd w:val="0"/>
                    <w:spacing w:line="264" w:lineRule="exact"/>
                    <w:ind w:left="9" w:right="9"/>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jc w:val="center"/>
              </w:trPr>
              <w:tc>
                <w:tcPr>
                  <w:tcW w:w="609" w:type="pct"/>
                  <w:vMerge w:val="continue"/>
                  <w:vAlign w:val="center"/>
                </w:tcPr>
                <w:p>
                  <w:pPr>
                    <w:autoSpaceDE w:val="0"/>
                    <w:autoSpaceDN w:val="0"/>
                    <w:adjustRightInd w:val="0"/>
                    <w:spacing w:line="264" w:lineRule="exact"/>
                    <w:ind w:left="9" w:right="9"/>
                    <w:jc w:val="center"/>
                    <w:rPr>
                      <w:sz w:val="21"/>
                      <w:szCs w:val="21"/>
                    </w:rPr>
                  </w:pPr>
                </w:p>
              </w:tc>
              <w:tc>
                <w:tcPr>
                  <w:tcW w:w="1762" w:type="pct"/>
                  <w:vMerge w:val="restart"/>
                  <w:vAlign w:val="center"/>
                </w:tcPr>
                <w:p>
                  <w:pPr>
                    <w:autoSpaceDE w:val="0"/>
                    <w:autoSpaceDN w:val="0"/>
                    <w:adjustRightInd w:val="0"/>
                    <w:spacing w:line="264" w:lineRule="exact"/>
                    <w:ind w:left="9" w:right="9"/>
                    <w:jc w:val="center"/>
                    <w:rPr>
                      <w:sz w:val="21"/>
                      <w:szCs w:val="21"/>
                    </w:rPr>
                  </w:pPr>
                  <w:r>
                    <w:rPr>
                      <w:sz w:val="21"/>
                      <w:szCs w:val="21"/>
                    </w:rPr>
                    <w:t>攀枝花市、阿坝藏族羌族自治州、甘孜 藏族自治州、凉山彝族自治州</w:t>
                  </w:r>
                </w:p>
              </w:tc>
              <w:tc>
                <w:tcPr>
                  <w:tcW w:w="990" w:type="pct"/>
                  <w:vAlign w:val="center"/>
                </w:tcPr>
                <w:p>
                  <w:pPr>
                    <w:autoSpaceDE w:val="0"/>
                    <w:autoSpaceDN w:val="0"/>
                    <w:adjustRightInd w:val="0"/>
                    <w:spacing w:line="254" w:lineRule="exact"/>
                    <w:ind w:left="9" w:right="9"/>
                    <w:jc w:val="center"/>
                    <w:rPr>
                      <w:sz w:val="21"/>
                      <w:szCs w:val="21"/>
                    </w:rPr>
                  </w:pPr>
                  <w:r>
                    <w:rPr>
                      <w:sz w:val="21"/>
                      <w:szCs w:val="21"/>
                    </w:rPr>
                    <w:t>拆除工程/土方开挖/土方回填阶段</w:t>
                  </w:r>
                </w:p>
              </w:tc>
              <w:tc>
                <w:tcPr>
                  <w:tcW w:w="906" w:type="pct"/>
                  <w:vAlign w:val="center"/>
                </w:tcPr>
                <w:p>
                  <w:pPr>
                    <w:autoSpaceDE w:val="0"/>
                    <w:autoSpaceDN w:val="0"/>
                    <w:adjustRightInd w:val="0"/>
                    <w:spacing w:line="264" w:lineRule="exact"/>
                    <w:ind w:left="9" w:right="9"/>
                    <w:jc w:val="center"/>
                    <w:rPr>
                      <w:sz w:val="21"/>
                      <w:szCs w:val="21"/>
                    </w:rPr>
                  </w:pPr>
                  <w:r>
                    <w:rPr>
                      <w:sz w:val="21"/>
                      <w:szCs w:val="21"/>
                    </w:rPr>
                    <w:t>900</w:t>
                  </w:r>
                </w:p>
              </w:tc>
              <w:tc>
                <w:tcPr>
                  <w:tcW w:w="733" w:type="pct"/>
                  <w:vMerge w:val="continue"/>
                  <w:vAlign w:val="center"/>
                </w:tcPr>
                <w:p>
                  <w:pPr>
                    <w:autoSpaceDE w:val="0"/>
                    <w:autoSpaceDN w:val="0"/>
                    <w:adjustRightInd w:val="0"/>
                    <w:spacing w:line="264" w:lineRule="exact"/>
                    <w:ind w:left="9" w:right="9"/>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jc w:val="center"/>
              </w:trPr>
              <w:tc>
                <w:tcPr>
                  <w:tcW w:w="609" w:type="pct"/>
                  <w:vMerge w:val="continue"/>
                  <w:vAlign w:val="center"/>
                </w:tcPr>
                <w:p>
                  <w:pPr>
                    <w:autoSpaceDE w:val="0"/>
                    <w:autoSpaceDN w:val="0"/>
                    <w:adjustRightInd w:val="0"/>
                    <w:spacing w:line="264" w:lineRule="exact"/>
                    <w:ind w:left="9" w:right="9"/>
                    <w:jc w:val="center"/>
                    <w:rPr>
                      <w:sz w:val="21"/>
                      <w:szCs w:val="21"/>
                    </w:rPr>
                  </w:pPr>
                </w:p>
              </w:tc>
              <w:tc>
                <w:tcPr>
                  <w:tcW w:w="1762" w:type="pct"/>
                  <w:vMerge w:val="continue"/>
                  <w:vAlign w:val="center"/>
                </w:tcPr>
                <w:p>
                  <w:pPr>
                    <w:autoSpaceDE w:val="0"/>
                    <w:autoSpaceDN w:val="0"/>
                    <w:adjustRightInd w:val="0"/>
                    <w:spacing w:line="264" w:lineRule="exact"/>
                    <w:ind w:left="9" w:right="9"/>
                    <w:jc w:val="center"/>
                    <w:rPr>
                      <w:sz w:val="21"/>
                      <w:szCs w:val="21"/>
                    </w:rPr>
                  </w:pPr>
                </w:p>
              </w:tc>
              <w:tc>
                <w:tcPr>
                  <w:tcW w:w="990" w:type="pct"/>
                  <w:vAlign w:val="center"/>
                </w:tcPr>
                <w:p>
                  <w:pPr>
                    <w:autoSpaceDE w:val="0"/>
                    <w:autoSpaceDN w:val="0"/>
                    <w:adjustRightInd w:val="0"/>
                    <w:spacing w:line="264" w:lineRule="exact"/>
                    <w:ind w:left="9" w:right="9"/>
                    <w:jc w:val="center"/>
                    <w:rPr>
                      <w:sz w:val="21"/>
                      <w:szCs w:val="21"/>
                    </w:rPr>
                  </w:pPr>
                  <w:r>
                    <w:rPr>
                      <w:sz w:val="21"/>
                      <w:szCs w:val="21"/>
                    </w:rPr>
                    <w:t>其他工程阶段</w:t>
                  </w:r>
                </w:p>
              </w:tc>
              <w:tc>
                <w:tcPr>
                  <w:tcW w:w="906" w:type="pct"/>
                  <w:vAlign w:val="center"/>
                </w:tcPr>
                <w:p>
                  <w:pPr>
                    <w:autoSpaceDE w:val="0"/>
                    <w:autoSpaceDN w:val="0"/>
                    <w:adjustRightInd w:val="0"/>
                    <w:spacing w:line="264" w:lineRule="exact"/>
                    <w:ind w:left="9" w:right="9"/>
                    <w:jc w:val="center"/>
                    <w:rPr>
                      <w:sz w:val="21"/>
                      <w:szCs w:val="21"/>
                    </w:rPr>
                  </w:pPr>
                  <w:r>
                    <w:rPr>
                      <w:sz w:val="21"/>
                      <w:szCs w:val="21"/>
                    </w:rPr>
                    <w:t>350</w:t>
                  </w:r>
                </w:p>
              </w:tc>
              <w:tc>
                <w:tcPr>
                  <w:tcW w:w="733" w:type="pct"/>
                  <w:vMerge w:val="continue"/>
                  <w:vAlign w:val="center"/>
                </w:tcPr>
                <w:p>
                  <w:pPr>
                    <w:autoSpaceDE w:val="0"/>
                    <w:autoSpaceDN w:val="0"/>
                    <w:adjustRightInd w:val="0"/>
                    <w:spacing w:line="264" w:lineRule="exact"/>
                    <w:ind w:left="9" w:right="9"/>
                    <w:jc w:val="center"/>
                    <w:rPr>
                      <w:sz w:val="21"/>
                      <w:szCs w:val="21"/>
                    </w:rPr>
                  </w:pPr>
                </w:p>
              </w:tc>
            </w:tr>
          </w:tbl>
          <w:p>
            <w:pPr>
              <w:spacing w:line="360" w:lineRule="auto"/>
              <w:ind w:firstLine="480" w:firstLineChars="200"/>
            </w:pPr>
            <w:r>
              <w:t>运营过程中无组织废气排放执行</w:t>
            </w:r>
            <w:r>
              <w:rPr>
                <w:rFonts w:hint="eastAsia"/>
              </w:rPr>
              <w:t>《恶臭污染物排放标准》（GB14554-93）二级标准</w:t>
            </w:r>
            <w:r>
              <w:t>。</w:t>
            </w:r>
          </w:p>
          <w:p>
            <w:pPr>
              <w:widowControl/>
              <w:adjustRightInd w:val="0"/>
              <w:snapToGrid w:val="0"/>
              <w:jc w:val="center"/>
              <w:rPr>
                <w:rFonts w:cs="Times New Roman"/>
                <w:b/>
                <w:szCs w:val="24"/>
              </w:rPr>
            </w:pPr>
            <w:r>
              <w:rPr>
                <w:rFonts w:cs="Times New Roman"/>
                <w:b/>
                <w:szCs w:val="24"/>
              </w:rPr>
              <w:t>表4-6  废气污染物排放标准限值</w:t>
            </w:r>
          </w:p>
          <w:p>
            <w:pPr>
              <w:adjustRightInd w:val="0"/>
              <w:snapToGrid w:val="0"/>
              <w:jc w:val="right"/>
              <w:rPr>
                <w:rFonts w:cs="Times New Roman"/>
                <w:snapToGrid w:val="0"/>
                <w:kern w:val="0"/>
                <w:sz w:val="21"/>
                <w:szCs w:val="21"/>
              </w:rPr>
            </w:pPr>
            <w:r>
              <w:rPr>
                <w:rFonts w:cs="Times New Roman"/>
                <w:snapToGrid w:val="0"/>
                <w:kern w:val="0"/>
                <w:sz w:val="21"/>
                <w:szCs w:val="21"/>
              </w:rPr>
              <w:t>单位</w:t>
            </w:r>
            <w:r>
              <w:rPr>
                <w:rFonts w:hint="eastAsia" w:cs="Times New Roman"/>
                <w:snapToGrid w:val="0"/>
                <w:kern w:val="0"/>
                <w:sz w:val="21"/>
                <w:szCs w:val="21"/>
              </w:rPr>
              <w:t>：</w:t>
            </w:r>
            <w:r>
              <w:rPr>
                <w:rFonts w:cs="Times New Roman"/>
                <w:snapToGrid w:val="0"/>
                <w:kern w:val="0"/>
                <w:sz w:val="21"/>
                <w:szCs w:val="21"/>
              </w:rPr>
              <w:t>mg/m</w:t>
            </w:r>
            <w:r>
              <w:rPr>
                <w:rFonts w:cs="Times New Roman"/>
                <w:snapToGrid w:val="0"/>
                <w:kern w:val="0"/>
                <w:sz w:val="21"/>
                <w:szCs w:val="21"/>
                <w:vertAlign w:val="superscript"/>
              </w:rPr>
              <w:t>3</w:t>
            </w:r>
          </w:p>
          <w:tbl>
            <w:tblPr>
              <w:tblStyle w:val="30"/>
              <w:tblW w:w="8147"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2212"/>
              <w:gridCol w:w="1511"/>
              <w:gridCol w:w="1405"/>
              <w:gridCol w:w="2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37" w:type="dxa"/>
                  <w:vAlign w:val="center"/>
                </w:tcPr>
                <w:p>
                  <w:pPr>
                    <w:autoSpaceDE w:val="0"/>
                    <w:autoSpaceDN w:val="0"/>
                    <w:adjustRightInd w:val="0"/>
                    <w:jc w:val="center"/>
                    <w:rPr>
                      <w:kern w:val="0"/>
                      <w:sz w:val="21"/>
                      <w:szCs w:val="21"/>
                    </w:rPr>
                  </w:pPr>
                  <w:r>
                    <w:rPr>
                      <w:kern w:val="0"/>
                      <w:sz w:val="21"/>
                      <w:szCs w:val="21"/>
                    </w:rPr>
                    <w:t>序号</w:t>
                  </w:r>
                </w:p>
              </w:tc>
              <w:tc>
                <w:tcPr>
                  <w:tcW w:w="2212" w:type="dxa"/>
                  <w:vAlign w:val="center"/>
                </w:tcPr>
                <w:p>
                  <w:pPr>
                    <w:autoSpaceDE w:val="0"/>
                    <w:autoSpaceDN w:val="0"/>
                    <w:adjustRightInd w:val="0"/>
                    <w:jc w:val="center"/>
                    <w:rPr>
                      <w:kern w:val="0"/>
                      <w:sz w:val="21"/>
                      <w:szCs w:val="21"/>
                    </w:rPr>
                  </w:pPr>
                  <w:r>
                    <w:rPr>
                      <w:kern w:val="0"/>
                      <w:sz w:val="21"/>
                      <w:szCs w:val="21"/>
                    </w:rPr>
                    <w:t>项目</w:t>
                  </w:r>
                </w:p>
              </w:tc>
              <w:tc>
                <w:tcPr>
                  <w:tcW w:w="1511" w:type="dxa"/>
                  <w:vAlign w:val="center"/>
                </w:tcPr>
                <w:p>
                  <w:pPr>
                    <w:autoSpaceDE w:val="0"/>
                    <w:autoSpaceDN w:val="0"/>
                    <w:adjustRightInd w:val="0"/>
                    <w:jc w:val="center"/>
                    <w:rPr>
                      <w:kern w:val="0"/>
                      <w:sz w:val="21"/>
                      <w:szCs w:val="21"/>
                    </w:rPr>
                  </w:pPr>
                  <w:r>
                    <w:rPr>
                      <w:kern w:val="0"/>
                      <w:sz w:val="21"/>
                      <w:szCs w:val="21"/>
                    </w:rPr>
                    <w:t>排放类别</w:t>
                  </w:r>
                </w:p>
              </w:tc>
              <w:tc>
                <w:tcPr>
                  <w:tcW w:w="1405" w:type="dxa"/>
                  <w:vAlign w:val="center"/>
                </w:tcPr>
                <w:p>
                  <w:pPr>
                    <w:autoSpaceDE w:val="0"/>
                    <w:autoSpaceDN w:val="0"/>
                    <w:adjustRightInd w:val="0"/>
                    <w:jc w:val="center"/>
                    <w:rPr>
                      <w:kern w:val="0"/>
                      <w:sz w:val="21"/>
                      <w:szCs w:val="21"/>
                    </w:rPr>
                  </w:pPr>
                  <w:r>
                    <w:rPr>
                      <w:kern w:val="0"/>
                      <w:sz w:val="21"/>
                      <w:szCs w:val="21"/>
                    </w:rPr>
                    <w:t>标准限值</w:t>
                  </w:r>
                </w:p>
              </w:tc>
              <w:tc>
                <w:tcPr>
                  <w:tcW w:w="2482" w:type="dxa"/>
                  <w:vAlign w:val="center"/>
                </w:tcPr>
                <w:p>
                  <w:pPr>
                    <w:autoSpaceDE w:val="0"/>
                    <w:autoSpaceDN w:val="0"/>
                    <w:adjustRightInd w:val="0"/>
                    <w:jc w:val="center"/>
                    <w:rPr>
                      <w:kern w:val="0"/>
                      <w:sz w:val="21"/>
                      <w:szCs w:val="21"/>
                    </w:rPr>
                  </w:pPr>
                  <w:r>
                    <w:rPr>
                      <w:kern w:val="0"/>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7" w:type="dxa"/>
                  <w:vAlign w:val="center"/>
                </w:tcPr>
                <w:p>
                  <w:pPr>
                    <w:autoSpaceDE w:val="0"/>
                    <w:autoSpaceDN w:val="0"/>
                    <w:adjustRightInd w:val="0"/>
                    <w:jc w:val="center"/>
                    <w:rPr>
                      <w:kern w:val="0"/>
                      <w:sz w:val="21"/>
                      <w:szCs w:val="21"/>
                    </w:rPr>
                  </w:pPr>
                  <w:r>
                    <w:rPr>
                      <w:kern w:val="0"/>
                      <w:sz w:val="21"/>
                      <w:szCs w:val="21"/>
                    </w:rPr>
                    <w:t>1</w:t>
                  </w:r>
                </w:p>
              </w:tc>
              <w:tc>
                <w:tcPr>
                  <w:tcW w:w="2212" w:type="dxa"/>
                  <w:vAlign w:val="center"/>
                </w:tcPr>
                <w:p>
                  <w:pPr>
                    <w:autoSpaceDE w:val="0"/>
                    <w:autoSpaceDN w:val="0"/>
                    <w:adjustRightInd w:val="0"/>
                    <w:jc w:val="center"/>
                    <w:rPr>
                      <w:kern w:val="0"/>
                      <w:sz w:val="21"/>
                      <w:szCs w:val="21"/>
                    </w:rPr>
                  </w:pPr>
                  <w:r>
                    <w:rPr>
                      <w:kern w:val="0"/>
                      <w:sz w:val="21"/>
                      <w:szCs w:val="21"/>
                    </w:rPr>
                    <w:t>氨（NH</w:t>
                  </w:r>
                  <w:r>
                    <w:rPr>
                      <w:kern w:val="0"/>
                      <w:sz w:val="21"/>
                      <w:szCs w:val="21"/>
                      <w:vertAlign w:val="subscript"/>
                    </w:rPr>
                    <w:t>3</w:t>
                  </w:r>
                  <w:r>
                    <w:rPr>
                      <w:kern w:val="0"/>
                      <w:sz w:val="21"/>
                      <w:szCs w:val="21"/>
                    </w:rPr>
                    <w:t>）</w:t>
                  </w:r>
                </w:p>
              </w:tc>
              <w:tc>
                <w:tcPr>
                  <w:tcW w:w="1511" w:type="dxa"/>
                  <w:vMerge w:val="restart"/>
                  <w:vAlign w:val="center"/>
                </w:tcPr>
                <w:p>
                  <w:pPr>
                    <w:autoSpaceDE w:val="0"/>
                    <w:autoSpaceDN w:val="0"/>
                    <w:adjustRightInd w:val="0"/>
                    <w:jc w:val="center"/>
                    <w:rPr>
                      <w:kern w:val="0"/>
                      <w:sz w:val="21"/>
                      <w:szCs w:val="21"/>
                    </w:rPr>
                  </w:pPr>
                  <w:r>
                    <w:rPr>
                      <w:kern w:val="0"/>
                      <w:sz w:val="21"/>
                      <w:szCs w:val="21"/>
                    </w:rPr>
                    <w:t>无组织排放</w:t>
                  </w:r>
                </w:p>
              </w:tc>
              <w:tc>
                <w:tcPr>
                  <w:tcW w:w="1405" w:type="dxa"/>
                  <w:vAlign w:val="center"/>
                </w:tcPr>
                <w:p>
                  <w:pPr>
                    <w:autoSpaceDE w:val="0"/>
                    <w:autoSpaceDN w:val="0"/>
                    <w:adjustRightInd w:val="0"/>
                    <w:jc w:val="center"/>
                    <w:rPr>
                      <w:kern w:val="0"/>
                      <w:sz w:val="21"/>
                      <w:szCs w:val="21"/>
                    </w:rPr>
                  </w:pPr>
                  <w:r>
                    <w:rPr>
                      <w:kern w:val="0"/>
                      <w:sz w:val="21"/>
                      <w:szCs w:val="21"/>
                    </w:rPr>
                    <w:t>1.5</w:t>
                  </w:r>
                  <w:r>
                    <w:rPr>
                      <w:sz w:val="21"/>
                      <w:szCs w:val="21"/>
                    </w:rPr>
                    <w:t>mg/m</w:t>
                  </w:r>
                  <w:r>
                    <w:rPr>
                      <w:sz w:val="21"/>
                      <w:szCs w:val="21"/>
                      <w:vertAlign w:val="superscript"/>
                    </w:rPr>
                    <w:t>3</w:t>
                  </w:r>
                </w:p>
              </w:tc>
              <w:tc>
                <w:tcPr>
                  <w:tcW w:w="2482" w:type="dxa"/>
                  <w:vMerge w:val="restart"/>
                  <w:vAlign w:val="center"/>
                </w:tcPr>
                <w:p>
                  <w:pPr>
                    <w:autoSpaceDE w:val="0"/>
                    <w:autoSpaceDN w:val="0"/>
                    <w:adjustRightInd w:val="0"/>
                    <w:jc w:val="center"/>
                    <w:rPr>
                      <w:kern w:val="0"/>
                      <w:sz w:val="21"/>
                      <w:szCs w:val="21"/>
                    </w:rPr>
                  </w:pPr>
                  <w:r>
                    <w:rPr>
                      <w:rFonts w:hint="eastAsia"/>
                      <w:sz w:val="21"/>
                      <w:szCs w:val="21"/>
                    </w:rPr>
                    <w:t>《恶臭污染物排放标准》（GB14554-93）二级标准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7" w:type="dxa"/>
                  <w:vAlign w:val="center"/>
                </w:tcPr>
                <w:p>
                  <w:pPr>
                    <w:autoSpaceDE w:val="0"/>
                    <w:autoSpaceDN w:val="0"/>
                    <w:adjustRightInd w:val="0"/>
                    <w:jc w:val="center"/>
                    <w:rPr>
                      <w:kern w:val="0"/>
                      <w:sz w:val="21"/>
                      <w:szCs w:val="21"/>
                    </w:rPr>
                  </w:pPr>
                  <w:r>
                    <w:rPr>
                      <w:kern w:val="0"/>
                      <w:sz w:val="21"/>
                      <w:szCs w:val="21"/>
                    </w:rPr>
                    <w:t>2</w:t>
                  </w:r>
                </w:p>
              </w:tc>
              <w:tc>
                <w:tcPr>
                  <w:tcW w:w="2212" w:type="dxa"/>
                  <w:vAlign w:val="center"/>
                </w:tcPr>
                <w:p>
                  <w:pPr>
                    <w:autoSpaceDE w:val="0"/>
                    <w:autoSpaceDN w:val="0"/>
                    <w:adjustRightInd w:val="0"/>
                    <w:jc w:val="center"/>
                    <w:rPr>
                      <w:kern w:val="0"/>
                      <w:sz w:val="21"/>
                      <w:szCs w:val="21"/>
                    </w:rPr>
                  </w:pPr>
                  <w:r>
                    <w:rPr>
                      <w:kern w:val="0"/>
                      <w:sz w:val="21"/>
                      <w:szCs w:val="21"/>
                    </w:rPr>
                    <w:t>硫化氢（H</w:t>
                  </w:r>
                  <w:r>
                    <w:rPr>
                      <w:kern w:val="0"/>
                      <w:sz w:val="21"/>
                      <w:szCs w:val="21"/>
                      <w:vertAlign w:val="subscript"/>
                    </w:rPr>
                    <w:t>2</w:t>
                  </w:r>
                  <w:r>
                    <w:rPr>
                      <w:kern w:val="0"/>
                      <w:sz w:val="21"/>
                      <w:szCs w:val="21"/>
                    </w:rPr>
                    <w:t>S）</w:t>
                  </w:r>
                </w:p>
              </w:tc>
              <w:tc>
                <w:tcPr>
                  <w:tcW w:w="1511" w:type="dxa"/>
                  <w:vMerge w:val="continue"/>
                  <w:vAlign w:val="center"/>
                </w:tcPr>
                <w:p>
                  <w:pPr>
                    <w:autoSpaceDE w:val="0"/>
                    <w:autoSpaceDN w:val="0"/>
                    <w:adjustRightInd w:val="0"/>
                    <w:jc w:val="center"/>
                    <w:rPr>
                      <w:kern w:val="0"/>
                      <w:sz w:val="21"/>
                      <w:szCs w:val="21"/>
                    </w:rPr>
                  </w:pPr>
                </w:p>
              </w:tc>
              <w:tc>
                <w:tcPr>
                  <w:tcW w:w="1405" w:type="dxa"/>
                  <w:vAlign w:val="center"/>
                </w:tcPr>
                <w:p>
                  <w:pPr>
                    <w:autoSpaceDE w:val="0"/>
                    <w:autoSpaceDN w:val="0"/>
                    <w:adjustRightInd w:val="0"/>
                    <w:jc w:val="center"/>
                    <w:rPr>
                      <w:kern w:val="0"/>
                      <w:sz w:val="21"/>
                      <w:szCs w:val="21"/>
                    </w:rPr>
                  </w:pPr>
                  <w:r>
                    <w:rPr>
                      <w:kern w:val="0"/>
                      <w:sz w:val="21"/>
                      <w:szCs w:val="21"/>
                    </w:rPr>
                    <w:t>0.06</w:t>
                  </w:r>
                  <w:r>
                    <w:rPr>
                      <w:sz w:val="21"/>
                      <w:szCs w:val="21"/>
                    </w:rPr>
                    <w:t>mg/m</w:t>
                  </w:r>
                  <w:r>
                    <w:rPr>
                      <w:sz w:val="21"/>
                      <w:szCs w:val="21"/>
                      <w:vertAlign w:val="superscript"/>
                    </w:rPr>
                    <w:t>3</w:t>
                  </w:r>
                </w:p>
              </w:tc>
              <w:tc>
                <w:tcPr>
                  <w:tcW w:w="2482" w:type="dxa"/>
                  <w:vMerge w:val="continue"/>
                  <w:vAlign w:val="center"/>
                </w:tcPr>
                <w:p>
                  <w:pPr>
                    <w:autoSpaceDE w:val="0"/>
                    <w:autoSpaceDN w:val="0"/>
                    <w:adjustRightInd w:val="0"/>
                    <w:jc w:val="center"/>
                    <w:rPr>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37" w:type="dxa"/>
                  <w:vAlign w:val="center"/>
                </w:tcPr>
                <w:p>
                  <w:pPr>
                    <w:autoSpaceDE w:val="0"/>
                    <w:autoSpaceDN w:val="0"/>
                    <w:adjustRightInd w:val="0"/>
                    <w:jc w:val="center"/>
                    <w:rPr>
                      <w:kern w:val="0"/>
                      <w:sz w:val="21"/>
                      <w:szCs w:val="21"/>
                    </w:rPr>
                  </w:pPr>
                  <w:r>
                    <w:rPr>
                      <w:kern w:val="0"/>
                      <w:sz w:val="21"/>
                      <w:szCs w:val="21"/>
                    </w:rPr>
                    <w:t>3</w:t>
                  </w:r>
                </w:p>
              </w:tc>
              <w:tc>
                <w:tcPr>
                  <w:tcW w:w="2212" w:type="dxa"/>
                  <w:vAlign w:val="center"/>
                </w:tcPr>
                <w:p>
                  <w:pPr>
                    <w:autoSpaceDE w:val="0"/>
                    <w:autoSpaceDN w:val="0"/>
                    <w:adjustRightInd w:val="0"/>
                    <w:jc w:val="center"/>
                    <w:rPr>
                      <w:kern w:val="0"/>
                      <w:sz w:val="21"/>
                      <w:szCs w:val="21"/>
                    </w:rPr>
                  </w:pPr>
                  <w:r>
                    <w:rPr>
                      <w:kern w:val="0"/>
                      <w:sz w:val="21"/>
                      <w:szCs w:val="21"/>
                    </w:rPr>
                    <w:t>臭气浓度（无量纲）</w:t>
                  </w:r>
                </w:p>
              </w:tc>
              <w:tc>
                <w:tcPr>
                  <w:tcW w:w="1511" w:type="dxa"/>
                  <w:vMerge w:val="continue"/>
                  <w:vAlign w:val="center"/>
                </w:tcPr>
                <w:p>
                  <w:pPr>
                    <w:autoSpaceDE w:val="0"/>
                    <w:autoSpaceDN w:val="0"/>
                    <w:adjustRightInd w:val="0"/>
                    <w:jc w:val="center"/>
                    <w:rPr>
                      <w:kern w:val="0"/>
                      <w:sz w:val="21"/>
                      <w:szCs w:val="21"/>
                    </w:rPr>
                  </w:pPr>
                </w:p>
              </w:tc>
              <w:tc>
                <w:tcPr>
                  <w:tcW w:w="1405" w:type="dxa"/>
                  <w:vAlign w:val="center"/>
                </w:tcPr>
                <w:p>
                  <w:pPr>
                    <w:autoSpaceDE w:val="0"/>
                    <w:autoSpaceDN w:val="0"/>
                    <w:adjustRightInd w:val="0"/>
                    <w:jc w:val="center"/>
                    <w:rPr>
                      <w:kern w:val="0"/>
                      <w:sz w:val="21"/>
                      <w:szCs w:val="21"/>
                    </w:rPr>
                  </w:pPr>
                  <w:r>
                    <w:rPr>
                      <w:kern w:val="0"/>
                      <w:sz w:val="21"/>
                      <w:szCs w:val="21"/>
                    </w:rPr>
                    <w:t>20</w:t>
                  </w:r>
                </w:p>
              </w:tc>
              <w:tc>
                <w:tcPr>
                  <w:tcW w:w="2482" w:type="dxa"/>
                  <w:vMerge w:val="continue"/>
                  <w:vAlign w:val="center"/>
                </w:tcPr>
                <w:p>
                  <w:pPr>
                    <w:autoSpaceDE w:val="0"/>
                    <w:autoSpaceDN w:val="0"/>
                    <w:adjustRightInd w:val="0"/>
                    <w:jc w:val="center"/>
                    <w:rPr>
                      <w:kern w:val="0"/>
                      <w:sz w:val="21"/>
                      <w:szCs w:val="21"/>
                    </w:rPr>
                  </w:pPr>
                </w:p>
              </w:tc>
            </w:tr>
          </w:tbl>
          <w:p>
            <w:pPr>
              <w:spacing w:line="480" w:lineRule="exact"/>
              <w:rPr>
                <w:rFonts w:cs="Times New Roman"/>
                <w:b/>
                <w:szCs w:val="24"/>
              </w:rPr>
            </w:pPr>
            <w:r>
              <w:rPr>
                <w:rFonts w:cs="Times New Roman"/>
                <w:b/>
                <w:szCs w:val="24"/>
              </w:rPr>
              <w:t>二、废水排放标准</w:t>
            </w:r>
          </w:p>
          <w:p>
            <w:pPr>
              <w:spacing w:line="360" w:lineRule="auto"/>
              <w:ind w:firstLine="480" w:firstLineChars="200"/>
            </w:pPr>
            <w:r>
              <w:rPr>
                <w:rFonts w:hint="eastAsia"/>
              </w:rPr>
              <w:t>项目施工期废水综合利用，不外排。</w:t>
            </w:r>
          </w:p>
          <w:p>
            <w:pPr>
              <w:spacing w:line="360" w:lineRule="auto"/>
              <w:ind w:firstLine="480" w:firstLineChars="200"/>
              <w:rPr>
                <w:rFonts w:eastAsia="仿宋"/>
              </w:rPr>
            </w:pPr>
            <w:r>
              <w:rPr>
                <w:rFonts w:hint="eastAsia"/>
              </w:rPr>
              <w:t>运营期</w:t>
            </w:r>
            <w:r>
              <w:t>废水排放</w:t>
            </w:r>
            <w:r>
              <w:rPr>
                <w:rFonts w:ascii="宋体" w:hAnsi="宋体"/>
              </w:rPr>
              <w:t>按照四川省《农村生活污水处理设施水污染物排放标准》（</w:t>
            </w:r>
            <w:r>
              <w:t>DB51/2626-2019</w:t>
            </w:r>
            <w:r>
              <w:rPr>
                <w:rFonts w:ascii="宋体" w:hAnsi="宋体"/>
              </w:rPr>
              <w:t>）</w:t>
            </w:r>
            <w:r>
              <w:rPr>
                <w:rFonts w:hint="eastAsia" w:ascii="宋体" w:hAnsi="宋体"/>
              </w:rPr>
              <w:t>一级标准执行</w:t>
            </w:r>
            <w:r>
              <w:rPr>
                <w:rFonts w:hint="eastAsia"/>
              </w:rPr>
              <w:t>。</w:t>
            </w:r>
          </w:p>
          <w:p>
            <w:pPr>
              <w:widowControl/>
              <w:adjustRightInd w:val="0"/>
              <w:snapToGrid w:val="0"/>
              <w:spacing w:line="480" w:lineRule="exact"/>
              <w:ind w:right="106" w:rightChars="44"/>
              <w:jc w:val="center"/>
              <w:rPr>
                <w:rFonts w:cs="Times New Roman"/>
                <w:b/>
                <w:szCs w:val="24"/>
              </w:rPr>
            </w:pPr>
            <w:r>
              <w:rPr>
                <w:rFonts w:cs="Times New Roman"/>
                <w:b/>
                <w:szCs w:val="24"/>
              </w:rPr>
              <w:t>表4-7  废水污染物排放标准限值</w:t>
            </w:r>
          </w:p>
          <w:tbl>
            <w:tblPr>
              <w:tblStyle w:val="30"/>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2217"/>
              <w:gridCol w:w="2113"/>
              <w:gridCol w:w="2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6" w:type="dxa"/>
                  <w:tcBorders>
                    <w:top w:val="single" w:color="auto" w:sz="4" w:space="0"/>
                    <w:left w:val="single" w:color="auto" w:sz="4" w:space="0"/>
                    <w:bottom w:val="single" w:color="auto" w:sz="4" w:space="0"/>
                    <w:right w:val="single" w:color="auto" w:sz="4" w:space="0"/>
                  </w:tcBorders>
                  <w:vAlign w:val="center"/>
                </w:tcPr>
                <w:p>
                  <w:pPr>
                    <w:jc w:val="center"/>
                    <w:rPr>
                      <w:b/>
                      <w:bCs/>
                      <w:sz w:val="21"/>
                      <w:szCs w:val="21"/>
                    </w:rPr>
                  </w:pPr>
                  <w:r>
                    <w:rPr>
                      <w:b/>
                      <w:bCs/>
                      <w:sz w:val="21"/>
                      <w:szCs w:val="21"/>
                    </w:rPr>
                    <w:t>序号</w:t>
                  </w:r>
                </w:p>
              </w:tc>
              <w:tc>
                <w:tcPr>
                  <w:tcW w:w="2217" w:type="dxa"/>
                  <w:tcBorders>
                    <w:top w:val="single" w:color="auto" w:sz="4" w:space="0"/>
                    <w:left w:val="nil"/>
                    <w:bottom w:val="single" w:color="auto" w:sz="4" w:space="0"/>
                    <w:right w:val="single" w:color="auto" w:sz="4" w:space="0"/>
                  </w:tcBorders>
                  <w:vAlign w:val="center"/>
                </w:tcPr>
                <w:p>
                  <w:pPr>
                    <w:jc w:val="center"/>
                    <w:rPr>
                      <w:b/>
                      <w:bCs/>
                      <w:sz w:val="21"/>
                      <w:szCs w:val="21"/>
                    </w:rPr>
                  </w:pPr>
                  <w:r>
                    <w:rPr>
                      <w:b/>
                      <w:bCs/>
                      <w:sz w:val="21"/>
                      <w:szCs w:val="21"/>
                    </w:rPr>
                    <w:t>污染物项目</w:t>
                  </w:r>
                </w:p>
              </w:tc>
              <w:tc>
                <w:tcPr>
                  <w:tcW w:w="2113" w:type="dxa"/>
                  <w:tcBorders>
                    <w:top w:val="single" w:color="auto" w:sz="4" w:space="0"/>
                    <w:left w:val="nil"/>
                    <w:bottom w:val="single" w:color="auto" w:sz="4" w:space="0"/>
                    <w:right w:val="single" w:color="auto" w:sz="4" w:space="0"/>
                  </w:tcBorders>
                  <w:vAlign w:val="center"/>
                </w:tcPr>
                <w:p>
                  <w:pPr>
                    <w:jc w:val="center"/>
                    <w:rPr>
                      <w:b/>
                      <w:bCs/>
                      <w:sz w:val="21"/>
                      <w:szCs w:val="21"/>
                    </w:rPr>
                  </w:pPr>
                  <w:r>
                    <w:rPr>
                      <w:b/>
                      <w:bCs/>
                      <w:sz w:val="21"/>
                      <w:szCs w:val="21"/>
                    </w:rPr>
                    <w:t>排放限值（mg/L</w:t>
                  </w:r>
                  <w:r>
                    <w:rPr>
                      <w:rFonts w:ascii="宋体" w:hAnsi="宋体"/>
                      <w:b/>
                      <w:bCs/>
                      <w:sz w:val="21"/>
                      <w:szCs w:val="21"/>
                    </w:rPr>
                    <w:t>）</w:t>
                  </w:r>
                </w:p>
              </w:tc>
              <w:tc>
                <w:tcPr>
                  <w:tcW w:w="2390" w:type="dxa"/>
                  <w:tcBorders>
                    <w:top w:val="single" w:color="auto" w:sz="4" w:space="0"/>
                    <w:left w:val="nil"/>
                    <w:bottom w:val="single" w:color="auto" w:sz="4" w:space="0"/>
                    <w:right w:val="single" w:color="auto" w:sz="4" w:space="0"/>
                  </w:tcBorders>
                  <w:vAlign w:val="center"/>
                </w:tcPr>
                <w:p>
                  <w:pPr>
                    <w:jc w:val="center"/>
                    <w:rPr>
                      <w:b/>
                      <w:bCs/>
                      <w:sz w:val="21"/>
                      <w:szCs w:val="21"/>
                    </w:rPr>
                  </w:pPr>
                  <w:r>
                    <w:rPr>
                      <w:b/>
                      <w:bCs/>
                      <w:sz w:val="21"/>
                      <w:szCs w:val="21"/>
                    </w:rPr>
                    <w:t>污染物排放监控位置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6"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1</w:t>
                  </w:r>
                </w:p>
              </w:tc>
              <w:tc>
                <w:tcPr>
                  <w:tcW w:w="2217"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pH</w:t>
                  </w:r>
                  <w:r>
                    <w:rPr>
                      <w:rFonts w:ascii="宋体" w:hAnsi="宋体"/>
                      <w:sz w:val="21"/>
                      <w:szCs w:val="21"/>
                    </w:rPr>
                    <w:t>（无量纲）</w:t>
                  </w:r>
                </w:p>
              </w:tc>
              <w:tc>
                <w:tcPr>
                  <w:tcW w:w="2113"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6~9</w:t>
                  </w:r>
                </w:p>
              </w:tc>
              <w:tc>
                <w:tcPr>
                  <w:tcW w:w="2390" w:type="dxa"/>
                  <w:vMerge w:val="restart"/>
                  <w:tcBorders>
                    <w:top w:val="nil"/>
                    <w:left w:val="nil"/>
                    <w:bottom w:val="single" w:color="auto" w:sz="4" w:space="0"/>
                    <w:right w:val="single" w:color="auto" w:sz="4" w:space="0"/>
                  </w:tcBorders>
                  <w:vAlign w:val="center"/>
                </w:tcPr>
                <w:p>
                  <w:pPr>
                    <w:jc w:val="center"/>
                    <w:rPr>
                      <w:sz w:val="21"/>
                      <w:szCs w:val="21"/>
                    </w:rPr>
                  </w:pPr>
                  <w:r>
                    <w:rPr>
                      <w:sz w:val="21"/>
                      <w:szCs w:val="21"/>
                    </w:rPr>
                    <w:t>污水处理站总排放口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6"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2</w:t>
                  </w:r>
                </w:p>
              </w:tc>
              <w:tc>
                <w:tcPr>
                  <w:tcW w:w="2217"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COD</w:t>
                  </w:r>
                  <w:r>
                    <w:rPr>
                      <w:sz w:val="21"/>
                      <w:szCs w:val="21"/>
                      <w:vertAlign w:val="subscript"/>
                    </w:rPr>
                    <w:t>cr</w:t>
                  </w:r>
                </w:p>
              </w:tc>
              <w:tc>
                <w:tcPr>
                  <w:tcW w:w="2113"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60</w:t>
                  </w:r>
                </w:p>
              </w:tc>
              <w:tc>
                <w:tcPr>
                  <w:tcW w:w="2390" w:type="dxa"/>
                  <w:vMerge w:val="continue"/>
                  <w:tcBorders>
                    <w:top w:val="nil"/>
                    <w:left w:val="nil"/>
                    <w:bottom w:val="single" w:color="auto" w:sz="4" w:space="0"/>
                    <w:right w:val="single" w:color="auto" w:sz="4" w:space="0"/>
                  </w:tcBorders>
                  <w:vAlign w:val="center"/>
                </w:tcPr>
                <w:p>
                  <w:pPr>
                    <w:widowControl/>
                    <w:jc w:val="left"/>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6"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3</w:t>
                  </w:r>
                </w:p>
              </w:tc>
              <w:tc>
                <w:tcPr>
                  <w:tcW w:w="2217"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SS</w:t>
                  </w:r>
                </w:p>
              </w:tc>
              <w:tc>
                <w:tcPr>
                  <w:tcW w:w="2113"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20</w:t>
                  </w:r>
                </w:p>
              </w:tc>
              <w:tc>
                <w:tcPr>
                  <w:tcW w:w="2390" w:type="dxa"/>
                  <w:vMerge w:val="continue"/>
                  <w:tcBorders>
                    <w:top w:val="nil"/>
                    <w:left w:val="nil"/>
                    <w:bottom w:val="single" w:color="auto" w:sz="4" w:space="0"/>
                    <w:right w:val="single" w:color="auto" w:sz="4" w:space="0"/>
                  </w:tcBorders>
                  <w:vAlign w:val="center"/>
                </w:tcPr>
                <w:p>
                  <w:pPr>
                    <w:widowControl/>
                    <w:jc w:val="left"/>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6"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4</w:t>
                  </w:r>
                </w:p>
              </w:tc>
              <w:tc>
                <w:tcPr>
                  <w:tcW w:w="2217"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氨氮（以N</w:t>
                  </w:r>
                  <w:r>
                    <w:rPr>
                      <w:rFonts w:ascii="宋体" w:hAnsi="宋体"/>
                      <w:sz w:val="21"/>
                      <w:szCs w:val="21"/>
                    </w:rPr>
                    <w:t>计）</w:t>
                  </w:r>
                </w:p>
              </w:tc>
              <w:tc>
                <w:tcPr>
                  <w:tcW w:w="2113"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8</w:t>
                  </w:r>
                  <w:r>
                    <w:rPr>
                      <w:rFonts w:ascii="宋体" w:hAnsi="宋体"/>
                      <w:sz w:val="21"/>
                      <w:szCs w:val="21"/>
                    </w:rPr>
                    <w:t>（</w:t>
                  </w:r>
                  <w:r>
                    <w:rPr>
                      <w:sz w:val="21"/>
                      <w:szCs w:val="21"/>
                    </w:rPr>
                    <w:t>15</w:t>
                  </w:r>
                  <w:r>
                    <w:rPr>
                      <w:rFonts w:ascii="宋体" w:hAnsi="宋体"/>
                      <w:sz w:val="21"/>
                      <w:szCs w:val="21"/>
                    </w:rPr>
                    <w:t>）</w:t>
                  </w:r>
                </w:p>
              </w:tc>
              <w:tc>
                <w:tcPr>
                  <w:tcW w:w="2390" w:type="dxa"/>
                  <w:vMerge w:val="continue"/>
                  <w:tcBorders>
                    <w:top w:val="nil"/>
                    <w:left w:val="nil"/>
                    <w:bottom w:val="single" w:color="auto" w:sz="4" w:space="0"/>
                    <w:right w:val="single" w:color="auto" w:sz="4" w:space="0"/>
                  </w:tcBorders>
                  <w:vAlign w:val="center"/>
                </w:tcPr>
                <w:p>
                  <w:pPr>
                    <w:widowControl/>
                    <w:jc w:val="left"/>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6"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5</w:t>
                  </w:r>
                </w:p>
              </w:tc>
              <w:tc>
                <w:tcPr>
                  <w:tcW w:w="2217"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总氮（以N</w:t>
                  </w:r>
                  <w:r>
                    <w:rPr>
                      <w:rFonts w:ascii="宋体" w:hAnsi="宋体"/>
                      <w:sz w:val="21"/>
                      <w:szCs w:val="21"/>
                    </w:rPr>
                    <w:t>计）</w:t>
                  </w:r>
                </w:p>
              </w:tc>
              <w:tc>
                <w:tcPr>
                  <w:tcW w:w="2113"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20</w:t>
                  </w:r>
                </w:p>
              </w:tc>
              <w:tc>
                <w:tcPr>
                  <w:tcW w:w="2390" w:type="dxa"/>
                  <w:vMerge w:val="continue"/>
                  <w:tcBorders>
                    <w:top w:val="nil"/>
                    <w:left w:val="nil"/>
                    <w:bottom w:val="single" w:color="auto" w:sz="4" w:space="0"/>
                    <w:right w:val="single" w:color="auto" w:sz="4" w:space="0"/>
                  </w:tcBorders>
                  <w:vAlign w:val="center"/>
                </w:tcPr>
                <w:p>
                  <w:pPr>
                    <w:widowControl/>
                    <w:jc w:val="left"/>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6"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6</w:t>
                  </w:r>
                </w:p>
              </w:tc>
              <w:tc>
                <w:tcPr>
                  <w:tcW w:w="2217"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总磷（以P</w:t>
                  </w:r>
                  <w:r>
                    <w:rPr>
                      <w:rFonts w:ascii="宋体" w:hAnsi="宋体"/>
                      <w:sz w:val="21"/>
                      <w:szCs w:val="21"/>
                    </w:rPr>
                    <w:t>计）</w:t>
                  </w:r>
                </w:p>
              </w:tc>
              <w:tc>
                <w:tcPr>
                  <w:tcW w:w="2113"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1.5</w:t>
                  </w:r>
                </w:p>
              </w:tc>
              <w:tc>
                <w:tcPr>
                  <w:tcW w:w="2390" w:type="dxa"/>
                  <w:vMerge w:val="continue"/>
                  <w:tcBorders>
                    <w:top w:val="nil"/>
                    <w:left w:val="nil"/>
                    <w:bottom w:val="single" w:color="auto" w:sz="4" w:space="0"/>
                    <w:right w:val="single" w:color="auto" w:sz="4" w:space="0"/>
                  </w:tcBorders>
                  <w:vAlign w:val="center"/>
                </w:tcPr>
                <w:p>
                  <w:pPr>
                    <w:widowControl/>
                    <w:jc w:val="left"/>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6"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sz w:val="21"/>
                      <w:szCs w:val="21"/>
                    </w:rPr>
                    <w:t>7</w:t>
                  </w:r>
                </w:p>
              </w:tc>
              <w:tc>
                <w:tcPr>
                  <w:tcW w:w="2217"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动植物油</w:t>
                  </w:r>
                </w:p>
              </w:tc>
              <w:tc>
                <w:tcPr>
                  <w:tcW w:w="2113" w:type="dxa"/>
                  <w:tcBorders>
                    <w:top w:val="single" w:color="auto" w:sz="4" w:space="0"/>
                    <w:left w:val="nil"/>
                    <w:bottom w:val="single" w:color="auto" w:sz="4" w:space="0"/>
                    <w:right w:val="single" w:color="auto" w:sz="4" w:space="0"/>
                  </w:tcBorders>
                  <w:vAlign w:val="center"/>
                </w:tcPr>
                <w:p>
                  <w:pPr>
                    <w:jc w:val="center"/>
                    <w:rPr>
                      <w:sz w:val="21"/>
                      <w:szCs w:val="21"/>
                    </w:rPr>
                  </w:pPr>
                  <w:r>
                    <w:rPr>
                      <w:sz w:val="21"/>
                      <w:szCs w:val="21"/>
                    </w:rPr>
                    <w:t>3</w:t>
                  </w:r>
                </w:p>
              </w:tc>
              <w:tc>
                <w:tcPr>
                  <w:tcW w:w="2390" w:type="dxa"/>
                  <w:vMerge w:val="continue"/>
                  <w:tcBorders>
                    <w:top w:val="nil"/>
                    <w:left w:val="nil"/>
                    <w:bottom w:val="single" w:color="auto" w:sz="4" w:space="0"/>
                    <w:right w:val="single" w:color="auto" w:sz="4" w:space="0"/>
                  </w:tcBorders>
                  <w:vAlign w:val="center"/>
                </w:tcPr>
                <w:p>
                  <w:pPr>
                    <w:widowControl/>
                    <w:jc w:val="left"/>
                    <w:rPr>
                      <w:sz w:val="21"/>
                      <w:szCs w:val="21"/>
                    </w:rPr>
                  </w:pPr>
                </w:p>
              </w:tc>
            </w:tr>
          </w:tbl>
          <w:p>
            <w:pPr>
              <w:spacing w:line="360" w:lineRule="auto"/>
              <w:rPr>
                <w:rFonts w:cs="Times New Roman"/>
                <w:b/>
                <w:sz w:val="21"/>
                <w:szCs w:val="21"/>
              </w:rPr>
            </w:pPr>
            <w:r>
              <w:rPr>
                <w:rFonts w:hint="eastAsia" w:cs="Times New Roman"/>
                <w:b/>
                <w:sz w:val="21"/>
                <w:szCs w:val="21"/>
              </w:rPr>
              <w:t>注：①括号外的数值为水温＞12℃的控制指标，括号内的数值为水温≤12℃的控制指标。</w:t>
            </w:r>
          </w:p>
          <w:p>
            <w:pPr>
              <w:spacing w:line="360" w:lineRule="auto"/>
              <w:rPr>
                <w:rFonts w:cs="Times New Roman"/>
                <w:b/>
                <w:sz w:val="21"/>
                <w:szCs w:val="21"/>
              </w:rPr>
            </w:pPr>
            <w:r>
              <w:rPr>
                <w:rFonts w:hint="eastAsia" w:cs="Times New Roman"/>
                <w:b/>
                <w:sz w:val="21"/>
                <w:szCs w:val="21"/>
              </w:rPr>
              <w:t>②动植物油指标仅针对含提供餐饮服务的农村旅游项目生活污水的处理设施执行。</w:t>
            </w:r>
          </w:p>
          <w:p>
            <w:pPr>
              <w:spacing w:line="480" w:lineRule="exact"/>
              <w:rPr>
                <w:rFonts w:cs="Times New Roman"/>
                <w:b/>
                <w:szCs w:val="24"/>
              </w:rPr>
            </w:pPr>
            <w:r>
              <w:rPr>
                <w:rFonts w:cs="Times New Roman"/>
                <w:b/>
                <w:szCs w:val="24"/>
              </w:rPr>
              <w:t>三、噪声执行标准</w:t>
            </w:r>
          </w:p>
          <w:p>
            <w:pPr>
              <w:spacing w:line="480" w:lineRule="exact"/>
              <w:ind w:firstLine="480" w:firstLineChars="200"/>
              <w:rPr>
                <w:rFonts w:cs="Times New Roman"/>
              </w:rPr>
            </w:pPr>
            <w:r>
              <w:rPr>
                <w:rFonts w:cs="Times New Roman"/>
              </w:rPr>
              <w:t>施工期：执行《建筑施工场界环境噪声排放标准》(GB12523-2011)中相关标准；营运期：执行国家《工业企业厂界环境噪声排放标准》(GB12348-2008)中的2类标准；</w:t>
            </w:r>
            <w:r>
              <w:rPr>
                <w:rFonts w:cs="Times New Roman"/>
                <w:bCs/>
              </w:rPr>
              <w:t>标准限值见表4-8。</w:t>
            </w:r>
          </w:p>
          <w:p>
            <w:pPr>
              <w:widowControl/>
              <w:adjustRightInd w:val="0"/>
              <w:snapToGrid w:val="0"/>
              <w:spacing w:line="480" w:lineRule="exact"/>
              <w:ind w:right="106" w:rightChars="44"/>
              <w:jc w:val="center"/>
              <w:rPr>
                <w:rFonts w:cs="Times New Roman"/>
                <w:b/>
                <w:szCs w:val="24"/>
              </w:rPr>
            </w:pPr>
            <w:r>
              <w:rPr>
                <w:rFonts w:cs="Times New Roman"/>
                <w:b/>
                <w:szCs w:val="24"/>
              </w:rPr>
              <w:t>表4-8  项目噪声执行标准</w:t>
            </w:r>
          </w:p>
          <w:p>
            <w:pPr>
              <w:widowControl/>
              <w:adjustRightInd w:val="0"/>
              <w:snapToGrid w:val="0"/>
              <w:spacing w:line="480" w:lineRule="exact"/>
              <w:ind w:right="106" w:rightChars="44"/>
              <w:jc w:val="right"/>
              <w:rPr>
                <w:rFonts w:cs="Times New Roman"/>
                <w:snapToGrid w:val="0"/>
                <w:kern w:val="0"/>
                <w:sz w:val="21"/>
                <w:szCs w:val="21"/>
              </w:rPr>
            </w:pPr>
            <w:r>
              <w:rPr>
                <w:rFonts w:cs="Times New Roman"/>
                <w:snapToGrid w:val="0"/>
                <w:kern w:val="0"/>
                <w:sz w:val="21"/>
                <w:szCs w:val="21"/>
              </w:rPr>
              <w:t>单位：dB(A)</w:t>
            </w:r>
          </w:p>
          <w:tbl>
            <w:tblPr>
              <w:tblStyle w:val="30"/>
              <w:tblW w:w="828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095"/>
              <w:gridCol w:w="2008"/>
              <w:gridCol w:w="31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3095" w:type="dxa"/>
                  <w:tcBorders>
                    <w:top w:val="single" w:color="auto" w:sz="6" w:space="0"/>
                    <w:left w:val="single" w:color="auto" w:sz="6" w:space="0"/>
                    <w:bottom w:val="single" w:color="auto" w:sz="6" w:space="0"/>
                    <w:right w:val="single" w:color="auto" w:sz="6" w:space="0"/>
                  </w:tcBorders>
                  <w:vAlign w:val="center"/>
                </w:tcPr>
                <w:p>
                  <w:pPr>
                    <w:spacing w:line="276" w:lineRule="auto"/>
                    <w:ind w:left="-59"/>
                    <w:jc w:val="center"/>
                    <w:rPr>
                      <w:rFonts w:cs="Times New Roman"/>
                      <w:caps/>
                      <w:sz w:val="21"/>
                      <w:szCs w:val="21"/>
                    </w:rPr>
                  </w:pPr>
                  <w:r>
                    <w:rPr>
                      <w:rFonts w:cs="Times New Roman"/>
                      <w:caps/>
                      <w:sz w:val="21"/>
                      <w:szCs w:val="21"/>
                    </w:rPr>
                    <w:t>类别</w:t>
                  </w:r>
                </w:p>
              </w:tc>
              <w:tc>
                <w:tcPr>
                  <w:tcW w:w="2008" w:type="dxa"/>
                  <w:tcBorders>
                    <w:top w:val="single" w:color="auto" w:sz="6" w:space="0"/>
                    <w:left w:val="single" w:color="auto" w:sz="6" w:space="0"/>
                    <w:bottom w:val="single" w:color="auto" w:sz="6" w:space="0"/>
                    <w:right w:val="single" w:color="auto" w:sz="6" w:space="0"/>
                  </w:tcBorders>
                  <w:vAlign w:val="center"/>
                </w:tcPr>
                <w:p>
                  <w:pPr>
                    <w:spacing w:line="276" w:lineRule="auto"/>
                    <w:ind w:left="43"/>
                    <w:jc w:val="center"/>
                    <w:rPr>
                      <w:rFonts w:cs="Times New Roman"/>
                      <w:caps/>
                      <w:sz w:val="21"/>
                      <w:szCs w:val="21"/>
                    </w:rPr>
                  </w:pPr>
                  <w:r>
                    <w:rPr>
                      <w:rFonts w:cs="Times New Roman"/>
                      <w:caps/>
                      <w:sz w:val="21"/>
                      <w:szCs w:val="21"/>
                    </w:rPr>
                    <w:t>昼间</w:t>
                  </w:r>
                </w:p>
              </w:tc>
              <w:tc>
                <w:tcPr>
                  <w:tcW w:w="3181" w:type="dxa"/>
                  <w:tcBorders>
                    <w:top w:val="single" w:color="auto" w:sz="6" w:space="0"/>
                    <w:left w:val="single" w:color="auto" w:sz="6" w:space="0"/>
                    <w:bottom w:val="single" w:color="auto" w:sz="6" w:space="0"/>
                    <w:right w:val="single" w:color="auto" w:sz="6" w:space="0"/>
                  </w:tcBorders>
                  <w:vAlign w:val="center"/>
                </w:tcPr>
                <w:p>
                  <w:pPr>
                    <w:spacing w:line="276" w:lineRule="auto"/>
                    <w:jc w:val="center"/>
                    <w:rPr>
                      <w:rFonts w:cs="Times New Roman"/>
                      <w:caps/>
                      <w:sz w:val="21"/>
                      <w:szCs w:val="21"/>
                    </w:rPr>
                  </w:pPr>
                  <w:r>
                    <w:rPr>
                      <w:rFonts w:cs="Times New Roman"/>
                      <w:caps/>
                      <w:sz w:val="21"/>
                      <w:szCs w:val="21"/>
                    </w:rPr>
                    <w:t>夜间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3095" w:type="dxa"/>
                  <w:tcBorders>
                    <w:top w:val="single" w:color="auto" w:sz="6" w:space="0"/>
                    <w:left w:val="single" w:color="auto" w:sz="6" w:space="0"/>
                    <w:bottom w:val="single" w:color="auto" w:sz="6" w:space="0"/>
                    <w:right w:val="single" w:color="auto" w:sz="6" w:space="0"/>
                  </w:tcBorders>
                  <w:vAlign w:val="center"/>
                </w:tcPr>
                <w:p>
                  <w:pPr>
                    <w:spacing w:line="276" w:lineRule="auto"/>
                    <w:ind w:left="-59"/>
                    <w:jc w:val="center"/>
                    <w:rPr>
                      <w:rFonts w:cs="Times New Roman"/>
                      <w:caps/>
                      <w:sz w:val="21"/>
                      <w:szCs w:val="21"/>
                    </w:rPr>
                  </w:pPr>
                  <w:r>
                    <w:rPr>
                      <w:rFonts w:cs="Times New Roman"/>
                      <w:caps/>
                      <w:sz w:val="21"/>
                      <w:szCs w:val="21"/>
                    </w:rPr>
                    <w:t>2类标准</w:t>
                  </w:r>
                </w:p>
              </w:tc>
              <w:tc>
                <w:tcPr>
                  <w:tcW w:w="2008" w:type="dxa"/>
                  <w:tcBorders>
                    <w:top w:val="single" w:color="auto" w:sz="6" w:space="0"/>
                    <w:left w:val="single" w:color="auto" w:sz="6" w:space="0"/>
                    <w:bottom w:val="single" w:color="auto" w:sz="6" w:space="0"/>
                    <w:right w:val="single" w:color="auto" w:sz="6" w:space="0"/>
                  </w:tcBorders>
                  <w:vAlign w:val="center"/>
                </w:tcPr>
                <w:p>
                  <w:pPr>
                    <w:spacing w:line="276" w:lineRule="auto"/>
                    <w:ind w:left="43"/>
                    <w:jc w:val="center"/>
                    <w:rPr>
                      <w:rFonts w:cs="Times New Roman"/>
                      <w:caps/>
                      <w:sz w:val="21"/>
                      <w:szCs w:val="21"/>
                    </w:rPr>
                  </w:pPr>
                  <w:r>
                    <w:rPr>
                      <w:rFonts w:cs="Times New Roman"/>
                      <w:caps/>
                      <w:sz w:val="21"/>
                      <w:szCs w:val="21"/>
                    </w:rPr>
                    <w:t>60</w:t>
                  </w:r>
                </w:p>
              </w:tc>
              <w:tc>
                <w:tcPr>
                  <w:tcW w:w="3181" w:type="dxa"/>
                  <w:tcBorders>
                    <w:top w:val="single" w:color="auto" w:sz="6" w:space="0"/>
                    <w:left w:val="single" w:color="auto" w:sz="6" w:space="0"/>
                    <w:bottom w:val="single" w:color="auto" w:sz="6" w:space="0"/>
                    <w:right w:val="single" w:color="auto" w:sz="6" w:space="0"/>
                  </w:tcBorders>
                  <w:vAlign w:val="center"/>
                </w:tcPr>
                <w:p>
                  <w:pPr>
                    <w:spacing w:line="276" w:lineRule="auto"/>
                    <w:jc w:val="center"/>
                    <w:rPr>
                      <w:rFonts w:cs="Times New Roman"/>
                      <w:caps/>
                      <w:sz w:val="21"/>
                      <w:szCs w:val="21"/>
                    </w:rPr>
                  </w:pPr>
                  <w:r>
                    <w:rPr>
                      <w:rFonts w:cs="Times New Roman"/>
                      <w:caps/>
                      <w:sz w:val="21"/>
                      <w:szCs w:val="21"/>
                    </w:rPr>
                    <w:t>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3095" w:type="dxa"/>
                  <w:tcBorders>
                    <w:top w:val="single" w:color="auto" w:sz="6" w:space="0"/>
                    <w:left w:val="single" w:color="auto" w:sz="6" w:space="0"/>
                    <w:bottom w:val="single" w:color="auto" w:sz="6" w:space="0"/>
                    <w:right w:val="single" w:color="auto" w:sz="6" w:space="0"/>
                  </w:tcBorders>
                  <w:vAlign w:val="center"/>
                </w:tcPr>
                <w:p>
                  <w:pPr>
                    <w:spacing w:line="276" w:lineRule="auto"/>
                    <w:ind w:left="-59"/>
                    <w:jc w:val="center"/>
                    <w:rPr>
                      <w:rFonts w:cs="Times New Roman"/>
                      <w:caps/>
                      <w:sz w:val="21"/>
                      <w:szCs w:val="21"/>
                    </w:rPr>
                  </w:pPr>
                  <w:r>
                    <w:rPr>
                      <w:rFonts w:cs="Times New Roman"/>
                      <w:sz w:val="21"/>
                      <w:szCs w:val="21"/>
                    </w:rPr>
                    <w:t>建筑施工场界环境噪声限值</w:t>
                  </w:r>
                </w:p>
              </w:tc>
              <w:tc>
                <w:tcPr>
                  <w:tcW w:w="2008" w:type="dxa"/>
                  <w:tcBorders>
                    <w:top w:val="single" w:color="auto" w:sz="6" w:space="0"/>
                    <w:left w:val="single" w:color="auto" w:sz="6" w:space="0"/>
                    <w:bottom w:val="single" w:color="auto" w:sz="6" w:space="0"/>
                    <w:right w:val="single" w:color="auto" w:sz="6" w:space="0"/>
                  </w:tcBorders>
                  <w:vAlign w:val="center"/>
                </w:tcPr>
                <w:p>
                  <w:pPr>
                    <w:spacing w:line="276" w:lineRule="auto"/>
                    <w:ind w:left="43"/>
                    <w:jc w:val="center"/>
                    <w:rPr>
                      <w:rFonts w:cs="Times New Roman"/>
                      <w:caps/>
                      <w:sz w:val="21"/>
                      <w:szCs w:val="21"/>
                    </w:rPr>
                  </w:pPr>
                  <w:r>
                    <w:rPr>
                      <w:rFonts w:cs="Times New Roman"/>
                      <w:caps/>
                      <w:sz w:val="21"/>
                      <w:szCs w:val="21"/>
                    </w:rPr>
                    <w:t>70</w:t>
                  </w:r>
                </w:p>
              </w:tc>
              <w:tc>
                <w:tcPr>
                  <w:tcW w:w="3181" w:type="dxa"/>
                  <w:tcBorders>
                    <w:top w:val="single" w:color="auto" w:sz="6" w:space="0"/>
                    <w:left w:val="single" w:color="auto" w:sz="6" w:space="0"/>
                    <w:bottom w:val="single" w:color="auto" w:sz="6" w:space="0"/>
                    <w:right w:val="single" w:color="auto" w:sz="6" w:space="0"/>
                  </w:tcBorders>
                  <w:vAlign w:val="center"/>
                </w:tcPr>
                <w:p>
                  <w:pPr>
                    <w:spacing w:line="276" w:lineRule="auto"/>
                    <w:jc w:val="center"/>
                    <w:rPr>
                      <w:rFonts w:cs="Times New Roman"/>
                      <w:caps/>
                      <w:sz w:val="21"/>
                      <w:szCs w:val="21"/>
                    </w:rPr>
                  </w:pPr>
                  <w:r>
                    <w:rPr>
                      <w:rFonts w:cs="Times New Roman"/>
                      <w:caps/>
                      <w:sz w:val="21"/>
                      <w:szCs w:val="21"/>
                    </w:rPr>
                    <w:t>55</w:t>
                  </w:r>
                </w:p>
              </w:tc>
            </w:tr>
          </w:tbl>
          <w:p>
            <w:pPr>
              <w:spacing w:line="480" w:lineRule="exact"/>
              <w:rPr>
                <w:rFonts w:cs="Times New Roman"/>
                <w:b/>
                <w:szCs w:val="24"/>
              </w:rPr>
            </w:pPr>
            <w:r>
              <w:rPr>
                <w:rFonts w:cs="Times New Roman"/>
                <w:b/>
                <w:szCs w:val="24"/>
              </w:rPr>
              <w:t>三、固体废弃物排放标准</w:t>
            </w:r>
          </w:p>
          <w:p>
            <w:pPr>
              <w:widowControl/>
              <w:adjustRightInd w:val="0"/>
              <w:snapToGrid w:val="0"/>
              <w:spacing w:line="480" w:lineRule="exact"/>
              <w:ind w:right="106" w:rightChars="44" w:firstLine="480" w:firstLineChars="200"/>
              <w:rPr>
                <w:rFonts w:cs="Times New Roman"/>
                <w:szCs w:val="24"/>
              </w:rPr>
            </w:pPr>
            <w:r>
              <w:rPr>
                <w:rFonts w:cs="Times New Roman"/>
                <w:szCs w:val="24"/>
              </w:rPr>
              <w:t>项目一般固废执行《一般工业固体</w:t>
            </w:r>
            <w:r>
              <w:rPr>
                <w:rFonts w:hint="eastAsia" w:cs="Times New Roman"/>
                <w:szCs w:val="24"/>
              </w:rPr>
              <w:t>物贮存</w:t>
            </w:r>
            <w:r>
              <w:rPr>
                <w:rFonts w:cs="Times New Roman"/>
                <w:szCs w:val="24"/>
              </w:rPr>
              <w:t>、处置场污染控制标准》（GB18599-2001）及修改清单相关标</w:t>
            </w:r>
            <w:r>
              <w:rPr>
                <w:rFonts w:hint="eastAsia" w:cs="Times New Roman"/>
                <w:szCs w:val="24"/>
              </w:rPr>
              <w:t>准</w:t>
            </w:r>
            <w:r>
              <w:rPr>
                <w:rFonts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pPr>
              <w:spacing w:line="400" w:lineRule="exact"/>
              <w:rPr>
                <w:rFonts w:cs="Times New Roman"/>
                <w:b/>
                <w:sz w:val="28"/>
                <w:szCs w:val="28"/>
              </w:rPr>
            </w:pPr>
            <w:r>
              <w:rPr>
                <w:rFonts w:cs="Times New Roman"/>
                <w:b/>
                <w:sz w:val="28"/>
                <w:szCs w:val="28"/>
              </w:rPr>
              <w:t>总</w:t>
            </w:r>
          </w:p>
          <w:p>
            <w:pPr>
              <w:spacing w:line="400" w:lineRule="exact"/>
              <w:rPr>
                <w:rFonts w:cs="Times New Roman"/>
                <w:b/>
                <w:sz w:val="28"/>
                <w:szCs w:val="28"/>
              </w:rPr>
            </w:pPr>
            <w:r>
              <w:rPr>
                <w:rFonts w:cs="Times New Roman"/>
                <w:b/>
                <w:sz w:val="28"/>
                <w:szCs w:val="28"/>
              </w:rPr>
              <w:t>量</w:t>
            </w:r>
          </w:p>
          <w:p>
            <w:pPr>
              <w:spacing w:line="400" w:lineRule="exact"/>
              <w:rPr>
                <w:rFonts w:cs="Times New Roman"/>
                <w:b/>
                <w:sz w:val="28"/>
                <w:szCs w:val="28"/>
              </w:rPr>
            </w:pPr>
            <w:r>
              <w:rPr>
                <w:rFonts w:cs="Times New Roman"/>
                <w:b/>
                <w:sz w:val="28"/>
                <w:szCs w:val="28"/>
              </w:rPr>
              <w:t>控</w:t>
            </w:r>
          </w:p>
          <w:p>
            <w:pPr>
              <w:spacing w:line="400" w:lineRule="exact"/>
              <w:rPr>
                <w:rFonts w:cs="Times New Roman"/>
                <w:b/>
                <w:sz w:val="28"/>
                <w:szCs w:val="28"/>
              </w:rPr>
            </w:pPr>
            <w:r>
              <w:rPr>
                <w:rFonts w:cs="Times New Roman"/>
                <w:b/>
                <w:sz w:val="28"/>
                <w:szCs w:val="28"/>
              </w:rPr>
              <w:t>制</w:t>
            </w:r>
          </w:p>
          <w:p>
            <w:pPr>
              <w:spacing w:line="400" w:lineRule="exact"/>
              <w:rPr>
                <w:rFonts w:cs="Times New Roman"/>
                <w:b/>
                <w:sz w:val="28"/>
                <w:szCs w:val="28"/>
              </w:rPr>
            </w:pPr>
            <w:r>
              <w:rPr>
                <w:rFonts w:cs="Times New Roman"/>
                <w:b/>
                <w:sz w:val="28"/>
                <w:szCs w:val="28"/>
              </w:rPr>
              <w:t>指</w:t>
            </w:r>
          </w:p>
          <w:p>
            <w:pPr>
              <w:spacing w:line="400" w:lineRule="exact"/>
              <w:rPr>
                <w:rFonts w:cs="Times New Roman"/>
              </w:rPr>
            </w:pPr>
            <w:r>
              <w:rPr>
                <w:rFonts w:cs="Times New Roman"/>
                <w:b/>
                <w:sz w:val="28"/>
                <w:szCs w:val="28"/>
              </w:rPr>
              <w:t>标</w:t>
            </w:r>
          </w:p>
        </w:tc>
        <w:tc>
          <w:tcPr>
            <w:tcW w:w="8541" w:type="dxa"/>
          </w:tcPr>
          <w:p>
            <w:pPr>
              <w:spacing w:line="480" w:lineRule="exact"/>
              <w:ind w:firstLine="480" w:firstLineChars="200"/>
              <w:rPr>
                <w:rFonts w:cs="Times New Roman"/>
                <w:bCs/>
              </w:rPr>
            </w:pPr>
            <w:r>
              <w:rPr>
                <w:rFonts w:hint="eastAsia" w:cs="Times New Roman"/>
                <w:bCs/>
              </w:rPr>
              <w:t>据国家总量控制因子的规定和工程污染物排放特征，本评价根据本项目的总体情况，本项目总量控制因子为</w:t>
            </w:r>
            <w:r>
              <w:rPr>
                <w:rFonts w:cs="Times New Roman"/>
                <w:bCs/>
              </w:rPr>
              <w:t>CODcr、NH</w:t>
            </w:r>
            <w:r>
              <w:rPr>
                <w:rFonts w:cs="Times New Roman"/>
                <w:bCs/>
                <w:vertAlign w:val="subscript"/>
              </w:rPr>
              <w:t>3</w:t>
            </w:r>
            <w:r>
              <w:rPr>
                <w:rFonts w:cs="Times New Roman"/>
                <w:bCs/>
              </w:rPr>
              <w:t>-N、TP、TN。本次环评建议总量控制指标如下</w:t>
            </w:r>
            <w:r>
              <w:rPr>
                <w:rFonts w:hint="eastAsia" w:cs="Times New Roman"/>
                <w:bCs/>
              </w:rPr>
              <w:t>：</w:t>
            </w:r>
          </w:p>
          <w:p>
            <w:pPr>
              <w:adjustRightInd w:val="0"/>
              <w:snapToGrid w:val="0"/>
              <w:spacing w:line="360" w:lineRule="auto"/>
              <w:ind w:firstLine="480" w:firstLineChars="200"/>
            </w:pPr>
            <w:r>
              <w:t>COD：100(m</w:t>
            </w:r>
            <w:r>
              <w:rPr>
                <w:vertAlign w:val="superscript"/>
              </w:rPr>
              <w:t>3</w:t>
            </w:r>
            <w:r>
              <w:t>/d)×60(mg/L)/1000×365(d)/1000=2.19(t/a)</w:t>
            </w:r>
            <w:r>
              <w:rPr>
                <w:rFonts w:hint="eastAsia"/>
              </w:rPr>
              <w:t>；</w:t>
            </w:r>
          </w:p>
          <w:p>
            <w:pPr>
              <w:adjustRightInd w:val="0"/>
              <w:snapToGrid w:val="0"/>
              <w:spacing w:line="360" w:lineRule="auto"/>
              <w:ind w:firstLine="480" w:firstLineChars="200"/>
            </w:pPr>
            <w:r>
              <w:rPr>
                <w:rFonts w:cs="Times New Roman"/>
                <w:szCs w:val="24"/>
              </w:rPr>
              <w:t>NH</w:t>
            </w:r>
            <w:r>
              <w:rPr>
                <w:rFonts w:cs="Times New Roman"/>
                <w:szCs w:val="24"/>
                <w:vertAlign w:val="subscript"/>
              </w:rPr>
              <w:t>3</w:t>
            </w:r>
            <w:r>
              <w:rPr>
                <w:rFonts w:cs="Times New Roman"/>
                <w:szCs w:val="24"/>
              </w:rPr>
              <w:t>-N：</w:t>
            </w:r>
            <w:r>
              <w:t>100 (m</w:t>
            </w:r>
            <w:r>
              <w:rPr>
                <w:vertAlign w:val="superscript"/>
              </w:rPr>
              <w:t>3</w:t>
            </w:r>
            <w:r>
              <w:t>/d)×8(mg/L)/1000×365(d)/1000=</w:t>
            </w:r>
            <w:r>
              <w:rPr>
                <w:rFonts w:hint="eastAsia"/>
              </w:rPr>
              <w:t>0.</w:t>
            </w:r>
            <w:r>
              <w:t>292 (t/a)</w:t>
            </w:r>
            <w:r>
              <w:rPr>
                <w:rFonts w:hint="eastAsia"/>
              </w:rPr>
              <w:t>；</w:t>
            </w:r>
          </w:p>
          <w:p>
            <w:pPr>
              <w:pStyle w:val="29"/>
              <w:spacing w:after="0" w:line="360" w:lineRule="auto"/>
              <w:ind w:left="0" w:leftChars="0" w:firstLine="480"/>
              <w:rPr>
                <w:sz w:val="24"/>
              </w:rPr>
            </w:pPr>
            <w:r>
              <w:rPr>
                <w:sz w:val="24"/>
              </w:rPr>
              <w:t>TP：</w:t>
            </w:r>
            <w:r>
              <w:t>100</w:t>
            </w:r>
            <w:r>
              <w:rPr>
                <w:sz w:val="24"/>
              </w:rPr>
              <w:t xml:space="preserve"> (m</w:t>
            </w:r>
            <w:r>
              <w:rPr>
                <w:sz w:val="24"/>
                <w:vertAlign w:val="superscript"/>
              </w:rPr>
              <w:t>3</w:t>
            </w:r>
            <w:r>
              <w:rPr>
                <w:sz w:val="24"/>
              </w:rPr>
              <w:t>/d)×1.5(mg/L)/1000×365(d)/1000=0.05475 (t/a)</w:t>
            </w:r>
            <w:r>
              <w:rPr>
                <w:rFonts w:hint="eastAsia"/>
                <w:sz w:val="24"/>
              </w:rPr>
              <w:t>；</w:t>
            </w:r>
          </w:p>
          <w:p>
            <w:pPr>
              <w:adjustRightInd w:val="0"/>
              <w:snapToGrid w:val="0"/>
              <w:spacing w:line="360" w:lineRule="auto"/>
              <w:ind w:firstLine="480" w:firstLineChars="200"/>
              <w:rPr>
                <w:rFonts w:cs="Times New Roman"/>
                <w:bCs/>
              </w:rPr>
            </w:pPr>
            <w:r>
              <w:t>TN：100 (m</w:t>
            </w:r>
            <w:r>
              <w:rPr>
                <w:vertAlign w:val="superscript"/>
              </w:rPr>
              <w:t>3</w:t>
            </w:r>
            <w:r>
              <w:t>/d)×20(mg/L)/1000×365(d)/1000=0.730 (t/a)</w:t>
            </w:r>
            <w:r>
              <w:rPr>
                <w:rFonts w:hint="eastAsia"/>
              </w:rPr>
              <w:t>。</w:t>
            </w: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p>
            <w:pPr>
              <w:spacing w:line="480" w:lineRule="exact"/>
              <w:ind w:firstLine="480" w:firstLineChars="200"/>
              <w:rPr>
                <w:rFonts w:cs="Times New Roman"/>
                <w:bCs/>
              </w:rPr>
            </w:pPr>
          </w:p>
        </w:tc>
      </w:tr>
    </w:tbl>
    <w:p>
      <w:pPr>
        <w:outlineLvl w:val="0"/>
        <w:rPr>
          <w:rFonts w:cs="Times New Roman"/>
          <w:b/>
          <w:sz w:val="30"/>
          <w:szCs w:val="30"/>
        </w:rPr>
        <w:sectPr>
          <w:footerReference r:id="rId6" w:type="default"/>
          <w:pgSz w:w="11906" w:h="16838"/>
          <w:pgMar w:top="1814" w:right="1673" w:bottom="1814" w:left="1673" w:header="851" w:footer="958" w:gutter="0"/>
          <w:pgNumType w:start="1"/>
          <w:cols w:space="720" w:num="1"/>
          <w:docGrid w:linePitch="312" w:charSpace="0"/>
        </w:sectPr>
      </w:pPr>
    </w:p>
    <w:p>
      <w:pPr>
        <w:outlineLvl w:val="0"/>
        <w:rPr>
          <w:rFonts w:cs="Times New Roman"/>
          <w:b/>
          <w:sz w:val="30"/>
          <w:szCs w:val="30"/>
        </w:rPr>
      </w:pPr>
      <w:r>
        <w:rPr>
          <w:rFonts w:cs="Times New Roman"/>
          <w:b/>
          <w:sz w:val="30"/>
          <w:szCs w:val="30"/>
        </w:rPr>
        <w:t>建设项目工程分析（表五）</w:t>
      </w:r>
    </w:p>
    <w:tbl>
      <w:tblPr>
        <w:tblStyle w:val="30"/>
        <w:tblW w:w="85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528" w:type="dxa"/>
            <w:tcBorders>
              <w:top w:val="single" w:color="auto" w:sz="4" w:space="0"/>
              <w:bottom w:val="single" w:color="auto" w:sz="4" w:space="0"/>
            </w:tcBorders>
          </w:tcPr>
          <w:p>
            <w:pPr>
              <w:spacing w:line="360" w:lineRule="auto"/>
              <w:rPr>
                <w:rFonts w:cs="Times New Roman"/>
                <w:b/>
                <w:sz w:val="28"/>
                <w:szCs w:val="28"/>
              </w:rPr>
            </w:pPr>
            <w:r>
              <w:rPr>
                <w:rFonts w:cs="Times New Roman"/>
                <w:b/>
                <w:sz w:val="28"/>
                <w:szCs w:val="28"/>
              </w:rPr>
              <w:t>一、工艺流程简述</w:t>
            </w:r>
          </w:p>
          <w:p>
            <w:pPr>
              <w:spacing w:line="360" w:lineRule="auto"/>
              <w:ind w:firstLine="480" w:firstLineChars="200"/>
              <w:rPr>
                <w:rFonts w:cs="Times New Roman"/>
              </w:rPr>
            </w:pPr>
            <w:r>
              <w:rPr>
                <w:rFonts w:cs="Times New Roman"/>
              </w:rPr>
              <w:t>项目建设分为施工期和营运期，按照环境影响评价技术导则要求，本报告分别对项目施工期和营运期进行评价</w:t>
            </w:r>
            <w:r>
              <w:rPr>
                <w:rFonts w:hint="eastAsia" w:cs="Times New Roman"/>
              </w:rPr>
              <w:t>。</w:t>
            </w:r>
          </w:p>
          <w:p>
            <w:pPr>
              <w:spacing w:line="360" w:lineRule="auto"/>
              <w:ind w:firstLine="482"/>
              <w:rPr>
                <w:rFonts w:cs="Times New Roman"/>
                <w:b/>
                <w:szCs w:val="24"/>
              </w:rPr>
            </w:pPr>
            <w:r>
              <w:rPr>
                <w:rFonts w:cs="Times New Roman"/>
                <w:b/>
                <w:szCs w:val="24"/>
              </w:rPr>
              <w:t>（一）施工期</w:t>
            </w:r>
          </w:p>
          <w:p>
            <w:pPr>
              <w:spacing w:line="360" w:lineRule="auto"/>
              <w:ind w:firstLine="482"/>
              <w:rPr>
                <w:rFonts w:cs="Times New Roman"/>
                <w:b/>
                <w:bCs/>
              </w:rPr>
            </w:pPr>
            <w:r>
              <w:rPr>
                <w:rFonts w:hint="eastAsia" w:cs="Times New Roman"/>
                <w:b/>
                <w:bCs/>
              </w:rPr>
              <w:t>1、污水处理站施工期工艺流程</w:t>
            </w:r>
          </w:p>
          <w:p>
            <w:pPr>
              <w:spacing w:line="360" w:lineRule="auto"/>
              <w:ind w:firstLine="480" w:firstLineChars="200"/>
              <w:rPr>
                <w:rFonts w:cs="Times New Roman"/>
              </w:rPr>
            </w:pPr>
            <w:r>
              <w:rPr>
                <w:rFonts w:hint="eastAsia" w:cs="Times New Roman"/>
              </w:rPr>
              <w:t>本项目属于新建项目，污水处理厂建设施工期间主要涉及场地平整及表土收集、基础工程、主体工程设备安装等工程，建设过程将产生扬尘、废气、施工废水、生活污水、噪声、固体废物等污染物。工程从施工至交付使用的基本建设流程及产污位置如下图所示</w:t>
            </w:r>
            <w:r>
              <w:rPr>
                <w:rFonts w:cs="Times New Roman"/>
              </w:rPr>
              <w:t>。</w:t>
            </w:r>
          </w:p>
          <w:p>
            <w:pPr>
              <w:spacing w:line="360" w:lineRule="auto"/>
              <w:jc w:val="center"/>
              <w:rPr>
                <w:rFonts w:cs="Times New Roman"/>
              </w:rPr>
            </w:pPr>
            <w:r>
              <w:drawing>
                <wp:inline distT="0" distB="0" distL="0" distR="0">
                  <wp:extent cx="5026025" cy="1809750"/>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stretch>
                            <a:fillRect/>
                          </a:stretch>
                        </pic:blipFill>
                        <pic:spPr>
                          <a:xfrm>
                            <a:off x="0" y="0"/>
                            <a:ext cx="5026025" cy="1809750"/>
                          </a:xfrm>
                          <a:prstGeom prst="rect">
                            <a:avLst/>
                          </a:prstGeom>
                        </pic:spPr>
                      </pic:pic>
                    </a:graphicData>
                  </a:graphic>
                </wp:inline>
              </w:drawing>
            </w:r>
          </w:p>
          <w:p>
            <w:pPr>
              <w:pStyle w:val="12"/>
              <w:ind w:firstLine="482"/>
              <w:jc w:val="center"/>
              <w:rPr>
                <w:rFonts w:ascii="宋体" w:hAnsi="宋体"/>
                <w:b/>
                <w:szCs w:val="21"/>
              </w:rPr>
            </w:pPr>
            <w:r>
              <w:rPr>
                <w:rFonts w:hint="eastAsia" w:ascii="宋体" w:hAnsi="宋体"/>
                <w:b/>
                <w:szCs w:val="21"/>
              </w:rPr>
              <w:t>图</w:t>
            </w:r>
            <w:r>
              <w:rPr>
                <w:rFonts w:hint="eastAsia"/>
                <w:b/>
                <w:szCs w:val="21"/>
              </w:rPr>
              <w:t>5</w:t>
            </w:r>
            <w:r>
              <w:rPr>
                <w:rFonts w:hint="eastAsia" w:ascii="宋体" w:hAnsi="宋体"/>
                <w:b/>
                <w:szCs w:val="21"/>
              </w:rPr>
              <w:t>-</w:t>
            </w:r>
            <w:r>
              <w:rPr>
                <w:rFonts w:hint="eastAsia"/>
                <w:b/>
                <w:szCs w:val="21"/>
              </w:rPr>
              <w:t>1</w:t>
            </w:r>
            <w:r>
              <w:rPr>
                <w:b/>
                <w:szCs w:val="21"/>
              </w:rPr>
              <w:t xml:space="preserve"> </w:t>
            </w:r>
            <w:r>
              <w:rPr>
                <w:rFonts w:hint="eastAsia"/>
                <w:b/>
                <w:szCs w:val="21"/>
              </w:rPr>
              <w:t>污水处理站</w:t>
            </w:r>
            <w:r>
              <w:rPr>
                <w:rFonts w:hint="eastAsia" w:ascii="宋体" w:hAnsi="宋体"/>
                <w:b/>
                <w:szCs w:val="21"/>
              </w:rPr>
              <w:t>施工期工艺流程及产污位置图</w:t>
            </w:r>
          </w:p>
          <w:p>
            <w:pPr>
              <w:spacing w:line="360" w:lineRule="auto"/>
              <w:ind w:firstLine="482"/>
              <w:rPr>
                <w:rFonts w:cs="Times New Roman"/>
                <w:b/>
                <w:bCs/>
              </w:rPr>
            </w:pPr>
            <w:r>
              <w:rPr>
                <w:rFonts w:cs="Times New Roman"/>
                <w:b/>
                <w:bCs/>
              </w:rPr>
              <w:t>2</w:t>
            </w:r>
            <w:r>
              <w:rPr>
                <w:rFonts w:hint="eastAsia" w:cs="Times New Roman"/>
                <w:b/>
                <w:bCs/>
              </w:rPr>
              <w:t>、</w:t>
            </w:r>
            <w:r>
              <w:rPr>
                <w:rFonts w:cs="Times New Roman"/>
                <w:b/>
                <w:bCs/>
              </w:rPr>
              <w:t>管网工程施工期工艺流程</w:t>
            </w:r>
          </w:p>
          <w:p>
            <w:pPr>
              <w:pStyle w:val="12"/>
              <w:ind w:firstLine="480"/>
              <w:rPr>
                <w:rFonts w:cs="Times New Roman"/>
              </w:rPr>
            </w:pPr>
            <w:r>
              <w:rPr>
                <w:rFonts w:hint="eastAsia" w:cs="Times New Roman"/>
              </w:rPr>
              <w:t>污水收集干管施工首先根据管网走向对表面覆盖物进行清除，然后根据设计的管道埋深进行沟槽开挖，将开挖后的土方临时堆放在管线两侧，管沟开挖完成后将成品管道通过机械设备放入开挖的沟槽内连接，然后进行试压，试压合格后将开挖的土方进行回填，并对地表进行绿化恢复等。项目管道施工涉及1处0</w:t>
            </w:r>
            <w:r>
              <w:rPr>
                <w:rFonts w:cs="Times New Roman"/>
              </w:rPr>
              <w:t>11</w:t>
            </w:r>
            <w:r>
              <w:rPr>
                <w:rFonts w:hint="eastAsia" w:cs="Times New Roman"/>
              </w:rPr>
              <w:t>乡道穿越，采取破道穿越，本项目不穿越成昆铁路，河流。管网工程施工期对环境造成的不利影响，表现为工程开挖对现有路面、当地植被等生态环境的影响，以及由于施工期车辆行驶噪声、汽车尾气和施工期噪声、施工产生的路面扬尘、工程现场形成的对沿线环境景观破坏的影响。施工期建设流程及产污位置如下图所示。</w:t>
            </w:r>
          </w:p>
          <w:p>
            <w:pPr>
              <w:pStyle w:val="12"/>
              <w:ind w:firstLine="482"/>
              <w:rPr>
                <w:rFonts w:ascii="宋体" w:hAnsi="宋体"/>
                <w:b/>
                <w:szCs w:val="21"/>
              </w:rPr>
            </w:pPr>
          </w:p>
          <w:p>
            <w:pPr>
              <w:jc w:val="center"/>
              <w:rPr>
                <w:rFonts w:ascii="宋体" w:hAnsi="宋体"/>
              </w:rPr>
            </w:pPr>
            <w:r>
              <w:drawing>
                <wp:inline distT="0" distB="0" distL="0" distR="0">
                  <wp:extent cx="5095875" cy="852805"/>
                  <wp:effectExtent l="0" t="0" r="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5"/>
                          <a:stretch>
                            <a:fillRect/>
                          </a:stretch>
                        </pic:blipFill>
                        <pic:spPr>
                          <a:xfrm>
                            <a:off x="0" y="0"/>
                            <a:ext cx="5120601" cy="857222"/>
                          </a:xfrm>
                          <a:prstGeom prst="rect">
                            <a:avLst/>
                          </a:prstGeom>
                        </pic:spPr>
                      </pic:pic>
                    </a:graphicData>
                  </a:graphic>
                </wp:inline>
              </w:drawing>
            </w:r>
          </w:p>
          <w:p>
            <w:pPr>
              <w:pStyle w:val="12"/>
              <w:ind w:firstLine="482"/>
              <w:jc w:val="center"/>
              <w:rPr>
                <w:b/>
                <w:szCs w:val="21"/>
              </w:rPr>
            </w:pPr>
            <w:r>
              <w:rPr>
                <w:rFonts w:hAnsi="宋体"/>
                <w:b/>
                <w:szCs w:val="21"/>
              </w:rPr>
              <w:t>图</w:t>
            </w:r>
            <w:r>
              <w:rPr>
                <w:b/>
                <w:szCs w:val="21"/>
              </w:rPr>
              <w:t xml:space="preserve">5-2 </w:t>
            </w:r>
            <w:r>
              <w:rPr>
                <w:rFonts w:hint="eastAsia" w:hAnsi="宋体"/>
                <w:b/>
                <w:szCs w:val="21"/>
              </w:rPr>
              <w:t>管网</w:t>
            </w:r>
            <w:r>
              <w:rPr>
                <w:rFonts w:hAnsi="宋体"/>
                <w:b/>
                <w:szCs w:val="21"/>
              </w:rPr>
              <w:t>工程工艺流程及产污位置图</w:t>
            </w:r>
          </w:p>
          <w:p>
            <w:pPr>
              <w:pStyle w:val="85"/>
              <w:snapToGrid w:val="0"/>
              <w:ind w:firstLine="480" w:firstLineChars="200"/>
              <w:rPr>
                <w:rFonts w:ascii="Times New Roman" w:hAnsi="Times New Roman" w:cs="Times New Roman"/>
                <w:kern w:val="2"/>
                <w:szCs w:val="24"/>
              </w:rPr>
            </w:pPr>
            <w:r>
              <w:rPr>
                <w:rFonts w:hint="eastAsia" w:ascii="Times New Roman" w:hAnsi="Times New Roman" w:cs="Times New Roman"/>
                <w:kern w:val="2"/>
                <w:szCs w:val="24"/>
              </w:rPr>
              <w:t>管网铺设施工方案介绍如下：</w:t>
            </w:r>
          </w:p>
          <w:p>
            <w:pPr>
              <w:pStyle w:val="85"/>
              <w:snapToGrid w:val="0"/>
              <w:ind w:firstLine="480"/>
              <w:rPr>
                <w:rFonts w:ascii="Times New Roman" w:hAnsi="Times New Roman" w:cs="Times New Roman"/>
                <w:kern w:val="2"/>
                <w:szCs w:val="24"/>
              </w:rPr>
            </w:pPr>
            <w:r>
              <w:rPr>
                <w:rFonts w:hint="eastAsia" w:ascii="Times New Roman" w:hAnsi="Times New Roman" w:cs="Times New Roman"/>
                <w:kern w:val="2"/>
                <w:szCs w:val="24"/>
              </w:rPr>
              <w:t>（1）管道材料的选择</w:t>
            </w:r>
          </w:p>
          <w:p>
            <w:pPr>
              <w:spacing w:line="360" w:lineRule="auto"/>
              <w:ind w:firstLine="480" w:firstLineChars="200"/>
              <w:rPr>
                <w:rFonts w:cs="Times New Roman"/>
              </w:rPr>
            </w:pPr>
            <w:r>
              <w:rPr>
                <w:rFonts w:cs="Times New Roman"/>
              </w:rPr>
              <w:t>管道材料的选择必须考虑管道运输的方便性，施工的难易程度，管材刚度和强度满足工程要求和工程投资等综合因素</w:t>
            </w:r>
            <w:r>
              <w:rPr>
                <w:rFonts w:hint="eastAsia" w:cs="Times New Roman"/>
              </w:rPr>
              <w:t>。</w:t>
            </w:r>
            <w:r>
              <w:rPr>
                <w:rFonts w:cs="Times New Roman"/>
              </w:rPr>
              <w:t>目前，排水工程常用重力流主要管道材料一般有以下几种：钢筋混混凝土圆管；HDPE双壁波纹管；U-PVC管(硬聚氯乙烯缠绕管)；焊接钢管</w:t>
            </w:r>
            <w:r>
              <w:rPr>
                <w:rFonts w:hint="eastAsia" w:cs="Times New Roman"/>
              </w:rPr>
              <w:t>。</w:t>
            </w:r>
          </w:p>
          <w:p>
            <w:pPr>
              <w:spacing w:line="360" w:lineRule="auto"/>
              <w:ind w:firstLine="480" w:firstLineChars="200"/>
              <w:rPr>
                <w:rFonts w:cs="Times New Roman"/>
              </w:rPr>
            </w:pPr>
            <w:r>
              <w:rPr>
                <w:rFonts w:cs="Times New Roman"/>
              </w:rPr>
              <w:t>U-PVC聚氯乙烯缠绕管和HDPE双壁波纹管在水力性、施工难易和抗震性等方面，具有很大的优势，但从管材单价和综合造价来看，承插接口钢筋砼排水管是最低的。综上所述，本项目管道沿线地形变化较大，为了保证排水安全，同时方便管道施工、加快工期，采用HDPE双壁波纹管</w:t>
            </w:r>
            <w:r>
              <w:rPr>
                <w:rFonts w:hint="eastAsia" w:cs="Times New Roman"/>
              </w:rPr>
              <w:t>与</w:t>
            </w:r>
            <w:r>
              <w:rPr>
                <w:rFonts w:cs="Times New Roman"/>
              </w:rPr>
              <w:t>焊接钢管</w:t>
            </w:r>
            <w:r>
              <w:rPr>
                <w:rFonts w:hint="eastAsia" w:cs="Times New Roman"/>
              </w:rPr>
              <w:t>。</w:t>
            </w:r>
          </w:p>
          <w:p>
            <w:pPr>
              <w:pStyle w:val="85"/>
              <w:snapToGrid w:val="0"/>
              <w:ind w:firstLine="480" w:firstLineChars="200"/>
              <w:rPr>
                <w:rFonts w:ascii="Times New Roman" w:hAnsi="Times New Roman" w:cs="Times New Roman"/>
                <w:kern w:val="2"/>
                <w:szCs w:val="24"/>
              </w:rPr>
            </w:pPr>
            <w:r>
              <w:rPr>
                <w:rFonts w:hint="eastAsia" w:ascii="Times New Roman" w:hAnsi="Times New Roman" w:cs="Times New Roman"/>
                <w:kern w:val="2"/>
                <w:szCs w:val="24"/>
              </w:rPr>
              <w:t>（</w:t>
            </w:r>
            <w:r>
              <w:rPr>
                <w:rFonts w:ascii="Times New Roman" w:hAnsi="Times New Roman" w:cs="Times New Roman"/>
                <w:kern w:val="2"/>
                <w:szCs w:val="24"/>
              </w:rPr>
              <w:t>2</w:t>
            </w:r>
            <w:r>
              <w:rPr>
                <w:rFonts w:hint="eastAsia" w:ascii="Times New Roman" w:hAnsi="Times New Roman" w:cs="Times New Roman"/>
                <w:kern w:val="2"/>
                <w:szCs w:val="24"/>
              </w:rPr>
              <w:t>）</w:t>
            </w:r>
            <w:r>
              <w:rPr>
                <w:rFonts w:ascii="Times New Roman" w:hAnsi="Times New Roman" w:cs="Times New Roman"/>
                <w:kern w:val="2"/>
                <w:szCs w:val="24"/>
              </w:rPr>
              <w:t>干管设计</w:t>
            </w:r>
          </w:p>
          <w:p>
            <w:pPr>
              <w:spacing w:line="360" w:lineRule="auto"/>
              <w:ind w:firstLine="480" w:firstLineChars="200"/>
              <w:rPr>
                <w:rFonts w:cs="Times New Roman"/>
                <w:szCs w:val="24"/>
              </w:rPr>
            </w:pPr>
            <w:r>
              <w:rPr>
                <w:rFonts w:cs="Times New Roman"/>
              </w:rPr>
              <w:t>管道设计充满度、最小坡度按《室外排水设计规范》50014-2006（2016年版）确定。根据现场勘查，本项目三个片区水收集区域都存在一定的自然坡降，故管道可采用重力直接接入污水处理站或雨水管网。沿途设置检查井，在需要管道支墩</w:t>
            </w:r>
            <w:r>
              <w:rPr>
                <w:rFonts w:cs="Times New Roman"/>
                <w:szCs w:val="24"/>
              </w:rPr>
              <w:t>处设置支墩，支墩采用850mm×850mm的形式。</w:t>
            </w:r>
          </w:p>
          <w:p>
            <w:pPr>
              <w:pStyle w:val="85"/>
              <w:snapToGrid w:val="0"/>
              <w:ind w:firstLine="480" w:firstLineChars="200"/>
              <w:rPr>
                <w:rFonts w:ascii="Times New Roman" w:hAnsi="Times New Roman" w:cs="Times New Roman"/>
                <w:kern w:val="2"/>
                <w:szCs w:val="24"/>
              </w:rPr>
            </w:pPr>
            <w:r>
              <w:rPr>
                <w:rFonts w:hint="eastAsia" w:ascii="Times New Roman" w:hAnsi="Times New Roman" w:cs="Times New Roman"/>
                <w:kern w:val="2"/>
                <w:szCs w:val="24"/>
              </w:rPr>
              <w:t>（</w:t>
            </w:r>
            <w:r>
              <w:rPr>
                <w:rFonts w:ascii="Times New Roman" w:hAnsi="Times New Roman" w:cs="Times New Roman"/>
                <w:kern w:val="2"/>
                <w:szCs w:val="24"/>
              </w:rPr>
              <w:t>3</w:t>
            </w:r>
            <w:r>
              <w:rPr>
                <w:rFonts w:hint="eastAsia" w:ascii="Times New Roman" w:hAnsi="Times New Roman" w:cs="Times New Roman"/>
                <w:kern w:val="2"/>
                <w:szCs w:val="24"/>
              </w:rPr>
              <w:t>）</w:t>
            </w:r>
            <w:r>
              <w:rPr>
                <w:rFonts w:ascii="Times New Roman" w:hAnsi="Times New Roman" w:cs="Times New Roman"/>
                <w:kern w:val="2"/>
                <w:szCs w:val="24"/>
              </w:rPr>
              <w:t>检查井</w:t>
            </w:r>
          </w:p>
          <w:p>
            <w:pPr>
              <w:spacing w:line="360" w:lineRule="auto"/>
              <w:ind w:firstLine="480" w:firstLineChars="200"/>
              <w:rPr>
                <w:rFonts w:cs="Times New Roman"/>
              </w:rPr>
            </w:pPr>
            <w:r>
              <w:rPr>
                <w:rFonts w:cs="Times New Roman"/>
              </w:rPr>
              <w:t>根据《室外排水设计规范》（GB50014-2006）（2016年版），截污干管在管道交汇处、转弯处、管径或坡度改变处、迭水处以及直线管段上每隔40米设置检查井。本工程的检查井按此规范进行设计。经过估算，本工程老人民医院片区需设置检查井约30座，井径D1000；马嘶溪火车站片区需设置检查井约88座，井径D1000，经营所片区需设置检查井约7座，井径D700。</w:t>
            </w:r>
          </w:p>
          <w:p>
            <w:pPr>
              <w:spacing w:line="360" w:lineRule="auto"/>
              <w:ind w:firstLine="480" w:firstLineChars="200"/>
              <w:rPr>
                <w:rFonts w:cs="Times New Roman"/>
              </w:rPr>
            </w:pPr>
            <w:r>
              <w:rPr>
                <w:rFonts w:hint="eastAsia" w:cs="Times New Roman"/>
              </w:rPr>
              <w:t>项目为污水处理站建设及管网工程，施工工期较短。项目污水处理站建设及管网工程同步进行。</w:t>
            </w:r>
          </w:p>
          <w:p>
            <w:pPr>
              <w:spacing w:line="276" w:lineRule="auto"/>
              <w:ind w:firstLine="482" w:firstLineChars="200"/>
              <w:rPr>
                <w:rFonts w:cs="Times New Roman"/>
                <w:b/>
                <w:bCs/>
                <w:szCs w:val="24"/>
              </w:rPr>
            </w:pPr>
            <w:r>
              <w:rPr>
                <w:rFonts w:cs="Times New Roman"/>
                <w:b/>
                <w:bCs/>
                <w:szCs w:val="24"/>
              </w:rPr>
              <w:t>（</w:t>
            </w:r>
            <w:r>
              <w:rPr>
                <w:rFonts w:hint="eastAsia" w:cs="Times New Roman"/>
                <w:b/>
                <w:bCs/>
                <w:szCs w:val="24"/>
              </w:rPr>
              <w:t>二</w:t>
            </w:r>
            <w:r>
              <w:rPr>
                <w:rFonts w:cs="Times New Roman"/>
                <w:b/>
                <w:bCs/>
                <w:szCs w:val="24"/>
              </w:rPr>
              <w:t>）</w:t>
            </w:r>
            <w:r>
              <w:rPr>
                <w:rFonts w:hint="eastAsia" w:cs="Times New Roman"/>
                <w:b/>
                <w:bCs/>
                <w:szCs w:val="24"/>
              </w:rPr>
              <w:t>运营期</w:t>
            </w:r>
          </w:p>
          <w:p>
            <w:pPr>
              <w:jc w:val="center"/>
              <w:rPr>
                <w:rFonts w:eastAsia="仿宋"/>
              </w:rPr>
            </w:pPr>
            <w:r>
              <w:drawing>
                <wp:inline distT="0" distB="0" distL="0" distR="0">
                  <wp:extent cx="3618865" cy="420941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6"/>
                          <a:stretch>
                            <a:fillRect/>
                          </a:stretch>
                        </pic:blipFill>
                        <pic:spPr>
                          <a:xfrm>
                            <a:off x="0" y="0"/>
                            <a:ext cx="3619048" cy="4209524"/>
                          </a:xfrm>
                          <a:prstGeom prst="rect">
                            <a:avLst/>
                          </a:prstGeom>
                        </pic:spPr>
                      </pic:pic>
                    </a:graphicData>
                  </a:graphic>
                </wp:inline>
              </w:drawing>
            </w:r>
          </w:p>
          <w:p>
            <w:pPr>
              <w:pStyle w:val="12"/>
              <w:ind w:firstLine="482"/>
              <w:jc w:val="center"/>
              <w:rPr>
                <w:b/>
                <w:szCs w:val="21"/>
              </w:rPr>
            </w:pPr>
            <w:r>
              <w:rPr>
                <w:rFonts w:hAnsi="宋体"/>
                <w:b/>
                <w:szCs w:val="21"/>
              </w:rPr>
              <w:t>图</w:t>
            </w:r>
            <w:r>
              <w:rPr>
                <w:b/>
                <w:szCs w:val="21"/>
              </w:rPr>
              <w:t xml:space="preserve">5-3 </w:t>
            </w:r>
            <w:r>
              <w:rPr>
                <w:rFonts w:hint="eastAsia"/>
                <w:b/>
                <w:szCs w:val="21"/>
              </w:rPr>
              <w:t>污水处理站</w:t>
            </w:r>
            <w:r>
              <w:rPr>
                <w:rFonts w:hAnsi="宋体"/>
                <w:b/>
                <w:szCs w:val="21"/>
              </w:rPr>
              <w:t>工艺流程及产污位置图</w:t>
            </w:r>
          </w:p>
          <w:p>
            <w:pPr>
              <w:spacing w:line="360" w:lineRule="auto"/>
              <w:ind w:firstLine="422" w:firstLineChars="176"/>
              <w:rPr>
                <w:rFonts w:cs="Times New Roman"/>
                <w:szCs w:val="24"/>
              </w:rPr>
            </w:pPr>
            <w:r>
              <w:rPr>
                <w:rFonts w:hint="eastAsia" w:cs="Times New Roman"/>
                <w:szCs w:val="24"/>
              </w:rPr>
              <w:t>工艺流程简述：</w:t>
            </w:r>
          </w:p>
          <w:p>
            <w:pPr>
              <w:spacing w:line="360" w:lineRule="auto"/>
              <w:ind w:firstLine="540"/>
              <w:rPr>
                <w:rFonts w:cs="Times New Roman"/>
              </w:rPr>
            </w:pPr>
            <w:r>
              <w:rPr>
                <w:rFonts w:hint="eastAsia" w:cs="Times New Roman"/>
              </w:rPr>
              <w:t>1）格栅、调节池：</w:t>
            </w:r>
            <w:r>
              <w:rPr>
                <w:rFonts w:cs="Times New Roman"/>
              </w:rPr>
              <w:t>为了节约用地及生产管理方便，考虑将格栅渠、调节池合建</w:t>
            </w:r>
            <w:r>
              <w:rPr>
                <w:rFonts w:hint="eastAsia" w:cs="Times New Roman"/>
              </w:rPr>
              <w:t>。格栅用于截留水中的漂浮、悬浮杂物，降低后续处理设施出现堵塞、设备磨损的几率。</w:t>
            </w:r>
            <w:r>
              <w:rPr>
                <w:rFonts w:cs="Times New Roman"/>
              </w:rPr>
              <w:t>调节池的作用主要起到调节水质、水量、均质化水质的作用，内置</w:t>
            </w:r>
            <w:r>
              <w:rPr>
                <w:rFonts w:hint="eastAsia" w:cs="Times New Roman"/>
              </w:rPr>
              <w:t>污水泵和浮球液位计，通过液位的高低进行污水泵的起停，达到自动化控制的要求。调节池内的污水经潜污泵提升至</w:t>
            </w:r>
            <w:r>
              <w:rPr>
                <w:rFonts w:cs="Times New Roman"/>
              </w:rPr>
              <w:t>MBR</w:t>
            </w:r>
            <w:r>
              <w:rPr>
                <w:rFonts w:hint="eastAsia" w:cs="Times New Roman"/>
              </w:rPr>
              <w:t>一体化设备</w:t>
            </w:r>
            <w:r>
              <w:rPr>
                <w:rFonts w:cs="Times New Roman"/>
              </w:rPr>
              <w:t>。</w:t>
            </w:r>
          </w:p>
          <w:p>
            <w:pPr>
              <w:snapToGrid w:val="0"/>
              <w:spacing w:line="360" w:lineRule="auto"/>
              <w:ind w:firstLine="480" w:firstLineChars="200"/>
              <w:rPr>
                <w:rFonts w:cs="Times New Roman"/>
              </w:rPr>
            </w:pPr>
            <w:r>
              <w:rPr>
                <w:rFonts w:hint="eastAsia" w:cs="Times New Roman"/>
              </w:rPr>
              <w:t>2）</w:t>
            </w:r>
            <w:r>
              <w:rPr>
                <w:rFonts w:cs="Times New Roman"/>
              </w:rPr>
              <w:t>MBR</w:t>
            </w:r>
            <w:r>
              <w:rPr>
                <w:rFonts w:hint="eastAsia" w:cs="Times New Roman"/>
              </w:rPr>
              <w:t>一体化设备</w:t>
            </w:r>
            <w:r>
              <w:rPr>
                <w:rFonts w:hint="eastAsia"/>
              </w:rPr>
              <w:t>：</w:t>
            </w:r>
            <w:r>
              <w:rPr>
                <w:rFonts w:hint="eastAsia" w:cs="Times New Roman"/>
              </w:rPr>
              <w:t>采用“</w:t>
            </w:r>
            <w:r>
              <w:rPr>
                <w:rFonts w:cs="Times New Roman"/>
              </w:rPr>
              <w:t>A/O+MBR膜</w:t>
            </w:r>
            <w:r>
              <w:rPr>
                <w:rFonts w:hint="eastAsia" w:cs="Times New Roman"/>
              </w:rPr>
              <w:t>一体化污水处理工艺</w:t>
            </w:r>
            <w:r>
              <w:rPr>
                <w:rFonts w:cs="Times New Roman"/>
              </w:rPr>
              <w:t>”</w:t>
            </w:r>
            <w:r>
              <w:rPr>
                <w:rFonts w:hint="eastAsia" w:cs="Times New Roman"/>
              </w:rPr>
              <w:t>。</w:t>
            </w:r>
            <w:r>
              <w:rPr>
                <w:rFonts w:cs="Times New Roman"/>
              </w:rPr>
              <w:t>A/O+MBR膜一体化污水处理设备分为</w:t>
            </w:r>
            <w:r>
              <w:rPr>
                <w:rFonts w:hint="eastAsia" w:cs="Times New Roman"/>
              </w:rPr>
              <w:t>缺</w:t>
            </w:r>
            <w:r>
              <w:rPr>
                <w:rFonts w:cs="Times New Roman"/>
              </w:rPr>
              <w:t>氧区、好氧区、生物过滤区、沉淀消毒区和设备间共五个部分，每个区域分隔独立。</w:t>
            </w:r>
          </w:p>
          <w:p>
            <w:pPr>
              <w:snapToGrid w:val="0"/>
              <w:spacing w:line="360" w:lineRule="auto"/>
              <w:ind w:firstLine="480" w:firstLineChars="200"/>
              <w:rPr>
                <w:rFonts w:cs="Times New Roman"/>
              </w:rPr>
            </w:pPr>
            <w:r>
              <w:rPr>
                <w:rFonts w:cs="Times New Roman"/>
              </w:rPr>
              <w:t>缺氧反应区能够去除部分有机物（COD</w:t>
            </w:r>
            <w:r>
              <w:rPr>
                <w:rFonts w:cs="Times New Roman"/>
                <w:vertAlign w:val="subscript"/>
              </w:rPr>
              <w:t>Cr</w:t>
            </w:r>
            <w:r>
              <w:rPr>
                <w:rFonts w:cs="Times New Roman"/>
              </w:rPr>
              <w:t>）和硝酸盐氮（NO</w:t>
            </w:r>
            <w:r>
              <w:rPr>
                <w:rFonts w:cs="Times New Roman"/>
                <w:vertAlign w:val="subscript"/>
              </w:rPr>
              <w:t>3</w:t>
            </w:r>
            <w:r>
              <w:rPr>
                <w:rFonts w:cs="Times New Roman"/>
              </w:rPr>
              <w:t>-N），化学除磷装置去除污水总磷，好氧区进一步去除有机污染物、氨氮等目标污染物；过滤区去除SS，沉淀区进行活性污泥与处理后出水的分离</w:t>
            </w:r>
            <w:r>
              <w:rPr>
                <w:rFonts w:hint="eastAsia" w:cs="Times New Roman"/>
              </w:rPr>
              <w:t>，</w:t>
            </w:r>
            <w:r>
              <w:rPr>
                <w:rFonts w:cs="Times New Roman"/>
              </w:rPr>
              <w:t>出水经消毒处理后达标排放</w:t>
            </w:r>
            <w:r>
              <w:rPr>
                <w:rFonts w:hint="eastAsia" w:cs="Times New Roman"/>
              </w:rPr>
              <w:t>。通过紫外线消毒，紫外线对微生物的遗传物质</w:t>
            </w:r>
            <w:r>
              <w:rPr>
                <w:rFonts w:cs="Times New Roman"/>
              </w:rPr>
              <w:t>(即DNA)有畸变作用，在吸收</w:t>
            </w:r>
            <w:r>
              <w:rPr>
                <w:rFonts w:hint="eastAsia" w:cs="Times New Roman"/>
              </w:rPr>
              <w:t>了一</w:t>
            </w:r>
            <w:r>
              <w:rPr>
                <w:rFonts w:cs="Times New Roman"/>
              </w:rPr>
              <w:t>定剂量的紫外线后，DNA的结合键断裂，细胞失去活力，无法进行繁殖，细菌</w:t>
            </w:r>
            <w:r>
              <w:rPr>
                <w:rFonts w:hint="eastAsia" w:cs="Times New Roman"/>
              </w:rPr>
              <w:t>数量大幅度减少，达到灭菌的目的。</w:t>
            </w:r>
          </w:p>
          <w:p>
            <w:pPr>
              <w:spacing w:line="360" w:lineRule="auto"/>
              <w:ind w:firstLine="422" w:firstLineChars="176"/>
              <w:rPr>
                <w:rFonts w:cs="Times New Roman"/>
                <w:szCs w:val="24"/>
              </w:rPr>
            </w:pPr>
            <w:r>
              <w:rPr>
                <w:rFonts w:cs="Times New Roman"/>
                <w:szCs w:val="24"/>
              </w:rPr>
              <w:t>3</w:t>
            </w:r>
            <w:r>
              <w:rPr>
                <w:rFonts w:hint="eastAsia" w:cs="Times New Roman"/>
              </w:rPr>
              <w:t>）</w:t>
            </w:r>
            <w:r>
              <w:rPr>
                <w:rFonts w:hint="eastAsia" w:cs="Times New Roman"/>
                <w:szCs w:val="24"/>
              </w:rPr>
              <w:t>污泥处理：</w:t>
            </w:r>
            <w:r>
              <w:rPr>
                <w:rFonts w:cs="Times New Roman"/>
              </w:rPr>
              <w:t>MBR</w:t>
            </w:r>
            <w:r>
              <w:rPr>
                <w:rFonts w:hint="eastAsia" w:cs="Times New Roman"/>
              </w:rPr>
              <w:t>一体化设备产生的污泥，一部分回流至生化处理单位，剩余部分污泥</w:t>
            </w:r>
            <w:r>
              <w:rPr>
                <w:rFonts w:cs="Times New Roman"/>
                <w:szCs w:val="24"/>
              </w:rPr>
              <w:t>用吸粪车定期清运至峨边县城市污水处理厂处理</w:t>
            </w:r>
            <w:r>
              <w:rPr>
                <w:rFonts w:hint="eastAsia" w:cs="Times New Roman"/>
                <w:szCs w:val="24"/>
              </w:rPr>
              <w:t>，本项目厂区内不设污泥储池。</w:t>
            </w:r>
          </w:p>
          <w:p>
            <w:pPr>
              <w:spacing w:line="360" w:lineRule="auto"/>
              <w:ind w:firstLine="422" w:firstLineChars="176"/>
              <w:rPr>
                <w:rFonts w:cs="Times New Roman"/>
                <w:szCs w:val="24"/>
              </w:rPr>
            </w:pPr>
            <w:r>
              <w:rPr>
                <w:rFonts w:hint="eastAsia" w:cs="Times New Roman"/>
                <w:szCs w:val="24"/>
              </w:rPr>
              <w:t>项目处理设备运行费用、运行管理要求等视项目所购设备而定。</w:t>
            </w:r>
          </w:p>
          <w:p>
            <w:pPr>
              <w:spacing w:line="360" w:lineRule="auto"/>
              <w:rPr>
                <w:rFonts w:cs="Times New Roman"/>
                <w:b/>
                <w:sz w:val="28"/>
                <w:szCs w:val="28"/>
              </w:rPr>
            </w:pPr>
            <w:r>
              <w:rPr>
                <w:rFonts w:cs="Times New Roman"/>
                <w:b/>
                <w:sz w:val="28"/>
                <w:szCs w:val="28"/>
              </w:rPr>
              <w:t>二、主要污染工序</w:t>
            </w:r>
          </w:p>
          <w:p>
            <w:pPr>
              <w:spacing w:line="360" w:lineRule="auto"/>
              <w:ind w:firstLine="480" w:firstLineChars="200"/>
              <w:rPr>
                <w:rFonts w:cs="Times New Roman"/>
                <w:szCs w:val="24"/>
              </w:rPr>
            </w:pPr>
            <w:r>
              <w:rPr>
                <w:rFonts w:cs="Times New Roman"/>
                <w:szCs w:val="24"/>
              </w:rPr>
              <w:t>本工程建设施工期和营运期主要产污工序分述如下：</w:t>
            </w:r>
          </w:p>
          <w:p>
            <w:pPr>
              <w:spacing w:line="360" w:lineRule="auto"/>
              <w:ind w:firstLine="480" w:firstLineChars="200"/>
              <w:rPr>
                <w:rFonts w:cs="Times New Roman"/>
                <w:szCs w:val="24"/>
              </w:rPr>
            </w:pPr>
            <w:r>
              <w:rPr>
                <w:rFonts w:cs="Times New Roman"/>
                <w:szCs w:val="24"/>
              </w:rPr>
              <w:t>（一）施工期</w:t>
            </w:r>
          </w:p>
          <w:p>
            <w:pPr>
              <w:spacing w:line="360" w:lineRule="auto"/>
              <w:ind w:firstLine="450"/>
              <w:jc w:val="left"/>
              <w:rPr>
                <w:rFonts w:cs="Times New Roman"/>
                <w:szCs w:val="24"/>
              </w:rPr>
            </w:pPr>
            <w:r>
              <w:rPr>
                <w:rFonts w:hint="eastAsia" w:cs="Times New Roman"/>
                <w:szCs w:val="24"/>
              </w:rPr>
              <w:t>1、施工期污染物产生种类</w:t>
            </w:r>
          </w:p>
          <w:p>
            <w:pPr>
              <w:spacing w:line="360" w:lineRule="auto"/>
              <w:ind w:firstLine="450"/>
              <w:jc w:val="left"/>
              <w:rPr>
                <w:rFonts w:cs="Times New Roman"/>
                <w:szCs w:val="24"/>
              </w:rPr>
            </w:pPr>
            <w:r>
              <w:rPr>
                <w:rFonts w:hint="eastAsia" w:cs="Times New Roman"/>
                <w:szCs w:val="24"/>
              </w:rPr>
              <w:t>本项目污水处理厂与排污干管工程建设过程中，其施工期带来的环境影响因素基本一致。</w:t>
            </w:r>
          </w:p>
          <w:p>
            <w:pPr>
              <w:spacing w:line="360" w:lineRule="auto"/>
              <w:ind w:firstLine="480" w:firstLineChars="200"/>
              <w:jc w:val="left"/>
              <w:rPr>
                <w:rFonts w:cs="Times New Roman"/>
                <w:szCs w:val="24"/>
              </w:rPr>
            </w:pPr>
            <w:r>
              <w:rPr>
                <w:rFonts w:hint="eastAsia" w:cs="Times New Roman"/>
                <w:szCs w:val="24"/>
              </w:rPr>
              <w:t>（1）废气：根据项目实际情况，在施工期废气主要来自施工区域场地土石方开挖引起的扬尘，此外施工机械及运输车辆将排放TSP等污染物，给空气环境造成一定的影响。</w:t>
            </w:r>
          </w:p>
          <w:p>
            <w:pPr>
              <w:spacing w:line="360" w:lineRule="auto"/>
              <w:ind w:firstLine="480" w:firstLineChars="200"/>
              <w:jc w:val="left"/>
              <w:rPr>
                <w:rFonts w:cs="Times New Roman"/>
                <w:szCs w:val="24"/>
              </w:rPr>
            </w:pPr>
            <w:r>
              <w:rPr>
                <w:rFonts w:hint="eastAsia" w:cs="Times New Roman"/>
                <w:szCs w:val="24"/>
              </w:rPr>
              <w:t>（2）废水：施工期废水主要为施工人员生活污水、施工废水。</w:t>
            </w:r>
          </w:p>
          <w:p>
            <w:pPr>
              <w:spacing w:line="360" w:lineRule="auto"/>
              <w:ind w:firstLine="480" w:firstLineChars="200"/>
              <w:jc w:val="left"/>
              <w:rPr>
                <w:rFonts w:cs="Times New Roman"/>
                <w:szCs w:val="24"/>
              </w:rPr>
            </w:pPr>
            <w:r>
              <w:rPr>
                <w:rFonts w:hint="eastAsia" w:cs="Times New Roman"/>
                <w:szCs w:val="24"/>
              </w:rPr>
              <w:t>（3）噪声：工程施工机械及运输车辆产生噪声，将对工程附近地区声环境带来一定的影响。</w:t>
            </w:r>
          </w:p>
          <w:p>
            <w:pPr>
              <w:spacing w:line="360" w:lineRule="auto"/>
              <w:ind w:firstLine="480" w:firstLineChars="200"/>
              <w:jc w:val="left"/>
              <w:rPr>
                <w:rFonts w:cs="Times New Roman"/>
                <w:szCs w:val="24"/>
              </w:rPr>
            </w:pPr>
            <w:r>
              <w:rPr>
                <w:rFonts w:hint="eastAsia" w:cs="Times New Roman"/>
                <w:szCs w:val="24"/>
              </w:rPr>
              <w:t>（4）固体废弃物：本项目污水厂与排污干管建设过程产生的土石方、建筑垃圾；施工人员生活垃圾。</w:t>
            </w:r>
          </w:p>
          <w:p>
            <w:pPr>
              <w:spacing w:line="360" w:lineRule="auto"/>
              <w:ind w:firstLine="480" w:firstLineChars="200"/>
              <w:jc w:val="left"/>
              <w:rPr>
                <w:rFonts w:cs="Times New Roman"/>
                <w:szCs w:val="24"/>
              </w:rPr>
            </w:pPr>
            <w:r>
              <w:rPr>
                <w:rFonts w:hint="eastAsia" w:cs="Times New Roman"/>
                <w:szCs w:val="24"/>
              </w:rPr>
              <w:t>（5）生态影响：施工期基础开挖、施工临时占用土地及施工弃土，因破坏地表土、地表植被引起水土流失，对水土的影响。</w:t>
            </w:r>
          </w:p>
          <w:p>
            <w:pPr>
              <w:spacing w:line="360" w:lineRule="auto"/>
              <w:ind w:firstLine="480" w:firstLineChars="200"/>
              <w:rPr>
                <w:rFonts w:cs="Times New Roman"/>
                <w:szCs w:val="24"/>
              </w:rPr>
            </w:pPr>
            <w:r>
              <w:rPr>
                <w:rFonts w:hint="eastAsia" w:cs="Times New Roman"/>
                <w:szCs w:val="24"/>
              </w:rPr>
              <w:t>以上施工期对环境的影响是暂时的，随着施工结束而逐渐消失。</w:t>
            </w:r>
          </w:p>
          <w:p>
            <w:pPr>
              <w:spacing w:line="360" w:lineRule="auto"/>
              <w:ind w:firstLine="480" w:firstLineChars="200"/>
              <w:rPr>
                <w:rFonts w:cs="Times New Roman"/>
                <w:szCs w:val="24"/>
              </w:rPr>
            </w:pPr>
            <w:r>
              <w:rPr>
                <w:rFonts w:cs="Times New Roman"/>
                <w:szCs w:val="24"/>
              </w:rPr>
              <w:t>（二）运营期</w:t>
            </w:r>
          </w:p>
          <w:p>
            <w:pPr>
              <w:spacing w:line="360" w:lineRule="auto"/>
              <w:ind w:firstLine="480" w:firstLineChars="200"/>
              <w:rPr>
                <w:rFonts w:cs="Times New Roman"/>
                <w:szCs w:val="24"/>
              </w:rPr>
            </w:pPr>
            <w:r>
              <w:rPr>
                <w:rFonts w:hint="eastAsia" w:cs="Times New Roman"/>
                <w:szCs w:val="24"/>
              </w:rPr>
              <w:t>污水处理站属环保工程，建设后有利于城市污水削减有害物的排放，在减轻污水对排放水域及下游的水质污染、改善生态环境等方面，具有明显的效果，但同时也产生废水、噪声、恶臭、污泥等二次污染。</w:t>
            </w:r>
          </w:p>
          <w:p>
            <w:pPr>
              <w:spacing w:line="360" w:lineRule="auto"/>
              <w:rPr>
                <w:rFonts w:cs="Times New Roman"/>
                <w:szCs w:val="24"/>
              </w:rPr>
            </w:pPr>
            <w:r>
              <w:rPr>
                <w:rFonts w:cs="Times New Roman"/>
                <w:b/>
                <w:sz w:val="28"/>
                <w:szCs w:val="28"/>
              </w:rPr>
              <w:t>三、污染物的排放及治理</w:t>
            </w:r>
          </w:p>
          <w:p>
            <w:pPr>
              <w:spacing w:line="360" w:lineRule="auto"/>
              <w:ind w:firstLine="482" w:firstLineChars="200"/>
              <w:rPr>
                <w:rFonts w:cs="Times New Roman"/>
                <w:b/>
              </w:rPr>
            </w:pPr>
            <w:r>
              <w:rPr>
                <w:rFonts w:cs="Times New Roman"/>
                <w:b/>
              </w:rPr>
              <w:t>（一）施工期污染物排放及治理</w:t>
            </w:r>
          </w:p>
          <w:p>
            <w:pPr>
              <w:spacing w:line="360" w:lineRule="auto"/>
              <w:ind w:firstLine="482" w:firstLineChars="200"/>
              <w:rPr>
                <w:rFonts w:cs="Times New Roman"/>
                <w:b/>
                <w:szCs w:val="24"/>
              </w:rPr>
            </w:pPr>
            <w:r>
              <w:rPr>
                <w:rFonts w:cs="Times New Roman"/>
                <w:b/>
                <w:szCs w:val="24"/>
              </w:rPr>
              <w:t>1、施工废气</w:t>
            </w:r>
          </w:p>
          <w:p>
            <w:pPr>
              <w:pStyle w:val="189"/>
              <w:ind w:firstLine="482"/>
              <w:rPr>
                <w:rFonts w:ascii="Times New Roman" w:hAnsi="Times New Roman"/>
                <w:b/>
              </w:rPr>
            </w:pPr>
            <w:r>
              <w:rPr>
                <w:rFonts w:ascii="Times New Roman" w:hAnsi="Times New Roman" w:eastAsia="宋体"/>
                <w:b/>
              </w:rPr>
              <w:t>（1）施工场地扬尘</w:t>
            </w:r>
          </w:p>
          <w:p>
            <w:pPr>
              <w:spacing w:line="360" w:lineRule="auto"/>
              <w:ind w:firstLine="465"/>
              <w:jc w:val="left"/>
            </w:pPr>
            <w:r>
              <w:t>施工时的挖填土石方、出渣、建材运输、装卸等都将产生二次扬尘。施工期扬尘产生的多少及影响程度的大小与施工场地条件和天气条件等诸多因素有关，根据国内多家监测机构对施工扬尘所做的实测资料，统计结果如下表。</w:t>
            </w:r>
          </w:p>
          <w:p>
            <w:pPr>
              <w:adjustRightInd w:val="0"/>
              <w:snapToGrid w:val="0"/>
              <w:spacing w:line="360" w:lineRule="auto"/>
              <w:jc w:val="center"/>
              <w:rPr>
                <w:rFonts w:cs="Times New Roman"/>
                <w:b/>
                <w:szCs w:val="24"/>
              </w:rPr>
            </w:pPr>
            <w:r>
              <w:rPr>
                <w:rFonts w:cs="Times New Roman"/>
                <w:b/>
                <w:szCs w:val="24"/>
              </w:rPr>
              <w:t>表5-1  施工现场大气中颗粒物浓度变化表</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29"/>
              <w:gridCol w:w="1271"/>
              <w:gridCol w:w="623"/>
              <w:gridCol w:w="639"/>
              <w:gridCol w:w="639"/>
              <w:gridCol w:w="639"/>
              <w:gridCol w:w="639"/>
              <w:gridCol w:w="639"/>
              <w:gridCol w:w="2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00" w:type="dxa"/>
                  <w:gridSpan w:val="2"/>
                  <w:vAlign w:val="center"/>
                </w:tcPr>
                <w:p>
                  <w:pPr>
                    <w:pStyle w:val="135"/>
                    <w:spacing w:line="240" w:lineRule="auto"/>
                    <w:jc w:val="center"/>
                    <w:rPr>
                      <w:rFonts w:ascii="Times New Roman" w:hAnsi="Times New Roman" w:eastAsia="宋体"/>
                      <w:b/>
                      <w:sz w:val="21"/>
                      <w:szCs w:val="21"/>
                    </w:rPr>
                  </w:pPr>
                  <w:r>
                    <w:rPr>
                      <w:rFonts w:ascii="Times New Roman" w:hAnsi="Times New Roman" w:eastAsia="宋体"/>
                      <w:b/>
                      <w:sz w:val="21"/>
                      <w:szCs w:val="21"/>
                    </w:rPr>
                    <w:t>距工地距离(m)</w:t>
                  </w:r>
                </w:p>
              </w:tc>
              <w:tc>
                <w:tcPr>
                  <w:tcW w:w="623" w:type="dxa"/>
                  <w:vAlign w:val="center"/>
                </w:tcPr>
                <w:p>
                  <w:pPr>
                    <w:pStyle w:val="135"/>
                    <w:spacing w:line="240" w:lineRule="auto"/>
                    <w:jc w:val="center"/>
                    <w:rPr>
                      <w:rFonts w:ascii="Times New Roman" w:hAnsi="Times New Roman" w:eastAsia="宋体"/>
                      <w:b/>
                      <w:sz w:val="21"/>
                      <w:szCs w:val="21"/>
                    </w:rPr>
                  </w:pPr>
                  <w:r>
                    <w:rPr>
                      <w:rFonts w:ascii="Times New Roman" w:hAnsi="Times New Roman" w:eastAsia="宋体"/>
                      <w:b/>
                      <w:sz w:val="21"/>
                      <w:szCs w:val="21"/>
                    </w:rPr>
                    <w:t>10</w:t>
                  </w:r>
                </w:p>
              </w:tc>
              <w:tc>
                <w:tcPr>
                  <w:tcW w:w="639" w:type="dxa"/>
                  <w:vAlign w:val="center"/>
                </w:tcPr>
                <w:p>
                  <w:pPr>
                    <w:pStyle w:val="135"/>
                    <w:spacing w:line="240" w:lineRule="auto"/>
                    <w:jc w:val="center"/>
                    <w:rPr>
                      <w:rFonts w:ascii="Times New Roman" w:hAnsi="Times New Roman" w:eastAsia="宋体"/>
                      <w:b/>
                      <w:sz w:val="21"/>
                      <w:szCs w:val="21"/>
                    </w:rPr>
                  </w:pPr>
                  <w:r>
                    <w:rPr>
                      <w:rFonts w:ascii="Times New Roman" w:hAnsi="Times New Roman" w:eastAsia="宋体"/>
                      <w:b/>
                      <w:sz w:val="21"/>
                      <w:szCs w:val="21"/>
                    </w:rPr>
                    <w:t>20</w:t>
                  </w:r>
                </w:p>
              </w:tc>
              <w:tc>
                <w:tcPr>
                  <w:tcW w:w="639" w:type="dxa"/>
                  <w:vAlign w:val="center"/>
                </w:tcPr>
                <w:p>
                  <w:pPr>
                    <w:pStyle w:val="135"/>
                    <w:spacing w:line="240" w:lineRule="auto"/>
                    <w:jc w:val="center"/>
                    <w:rPr>
                      <w:rFonts w:ascii="Times New Roman" w:hAnsi="Times New Roman" w:eastAsia="宋体"/>
                      <w:b/>
                      <w:sz w:val="21"/>
                      <w:szCs w:val="21"/>
                    </w:rPr>
                  </w:pPr>
                  <w:r>
                    <w:rPr>
                      <w:rFonts w:ascii="Times New Roman" w:hAnsi="Times New Roman" w:eastAsia="宋体"/>
                      <w:b/>
                      <w:sz w:val="21"/>
                      <w:szCs w:val="21"/>
                    </w:rPr>
                    <w:t>30</w:t>
                  </w:r>
                </w:p>
              </w:tc>
              <w:tc>
                <w:tcPr>
                  <w:tcW w:w="639" w:type="dxa"/>
                  <w:vAlign w:val="center"/>
                </w:tcPr>
                <w:p>
                  <w:pPr>
                    <w:pStyle w:val="135"/>
                    <w:spacing w:line="240" w:lineRule="auto"/>
                    <w:jc w:val="center"/>
                    <w:rPr>
                      <w:rFonts w:ascii="Times New Roman" w:hAnsi="Times New Roman" w:eastAsia="宋体"/>
                      <w:b/>
                      <w:sz w:val="21"/>
                      <w:szCs w:val="21"/>
                    </w:rPr>
                  </w:pPr>
                  <w:r>
                    <w:rPr>
                      <w:rFonts w:ascii="Times New Roman" w:hAnsi="Times New Roman" w:eastAsia="宋体"/>
                      <w:b/>
                      <w:sz w:val="21"/>
                      <w:szCs w:val="21"/>
                    </w:rPr>
                    <w:t>40</w:t>
                  </w:r>
                </w:p>
              </w:tc>
              <w:tc>
                <w:tcPr>
                  <w:tcW w:w="639" w:type="dxa"/>
                  <w:vAlign w:val="center"/>
                </w:tcPr>
                <w:p>
                  <w:pPr>
                    <w:pStyle w:val="135"/>
                    <w:spacing w:line="240" w:lineRule="auto"/>
                    <w:jc w:val="center"/>
                    <w:rPr>
                      <w:rFonts w:ascii="Times New Roman" w:hAnsi="Times New Roman" w:eastAsia="宋体"/>
                      <w:b/>
                      <w:sz w:val="21"/>
                      <w:szCs w:val="21"/>
                    </w:rPr>
                  </w:pPr>
                  <w:r>
                    <w:rPr>
                      <w:rFonts w:ascii="Times New Roman" w:hAnsi="Times New Roman" w:eastAsia="宋体"/>
                      <w:b/>
                      <w:sz w:val="21"/>
                      <w:szCs w:val="21"/>
                    </w:rPr>
                    <w:t>50</w:t>
                  </w:r>
                </w:p>
              </w:tc>
              <w:tc>
                <w:tcPr>
                  <w:tcW w:w="639" w:type="dxa"/>
                  <w:vAlign w:val="center"/>
                </w:tcPr>
                <w:p>
                  <w:pPr>
                    <w:pStyle w:val="135"/>
                    <w:spacing w:line="240" w:lineRule="auto"/>
                    <w:jc w:val="center"/>
                    <w:rPr>
                      <w:rFonts w:ascii="Times New Roman" w:hAnsi="Times New Roman" w:eastAsia="宋体"/>
                      <w:b/>
                      <w:sz w:val="21"/>
                      <w:szCs w:val="21"/>
                    </w:rPr>
                  </w:pPr>
                  <w:r>
                    <w:rPr>
                      <w:rFonts w:ascii="Times New Roman" w:hAnsi="Times New Roman" w:eastAsia="宋体"/>
                      <w:b/>
                      <w:sz w:val="21"/>
                      <w:szCs w:val="21"/>
                    </w:rPr>
                    <w:t>100</w:t>
                  </w:r>
                </w:p>
              </w:tc>
              <w:tc>
                <w:tcPr>
                  <w:tcW w:w="2284" w:type="dxa"/>
                  <w:vAlign w:val="center"/>
                </w:tcPr>
                <w:p>
                  <w:pPr>
                    <w:pStyle w:val="135"/>
                    <w:spacing w:line="240" w:lineRule="auto"/>
                    <w:jc w:val="center"/>
                    <w:rPr>
                      <w:rFonts w:ascii="Times New Roman" w:hAnsi="Times New Roman" w:eastAsia="宋体"/>
                      <w:b/>
                      <w:sz w:val="21"/>
                      <w:szCs w:val="21"/>
                    </w:rPr>
                  </w:pPr>
                  <w:r>
                    <w:rPr>
                      <w:rFonts w:ascii="Times New Roman" w:hAnsi="Times New Roman" w:eastAsia="宋体"/>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929" w:type="dxa"/>
                  <w:vMerge w:val="restart"/>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浓度</w:t>
                  </w:r>
                </w:p>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(mg/m</w:t>
                  </w:r>
                  <w:r>
                    <w:rPr>
                      <w:rFonts w:ascii="Times New Roman" w:hAnsi="Times New Roman" w:eastAsia="宋体"/>
                      <w:sz w:val="21"/>
                      <w:szCs w:val="21"/>
                      <w:vertAlign w:val="superscript"/>
                    </w:rPr>
                    <w:t>3</w:t>
                  </w:r>
                  <w:r>
                    <w:rPr>
                      <w:rFonts w:ascii="Times New Roman" w:hAnsi="Times New Roman" w:eastAsia="宋体"/>
                      <w:sz w:val="21"/>
                      <w:szCs w:val="21"/>
                    </w:rPr>
                    <w:t>)</w:t>
                  </w:r>
                </w:p>
              </w:tc>
              <w:tc>
                <w:tcPr>
                  <w:tcW w:w="1271"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场地未洒水</w:t>
                  </w:r>
                </w:p>
              </w:tc>
              <w:tc>
                <w:tcPr>
                  <w:tcW w:w="623"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1.75</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l.30</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0.78</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0.365</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0.345</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0.330</w:t>
                  </w:r>
                </w:p>
              </w:tc>
              <w:tc>
                <w:tcPr>
                  <w:tcW w:w="2284" w:type="dxa"/>
                  <w:vMerge w:val="restart"/>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测量平均风速2.5m/s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929" w:type="dxa"/>
                  <w:vMerge w:val="continue"/>
                  <w:vAlign w:val="center"/>
                </w:tcPr>
                <w:p>
                  <w:pPr>
                    <w:pStyle w:val="135"/>
                    <w:spacing w:line="240" w:lineRule="auto"/>
                    <w:jc w:val="center"/>
                    <w:rPr>
                      <w:rFonts w:ascii="Times New Roman" w:hAnsi="Times New Roman" w:eastAsia="宋体"/>
                      <w:b/>
                      <w:sz w:val="21"/>
                      <w:szCs w:val="21"/>
                    </w:rPr>
                  </w:pPr>
                </w:p>
              </w:tc>
              <w:tc>
                <w:tcPr>
                  <w:tcW w:w="1271"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场地洒水</w:t>
                  </w:r>
                </w:p>
              </w:tc>
              <w:tc>
                <w:tcPr>
                  <w:tcW w:w="623"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0.43</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0.350</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0.310</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0.265</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0.250</w:t>
                  </w:r>
                </w:p>
              </w:tc>
              <w:tc>
                <w:tcPr>
                  <w:tcW w:w="639" w:type="dxa"/>
                  <w:vAlign w:val="center"/>
                </w:tcPr>
                <w:p>
                  <w:pPr>
                    <w:pStyle w:val="135"/>
                    <w:spacing w:line="240" w:lineRule="auto"/>
                    <w:jc w:val="center"/>
                    <w:rPr>
                      <w:rFonts w:ascii="Times New Roman" w:hAnsi="Times New Roman" w:eastAsia="宋体"/>
                      <w:sz w:val="21"/>
                      <w:szCs w:val="21"/>
                    </w:rPr>
                  </w:pPr>
                  <w:r>
                    <w:rPr>
                      <w:rFonts w:ascii="Times New Roman" w:hAnsi="Times New Roman" w:eastAsia="宋体"/>
                      <w:sz w:val="21"/>
                      <w:szCs w:val="21"/>
                    </w:rPr>
                    <w:t>0.238</w:t>
                  </w:r>
                </w:p>
              </w:tc>
              <w:tc>
                <w:tcPr>
                  <w:tcW w:w="2284" w:type="dxa"/>
                  <w:vMerge w:val="continue"/>
                  <w:vAlign w:val="center"/>
                </w:tcPr>
                <w:p>
                  <w:pPr>
                    <w:pStyle w:val="135"/>
                    <w:spacing w:line="240" w:lineRule="auto"/>
                    <w:rPr>
                      <w:rFonts w:ascii="Times New Roman" w:hAnsi="Times New Roman"/>
                    </w:rPr>
                  </w:pPr>
                </w:p>
              </w:tc>
            </w:tr>
          </w:tbl>
          <w:p>
            <w:pPr>
              <w:pStyle w:val="189"/>
              <w:spacing w:before="120" w:beforeLines="50"/>
              <w:ind w:firstLine="480"/>
              <w:rPr>
                <w:rFonts w:ascii="Times New Roman" w:hAnsi="Times New Roman"/>
              </w:rPr>
            </w:pPr>
            <w:r>
              <w:rPr>
                <w:rFonts w:ascii="Times New Roman" w:hAnsi="Times New Roman" w:eastAsia="宋体"/>
              </w:rPr>
              <w:t>由上表可知，在场地未洒水时施工扬尘影响范围可达施工场地外</w:t>
            </w:r>
            <w:r>
              <w:rPr>
                <w:rFonts w:ascii="Times New Roman" w:hAnsi="Times New Roman"/>
              </w:rPr>
              <w:t>100m</w:t>
            </w:r>
            <w:r>
              <w:rPr>
                <w:rFonts w:ascii="Times New Roman" w:hAnsi="Times New Roman" w:eastAsia="宋体"/>
              </w:rPr>
              <w:t>；但通过场地洒水降尘后，施工扬尘影响范围将缩小至施工场地外</w:t>
            </w:r>
            <w:r>
              <w:rPr>
                <w:rFonts w:ascii="Times New Roman" w:hAnsi="Times New Roman"/>
              </w:rPr>
              <w:t>40m</w:t>
            </w:r>
            <w:r>
              <w:rPr>
                <w:rFonts w:ascii="Times New Roman" w:hAnsi="Times New Roman" w:eastAsia="宋体"/>
              </w:rPr>
              <w:t>。</w:t>
            </w:r>
          </w:p>
          <w:p>
            <w:pPr>
              <w:pStyle w:val="189"/>
              <w:ind w:firstLine="482"/>
              <w:rPr>
                <w:rFonts w:ascii="Times New Roman" w:hAnsi="Times New Roman"/>
                <w:b/>
              </w:rPr>
            </w:pPr>
            <w:r>
              <w:rPr>
                <w:rFonts w:ascii="Times New Roman" w:hAnsi="Times New Roman" w:eastAsia="宋体"/>
                <w:b/>
              </w:rPr>
              <w:t>（2）交通运输扬尘</w:t>
            </w:r>
          </w:p>
          <w:p>
            <w:pPr>
              <w:pStyle w:val="189"/>
              <w:ind w:firstLine="480"/>
              <w:rPr>
                <w:rFonts w:ascii="Times New Roman" w:hAnsi="Times New Roman"/>
              </w:rPr>
            </w:pPr>
            <w:r>
              <w:rPr>
                <w:rFonts w:ascii="Times New Roman" w:hAnsi="Times New Roman" w:eastAsia="宋体"/>
              </w:rPr>
              <w:t>交通运输扬尘与道路路面、车辆行驶速度有关。在路面完全干燥的情况下，可以按经验公式进行计算：</w:t>
            </w:r>
          </w:p>
          <w:p>
            <w:pPr>
              <w:pStyle w:val="189"/>
              <w:ind w:firstLine="0" w:firstLineChars="0"/>
              <w:jc w:val="center"/>
              <w:rPr>
                <w:rFonts w:ascii="Times New Roman" w:hAnsi="Times New Roman"/>
              </w:rPr>
            </w:pPr>
            <w:r>
              <w:rPr>
                <w:rFonts w:ascii="Times New Roman" w:hAnsi="Times New Roman"/>
              </w:rPr>
              <w:t>Q=0.123×</w:t>
            </w:r>
            <w:r>
              <w:rPr>
                <w:rFonts w:ascii="Times New Roman" w:hAnsi="Times New Roman" w:eastAsia="宋体"/>
              </w:rPr>
              <w:t>（</w:t>
            </w:r>
            <w:r>
              <w:rPr>
                <w:rFonts w:ascii="Times New Roman" w:hAnsi="Times New Roman"/>
              </w:rPr>
              <w:t>V/5</w:t>
            </w:r>
            <w:r>
              <w:rPr>
                <w:rFonts w:ascii="Times New Roman" w:hAnsi="Times New Roman" w:eastAsia="宋体"/>
              </w:rPr>
              <w:t>）</w:t>
            </w:r>
            <w:r>
              <w:rPr>
                <w:rFonts w:ascii="Times New Roman" w:hAnsi="Times New Roman"/>
              </w:rPr>
              <w:t>×</w:t>
            </w:r>
            <w:r>
              <w:rPr>
                <w:rFonts w:ascii="Times New Roman" w:hAnsi="Times New Roman" w:eastAsia="宋体"/>
              </w:rPr>
              <w:t>（</w:t>
            </w:r>
            <w:r>
              <w:rPr>
                <w:rFonts w:ascii="Times New Roman" w:hAnsi="Times New Roman"/>
              </w:rPr>
              <w:t>W/6.8</w:t>
            </w:r>
            <w:r>
              <w:rPr>
                <w:rFonts w:ascii="Times New Roman" w:hAnsi="Times New Roman" w:eastAsia="宋体"/>
              </w:rPr>
              <w:t>）</w:t>
            </w:r>
            <w:r>
              <w:rPr>
                <w:rFonts w:ascii="Times New Roman" w:hAnsi="Times New Roman"/>
                <w:vertAlign w:val="superscript"/>
              </w:rPr>
              <w:t>0.85</w:t>
            </w:r>
            <w:r>
              <w:rPr>
                <w:rFonts w:ascii="Times New Roman" w:hAnsi="Times New Roman"/>
              </w:rPr>
              <w:t>×(P/0.5)</w:t>
            </w:r>
            <w:r>
              <w:rPr>
                <w:rFonts w:ascii="Times New Roman" w:hAnsi="Times New Roman"/>
                <w:vertAlign w:val="superscript"/>
              </w:rPr>
              <w:t>0.75</w:t>
            </w:r>
          </w:p>
          <w:p>
            <w:pPr>
              <w:pStyle w:val="189"/>
              <w:ind w:firstLine="480"/>
              <w:rPr>
                <w:rFonts w:ascii="Times New Roman" w:hAnsi="Times New Roman"/>
              </w:rPr>
            </w:pPr>
            <w:r>
              <w:rPr>
                <w:rFonts w:ascii="Times New Roman" w:hAnsi="Times New Roman" w:eastAsia="宋体"/>
              </w:rPr>
              <w:t>式中：</w:t>
            </w:r>
            <w:r>
              <w:rPr>
                <w:rFonts w:ascii="Times New Roman" w:hAnsi="Times New Roman"/>
              </w:rPr>
              <w:t>Q—</w:t>
            </w:r>
            <w:r>
              <w:rPr>
                <w:rFonts w:ascii="Times New Roman" w:hAnsi="Times New Roman" w:eastAsia="宋体"/>
              </w:rPr>
              <w:t>汽车行驶产生的扬尘，</w:t>
            </w:r>
            <w:r>
              <w:rPr>
                <w:rFonts w:ascii="Times New Roman" w:hAnsi="Times New Roman"/>
              </w:rPr>
              <w:t>kg/km.</w:t>
            </w:r>
            <w:r>
              <w:rPr>
                <w:rFonts w:ascii="Times New Roman" w:hAnsi="Times New Roman" w:eastAsia="宋体"/>
              </w:rPr>
              <w:t>辆；</w:t>
            </w:r>
          </w:p>
          <w:p>
            <w:pPr>
              <w:pStyle w:val="189"/>
              <w:ind w:firstLine="480"/>
              <w:rPr>
                <w:rFonts w:ascii="Times New Roman" w:hAnsi="Times New Roman"/>
              </w:rPr>
            </w:pPr>
            <w:r>
              <w:rPr>
                <w:rFonts w:ascii="Times New Roman" w:hAnsi="Times New Roman"/>
              </w:rPr>
              <w:t>V—</w:t>
            </w:r>
            <w:r>
              <w:rPr>
                <w:rFonts w:ascii="Times New Roman" w:hAnsi="Times New Roman" w:eastAsia="宋体"/>
              </w:rPr>
              <w:t>汽车行驶的速度，</w:t>
            </w:r>
            <w:r>
              <w:rPr>
                <w:rFonts w:ascii="Times New Roman" w:hAnsi="Times New Roman"/>
              </w:rPr>
              <w:t>kg/h</w:t>
            </w:r>
            <w:r>
              <w:rPr>
                <w:rFonts w:ascii="Times New Roman" w:hAnsi="Times New Roman" w:eastAsia="宋体"/>
              </w:rPr>
              <w:t>；</w:t>
            </w:r>
          </w:p>
          <w:p>
            <w:pPr>
              <w:pStyle w:val="189"/>
              <w:ind w:firstLine="480"/>
              <w:rPr>
                <w:rFonts w:ascii="Times New Roman" w:hAnsi="Times New Roman"/>
              </w:rPr>
            </w:pPr>
            <w:r>
              <w:rPr>
                <w:rFonts w:ascii="Times New Roman" w:hAnsi="Times New Roman"/>
              </w:rPr>
              <w:t>W—</w:t>
            </w:r>
            <w:r>
              <w:rPr>
                <w:rFonts w:ascii="Times New Roman" w:hAnsi="Times New Roman" w:eastAsia="宋体"/>
              </w:rPr>
              <w:t>汽车载重量，</w:t>
            </w:r>
            <w:r>
              <w:rPr>
                <w:rFonts w:ascii="Times New Roman" w:hAnsi="Times New Roman"/>
              </w:rPr>
              <w:t>t</w:t>
            </w:r>
            <w:r>
              <w:rPr>
                <w:rFonts w:ascii="Times New Roman" w:hAnsi="Times New Roman" w:eastAsia="宋体"/>
              </w:rPr>
              <w:t>；</w:t>
            </w:r>
          </w:p>
          <w:p>
            <w:pPr>
              <w:pStyle w:val="189"/>
              <w:ind w:firstLine="480"/>
              <w:rPr>
                <w:rFonts w:ascii="Times New Roman" w:hAnsi="Times New Roman"/>
              </w:rPr>
            </w:pPr>
            <w:r>
              <w:rPr>
                <w:rFonts w:ascii="Times New Roman" w:hAnsi="Times New Roman"/>
              </w:rPr>
              <w:t>P—</w:t>
            </w:r>
            <w:r>
              <w:rPr>
                <w:rFonts w:ascii="Times New Roman" w:hAnsi="Times New Roman" w:eastAsia="宋体"/>
              </w:rPr>
              <w:t>道路表面粉尘量，</w:t>
            </w:r>
            <w:r>
              <w:rPr>
                <w:rFonts w:ascii="Times New Roman" w:hAnsi="Times New Roman"/>
              </w:rPr>
              <w:t>kg/m</w:t>
            </w:r>
            <w:r>
              <w:rPr>
                <w:rFonts w:ascii="Times New Roman" w:hAnsi="Times New Roman"/>
                <w:vertAlign w:val="superscript"/>
              </w:rPr>
              <w:t>2</w:t>
            </w:r>
            <w:r>
              <w:rPr>
                <w:rFonts w:ascii="Times New Roman" w:hAnsi="Times New Roman" w:eastAsia="宋体"/>
              </w:rPr>
              <w:t>。</w:t>
            </w:r>
          </w:p>
          <w:p>
            <w:pPr>
              <w:pStyle w:val="189"/>
              <w:ind w:firstLine="480"/>
              <w:rPr>
                <w:rFonts w:ascii="Times New Roman" w:hAnsi="Times New Roman" w:eastAsia="宋体"/>
              </w:rPr>
            </w:pPr>
            <w:r>
              <w:rPr>
                <w:rFonts w:ascii="Times New Roman" w:hAnsi="Times New Roman" w:eastAsia="宋体"/>
              </w:rPr>
              <w:t>一辆载重</w:t>
            </w:r>
            <w:r>
              <w:rPr>
                <w:rFonts w:ascii="Times New Roman" w:hAnsi="Times New Roman"/>
              </w:rPr>
              <w:t>5</w:t>
            </w:r>
            <w:r>
              <w:rPr>
                <w:rFonts w:ascii="Times New Roman" w:hAnsi="Times New Roman" w:eastAsia="宋体"/>
              </w:rPr>
              <w:t>t的卡车，通过一段长为</w:t>
            </w:r>
            <w:r>
              <w:rPr>
                <w:rFonts w:ascii="Times New Roman" w:hAnsi="Times New Roman"/>
              </w:rPr>
              <w:t>500m</w:t>
            </w:r>
            <w:r>
              <w:rPr>
                <w:rFonts w:ascii="Times New Roman" w:hAnsi="Times New Roman" w:eastAsia="宋体"/>
              </w:rPr>
              <w:t>的公路时，在不同表面清洁度与行驶情况下产生的扬尘量，见下表。</w:t>
            </w:r>
          </w:p>
          <w:p>
            <w:pPr>
              <w:adjustRightInd w:val="0"/>
              <w:snapToGrid w:val="0"/>
              <w:spacing w:line="360" w:lineRule="auto"/>
              <w:jc w:val="center"/>
              <w:rPr>
                <w:rFonts w:cs="Times New Roman"/>
                <w:b/>
                <w:szCs w:val="24"/>
              </w:rPr>
            </w:pPr>
            <w:r>
              <w:rPr>
                <w:rFonts w:cs="Times New Roman"/>
                <w:b/>
                <w:szCs w:val="24"/>
              </w:rPr>
              <w:t>表5-2 不同车速和地面清洁度时汽车扬尘</w:t>
            </w:r>
          </w:p>
          <w:p>
            <w:pPr>
              <w:pStyle w:val="135"/>
              <w:spacing w:before="120" w:after="120" w:line="240" w:lineRule="auto"/>
              <w:jc w:val="right"/>
              <w:rPr>
                <w:rFonts w:ascii="Times New Roman" w:hAnsi="Times New Roman" w:eastAsia="黑体"/>
                <w:bCs/>
                <w:sz w:val="21"/>
                <w:szCs w:val="21"/>
              </w:rPr>
            </w:pPr>
            <w:r>
              <w:rPr>
                <w:rFonts w:ascii="Times New Roman" w:hAnsi="Times New Roman" w:eastAsia="黑体"/>
                <w:bCs/>
                <w:sz w:val="21"/>
                <w:szCs w:val="21"/>
              </w:rPr>
              <w:t>单位：kg/km·辆</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1198"/>
              <w:gridCol w:w="1198"/>
              <w:gridCol w:w="934"/>
              <w:gridCol w:w="1198"/>
              <w:gridCol w:w="1037"/>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806" w:type="dxa"/>
                  <w:tcBorders>
                    <w:bottom w:val="single" w:color="auto" w:sz="4" w:space="0"/>
                    <w:tl2br w:val="single" w:color="auto" w:sz="4" w:space="0"/>
                  </w:tcBorders>
                  <w:vAlign w:val="center"/>
                </w:tcPr>
                <w:p>
                  <w:pPr>
                    <w:pStyle w:val="135"/>
                    <w:spacing w:before="120" w:after="120"/>
                    <w:jc w:val="center"/>
                    <w:rPr>
                      <w:rFonts w:ascii="Times New Roman" w:hAnsi="Times New Roman" w:eastAsia="宋体"/>
                      <w:b/>
                      <w:sz w:val="21"/>
                      <w:szCs w:val="21"/>
                    </w:rPr>
                  </w:pPr>
                  <w:r>
                    <w:rPr>
                      <w:rFonts w:ascii="Times New Roman" w:hAnsi="Times New Roman" w:eastAsia="宋体"/>
                      <w:b/>
                      <w:sz w:val="21"/>
                      <w:szCs w:val="21"/>
                    </w:rPr>
                    <w:t xml:space="preserve">    P（kg/m</w:t>
                  </w:r>
                  <w:r>
                    <w:rPr>
                      <w:rFonts w:ascii="Times New Roman" w:hAnsi="Times New Roman" w:eastAsia="宋体"/>
                      <w:b/>
                      <w:sz w:val="21"/>
                      <w:szCs w:val="21"/>
                      <w:vertAlign w:val="superscript"/>
                    </w:rPr>
                    <w:t>2</w:t>
                  </w:r>
                  <w:r>
                    <w:rPr>
                      <w:rFonts w:ascii="Times New Roman" w:hAnsi="Times New Roman" w:eastAsia="宋体"/>
                      <w:b/>
                      <w:sz w:val="21"/>
                      <w:szCs w:val="21"/>
                    </w:rPr>
                    <w:t>）</w:t>
                  </w:r>
                </w:p>
                <w:p>
                  <w:pPr>
                    <w:pStyle w:val="135"/>
                    <w:spacing w:before="120" w:after="120"/>
                    <w:rPr>
                      <w:rFonts w:ascii="Times New Roman" w:hAnsi="Times New Roman" w:eastAsia="宋体"/>
                      <w:b/>
                      <w:sz w:val="21"/>
                      <w:szCs w:val="21"/>
                    </w:rPr>
                  </w:pPr>
                  <w:r>
                    <w:rPr>
                      <w:rFonts w:ascii="Times New Roman" w:hAnsi="Times New Roman" w:eastAsia="宋体"/>
                      <w:b/>
                      <w:sz w:val="21"/>
                      <w:szCs w:val="21"/>
                    </w:rPr>
                    <w:t>车速（kg/h）</w:t>
                  </w:r>
                </w:p>
              </w:tc>
              <w:tc>
                <w:tcPr>
                  <w:tcW w:w="1198" w:type="dxa"/>
                  <w:tcBorders>
                    <w:bottom w:val="single" w:color="auto" w:sz="4" w:space="0"/>
                  </w:tcBorders>
                  <w:vAlign w:val="center"/>
                </w:tcPr>
                <w:p>
                  <w:pPr>
                    <w:pStyle w:val="135"/>
                    <w:spacing w:before="120" w:after="120"/>
                    <w:jc w:val="center"/>
                    <w:rPr>
                      <w:rFonts w:ascii="Times New Roman" w:hAnsi="Times New Roman" w:eastAsia="宋体"/>
                      <w:b/>
                      <w:sz w:val="21"/>
                      <w:szCs w:val="21"/>
                    </w:rPr>
                  </w:pPr>
                  <w:r>
                    <w:rPr>
                      <w:rFonts w:ascii="Times New Roman" w:hAnsi="Times New Roman" w:eastAsia="宋体"/>
                      <w:b/>
                      <w:sz w:val="21"/>
                      <w:szCs w:val="21"/>
                    </w:rPr>
                    <w:t>0.1</w:t>
                  </w:r>
                </w:p>
              </w:tc>
              <w:tc>
                <w:tcPr>
                  <w:tcW w:w="1198" w:type="dxa"/>
                  <w:tcBorders>
                    <w:bottom w:val="single" w:color="auto" w:sz="4" w:space="0"/>
                  </w:tcBorders>
                  <w:vAlign w:val="center"/>
                </w:tcPr>
                <w:p>
                  <w:pPr>
                    <w:pStyle w:val="135"/>
                    <w:spacing w:before="120" w:after="120"/>
                    <w:jc w:val="center"/>
                    <w:rPr>
                      <w:rFonts w:ascii="Times New Roman" w:hAnsi="Times New Roman" w:eastAsia="宋体"/>
                      <w:b/>
                      <w:sz w:val="21"/>
                      <w:szCs w:val="21"/>
                    </w:rPr>
                  </w:pPr>
                  <w:r>
                    <w:rPr>
                      <w:rFonts w:ascii="Times New Roman" w:hAnsi="Times New Roman" w:eastAsia="宋体"/>
                      <w:b/>
                      <w:sz w:val="21"/>
                      <w:szCs w:val="21"/>
                    </w:rPr>
                    <w:t>0.2</w:t>
                  </w:r>
                </w:p>
              </w:tc>
              <w:tc>
                <w:tcPr>
                  <w:tcW w:w="934" w:type="dxa"/>
                  <w:tcBorders>
                    <w:bottom w:val="single" w:color="auto" w:sz="4" w:space="0"/>
                  </w:tcBorders>
                  <w:vAlign w:val="center"/>
                </w:tcPr>
                <w:p>
                  <w:pPr>
                    <w:pStyle w:val="135"/>
                    <w:spacing w:before="120" w:after="120"/>
                    <w:jc w:val="center"/>
                    <w:rPr>
                      <w:rFonts w:ascii="Times New Roman" w:hAnsi="Times New Roman" w:eastAsia="宋体"/>
                      <w:b/>
                      <w:sz w:val="21"/>
                      <w:szCs w:val="21"/>
                    </w:rPr>
                  </w:pPr>
                  <w:r>
                    <w:rPr>
                      <w:rFonts w:ascii="Times New Roman" w:hAnsi="Times New Roman" w:eastAsia="宋体"/>
                      <w:b/>
                      <w:sz w:val="21"/>
                      <w:szCs w:val="21"/>
                    </w:rPr>
                    <w:t>0.3</w:t>
                  </w:r>
                </w:p>
              </w:tc>
              <w:tc>
                <w:tcPr>
                  <w:tcW w:w="1198" w:type="dxa"/>
                  <w:tcBorders>
                    <w:bottom w:val="single" w:color="auto" w:sz="4" w:space="0"/>
                  </w:tcBorders>
                  <w:vAlign w:val="center"/>
                </w:tcPr>
                <w:p>
                  <w:pPr>
                    <w:pStyle w:val="135"/>
                    <w:spacing w:before="120" w:after="120"/>
                    <w:jc w:val="center"/>
                    <w:rPr>
                      <w:rFonts w:ascii="Times New Roman" w:hAnsi="Times New Roman" w:eastAsia="宋体"/>
                      <w:b/>
                      <w:sz w:val="21"/>
                      <w:szCs w:val="21"/>
                    </w:rPr>
                  </w:pPr>
                  <w:r>
                    <w:rPr>
                      <w:rFonts w:ascii="Times New Roman" w:hAnsi="Times New Roman" w:eastAsia="宋体"/>
                      <w:b/>
                      <w:sz w:val="21"/>
                      <w:szCs w:val="21"/>
                    </w:rPr>
                    <w:t>0.4</w:t>
                  </w:r>
                </w:p>
              </w:tc>
              <w:tc>
                <w:tcPr>
                  <w:tcW w:w="1037" w:type="dxa"/>
                  <w:tcBorders>
                    <w:bottom w:val="single" w:color="auto" w:sz="4" w:space="0"/>
                  </w:tcBorders>
                  <w:vAlign w:val="center"/>
                </w:tcPr>
                <w:p>
                  <w:pPr>
                    <w:pStyle w:val="135"/>
                    <w:spacing w:before="120" w:after="120"/>
                    <w:jc w:val="center"/>
                    <w:rPr>
                      <w:rFonts w:ascii="Times New Roman" w:hAnsi="Times New Roman" w:eastAsia="宋体"/>
                      <w:b/>
                      <w:sz w:val="21"/>
                      <w:szCs w:val="21"/>
                    </w:rPr>
                  </w:pPr>
                  <w:r>
                    <w:rPr>
                      <w:rFonts w:ascii="Times New Roman" w:hAnsi="Times New Roman" w:eastAsia="宋体"/>
                      <w:b/>
                      <w:sz w:val="21"/>
                      <w:szCs w:val="21"/>
                    </w:rPr>
                    <w:t>0.5</w:t>
                  </w:r>
                </w:p>
              </w:tc>
              <w:tc>
                <w:tcPr>
                  <w:tcW w:w="931" w:type="dxa"/>
                  <w:tcBorders>
                    <w:bottom w:val="single" w:color="auto" w:sz="4" w:space="0"/>
                  </w:tcBorders>
                  <w:vAlign w:val="center"/>
                </w:tcPr>
                <w:p>
                  <w:pPr>
                    <w:pStyle w:val="135"/>
                    <w:spacing w:before="120" w:after="120"/>
                    <w:jc w:val="center"/>
                    <w:rPr>
                      <w:rFonts w:ascii="Times New Roman" w:hAnsi="Times New Roman" w:eastAsia="宋体"/>
                      <w:b/>
                      <w:sz w:val="21"/>
                      <w:szCs w:val="21"/>
                    </w:rPr>
                  </w:pPr>
                  <w:r>
                    <w:rPr>
                      <w:rFonts w:ascii="Times New Roman" w:hAnsi="Times New Roman" w:eastAsia="宋体"/>
                      <w:b/>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1806" w:type="dxa"/>
                  <w:vAlign w:val="center"/>
                </w:tcPr>
                <w:p>
                  <w:pPr>
                    <w:jc w:val="center"/>
                    <w:rPr>
                      <w:snapToGrid w:val="0"/>
                      <w:kern w:val="0"/>
                      <w:sz w:val="21"/>
                      <w:szCs w:val="21"/>
                    </w:rPr>
                  </w:pPr>
                  <w:r>
                    <w:rPr>
                      <w:snapToGrid w:val="0"/>
                      <w:kern w:val="0"/>
                      <w:sz w:val="21"/>
                      <w:szCs w:val="21"/>
                    </w:rPr>
                    <w:t>5</w:t>
                  </w:r>
                </w:p>
              </w:tc>
              <w:tc>
                <w:tcPr>
                  <w:tcW w:w="1198" w:type="dxa"/>
                  <w:vAlign w:val="center"/>
                </w:tcPr>
                <w:p>
                  <w:pPr>
                    <w:jc w:val="center"/>
                    <w:rPr>
                      <w:snapToGrid w:val="0"/>
                      <w:kern w:val="0"/>
                      <w:sz w:val="21"/>
                      <w:szCs w:val="21"/>
                    </w:rPr>
                  </w:pPr>
                  <w:r>
                    <w:rPr>
                      <w:snapToGrid w:val="0"/>
                      <w:kern w:val="0"/>
                      <w:sz w:val="21"/>
                      <w:szCs w:val="21"/>
                    </w:rPr>
                    <w:t>0.0283</w:t>
                  </w:r>
                </w:p>
              </w:tc>
              <w:tc>
                <w:tcPr>
                  <w:tcW w:w="1198" w:type="dxa"/>
                  <w:vAlign w:val="center"/>
                </w:tcPr>
                <w:p>
                  <w:pPr>
                    <w:jc w:val="center"/>
                    <w:rPr>
                      <w:snapToGrid w:val="0"/>
                      <w:kern w:val="0"/>
                      <w:sz w:val="21"/>
                      <w:szCs w:val="21"/>
                    </w:rPr>
                  </w:pPr>
                  <w:r>
                    <w:rPr>
                      <w:snapToGrid w:val="0"/>
                      <w:kern w:val="0"/>
                      <w:sz w:val="21"/>
                      <w:szCs w:val="21"/>
                    </w:rPr>
                    <w:t>0.0476</w:t>
                  </w:r>
                </w:p>
              </w:tc>
              <w:tc>
                <w:tcPr>
                  <w:tcW w:w="934" w:type="dxa"/>
                  <w:vAlign w:val="center"/>
                </w:tcPr>
                <w:p>
                  <w:pPr>
                    <w:jc w:val="center"/>
                    <w:rPr>
                      <w:snapToGrid w:val="0"/>
                      <w:kern w:val="0"/>
                      <w:sz w:val="21"/>
                      <w:szCs w:val="21"/>
                    </w:rPr>
                  </w:pPr>
                  <w:r>
                    <w:rPr>
                      <w:snapToGrid w:val="0"/>
                      <w:kern w:val="0"/>
                      <w:sz w:val="21"/>
                      <w:szCs w:val="21"/>
                    </w:rPr>
                    <w:t>0.0646</w:t>
                  </w:r>
                </w:p>
              </w:tc>
              <w:tc>
                <w:tcPr>
                  <w:tcW w:w="1198" w:type="dxa"/>
                  <w:vAlign w:val="center"/>
                </w:tcPr>
                <w:p>
                  <w:pPr>
                    <w:jc w:val="center"/>
                    <w:rPr>
                      <w:snapToGrid w:val="0"/>
                      <w:kern w:val="0"/>
                      <w:sz w:val="21"/>
                      <w:szCs w:val="21"/>
                    </w:rPr>
                  </w:pPr>
                  <w:r>
                    <w:rPr>
                      <w:snapToGrid w:val="0"/>
                      <w:kern w:val="0"/>
                      <w:sz w:val="21"/>
                      <w:szCs w:val="21"/>
                    </w:rPr>
                    <w:t>0.081</w:t>
                  </w:r>
                </w:p>
              </w:tc>
              <w:tc>
                <w:tcPr>
                  <w:tcW w:w="1037" w:type="dxa"/>
                  <w:vAlign w:val="center"/>
                </w:tcPr>
                <w:p>
                  <w:pPr>
                    <w:jc w:val="center"/>
                    <w:rPr>
                      <w:snapToGrid w:val="0"/>
                      <w:kern w:val="0"/>
                      <w:sz w:val="21"/>
                      <w:szCs w:val="21"/>
                    </w:rPr>
                  </w:pPr>
                  <w:r>
                    <w:rPr>
                      <w:snapToGrid w:val="0"/>
                      <w:kern w:val="0"/>
                      <w:sz w:val="21"/>
                      <w:szCs w:val="21"/>
                    </w:rPr>
                    <w:t>0.0947</w:t>
                  </w:r>
                </w:p>
              </w:tc>
              <w:tc>
                <w:tcPr>
                  <w:tcW w:w="931" w:type="dxa"/>
                  <w:vAlign w:val="center"/>
                </w:tcPr>
                <w:p>
                  <w:pPr>
                    <w:jc w:val="center"/>
                    <w:rPr>
                      <w:snapToGrid w:val="0"/>
                      <w:kern w:val="0"/>
                      <w:sz w:val="21"/>
                      <w:szCs w:val="21"/>
                    </w:rPr>
                  </w:pPr>
                  <w:r>
                    <w:rPr>
                      <w:snapToGrid w:val="0"/>
                      <w:kern w:val="0"/>
                      <w:sz w:val="21"/>
                      <w:szCs w:val="21"/>
                    </w:rPr>
                    <w:t>0.1593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806" w:type="dxa"/>
                  <w:vAlign w:val="center"/>
                </w:tcPr>
                <w:p>
                  <w:pPr>
                    <w:jc w:val="center"/>
                    <w:rPr>
                      <w:snapToGrid w:val="0"/>
                      <w:kern w:val="0"/>
                      <w:sz w:val="21"/>
                      <w:szCs w:val="21"/>
                    </w:rPr>
                  </w:pPr>
                  <w:r>
                    <w:rPr>
                      <w:snapToGrid w:val="0"/>
                      <w:kern w:val="0"/>
                      <w:sz w:val="21"/>
                      <w:szCs w:val="21"/>
                    </w:rPr>
                    <w:t>10</w:t>
                  </w:r>
                </w:p>
              </w:tc>
              <w:tc>
                <w:tcPr>
                  <w:tcW w:w="1198" w:type="dxa"/>
                  <w:vAlign w:val="center"/>
                </w:tcPr>
                <w:p>
                  <w:pPr>
                    <w:jc w:val="center"/>
                    <w:rPr>
                      <w:snapToGrid w:val="0"/>
                      <w:kern w:val="0"/>
                      <w:sz w:val="21"/>
                      <w:szCs w:val="21"/>
                    </w:rPr>
                  </w:pPr>
                  <w:r>
                    <w:rPr>
                      <w:snapToGrid w:val="0"/>
                      <w:kern w:val="0"/>
                      <w:sz w:val="21"/>
                      <w:szCs w:val="21"/>
                    </w:rPr>
                    <w:t>0.0566</w:t>
                  </w:r>
                </w:p>
              </w:tc>
              <w:tc>
                <w:tcPr>
                  <w:tcW w:w="1198" w:type="dxa"/>
                  <w:vAlign w:val="center"/>
                </w:tcPr>
                <w:p>
                  <w:pPr>
                    <w:jc w:val="center"/>
                    <w:rPr>
                      <w:snapToGrid w:val="0"/>
                      <w:kern w:val="0"/>
                      <w:sz w:val="21"/>
                      <w:szCs w:val="21"/>
                    </w:rPr>
                  </w:pPr>
                  <w:r>
                    <w:rPr>
                      <w:snapToGrid w:val="0"/>
                      <w:kern w:val="0"/>
                      <w:sz w:val="21"/>
                      <w:szCs w:val="21"/>
                    </w:rPr>
                    <w:t>0.0953</w:t>
                  </w:r>
                </w:p>
              </w:tc>
              <w:tc>
                <w:tcPr>
                  <w:tcW w:w="934" w:type="dxa"/>
                  <w:vAlign w:val="center"/>
                </w:tcPr>
                <w:p>
                  <w:pPr>
                    <w:jc w:val="center"/>
                    <w:rPr>
                      <w:snapToGrid w:val="0"/>
                      <w:kern w:val="0"/>
                      <w:sz w:val="21"/>
                      <w:szCs w:val="21"/>
                    </w:rPr>
                  </w:pPr>
                  <w:r>
                    <w:rPr>
                      <w:snapToGrid w:val="0"/>
                      <w:kern w:val="0"/>
                      <w:sz w:val="21"/>
                      <w:szCs w:val="21"/>
                    </w:rPr>
                    <w:t>0.1291</w:t>
                  </w:r>
                </w:p>
              </w:tc>
              <w:tc>
                <w:tcPr>
                  <w:tcW w:w="1198" w:type="dxa"/>
                  <w:vAlign w:val="center"/>
                </w:tcPr>
                <w:p>
                  <w:pPr>
                    <w:pStyle w:val="83"/>
                    <w:adjustRightInd/>
                    <w:rPr>
                      <w:snapToGrid w:val="0"/>
                      <w:sz w:val="21"/>
                      <w:szCs w:val="21"/>
                    </w:rPr>
                  </w:pPr>
                  <w:r>
                    <w:rPr>
                      <w:snapToGrid w:val="0"/>
                      <w:sz w:val="21"/>
                      <w:szCs w:val="21"/>
                    </w:rPr>
                    <w:t>0.1602</w:t>
                  </w:r>
                </w:p>
              </w:tc>
              <w:tc>
                <w:tcPr>
                  <w:tcW w:w="1037" w:type="dxa"/>
                  <w:vAlign w:val="center"/>
                </w:tcPr>
                <w:p>
                  <w:pPr>
                    <w:jc w:val="center"/>
                    <w:rPr>
                      <w:snapToGrid w:val="0"/>
                      <w:kern w:val="0"/>
                      <w:sz w:val="21"/>
                      <w:szCs w:val="21"/>
                    </w:rPr>
                  </w:pPr>
                  <w:r>
                    <w:rPr>
                      <w:snapToGrid w:val="0"/>
                      <w:kern w:val="0"/>
                      <w:sz w:val="21"/>
                      <w:szCs w:val="21"/>
                    </w:rPr>
                    <w:t>0.1894</w:t>
                  </w:r>
                </w:p>
              </w:tc>
              <w:tc>
                <w:tcPr>
                  <w:tcW w:w="931" w:type="dxa"/>
                  <w:vAlign w:val="center"/>
                </w:tcPr>
                <w:p>
                  <w:pPr>
                    <w:jc w:val="center"/>
                    <w:rPr>
                      <w:snapToGrid w:val="0"/>
                      <w:kern w:val="0"/>
                      <w:sz w:val="21"/>
                      <w:szCs w:val="21"/>
                    </w:rPr>
                  </w:pPr>
                  <w:r>
                    <w:rPr>
                      <w:snapToGrid w:val="0"/>
                      <w:kern w:val="0"/>
                      <w:sz w:val="21"/>
                      <w:szCs w:val="21"/>
                    </w:rPr>
                    <w:t>0.3186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806" w:type="dxa"/>
                  <w:vAlign w:val="center"/>
                </w:tcPr>
                <w:p>
                  <w:pPr>
                    <w:jc w:val="center"/>
                    <w:rPr>
                      <w:snapToGrid w:val="0"/>
                      <w:kern w:val="0"/>
                      <w:sz w:val="21"/>
                      <w:szCs w:val="21"/>
                    </w:rPr>
                  </w:pPr>
                  <w:r>
                    <w:rPr>
                      <w:snapToGrid w:val="0"/>
                      <w:kern w:val="0"/>
                      <w:sz w:val="21"/>
                      <w:szCs w:val="21"/>
                    </w:rPr>
                    <w:t>15</w:t>
                  </w:r>
                </w:p>
              </w:tc>
              <w:tc>
                <w:tcPr>
                  <w:tcW w:w="1198" w:type="dxa"/>
                  <w:vAlign w:val="center"/>
                </w:tcPr>
                <w:p>
                  <w:pPr>
                    <w:jc w:val="center"/>
                    <w:rPr>
                      <w:snapToGrid w:val="0"/>
                      <w:kern w:val="0"/>
                      <w:sz w:val="21"/>
                      <w:szCs w:val="21"/>
                    </w:rPr>
                  </w:pPr>
                  <w:r>
                    <w:rPr>
                      <w:snapToGrid w:val="0"/>
                      <w:kern w:val="0"/>
                      <w:sz w:val="21"/>
                      <w:szCs w:val="21"/>
                    </w:rPr>
                    <w:t>0.0850</w:t>
                  </w:r>
                </w:p>
              </w:tc>
              <w:tc>
                <w:tcPr>
                  <w:tcW w:w="1198" w:type="dxa"/>
                  <w:vAlign w:val="center"/>
                </w:tcPr>
                <w:p>
                  <w:pPr>
                    <w:pStyle w:val="83"/>
                    <w:adjustRightInd/>
                    <w:rPr>
                      <w:snapToGrid w:val="0"/>
                      <w:sz w:val="21"/>
                      <w:szCs w:val="21"/>
                    </w:rPr>
                  </w:pPr>
                  <w:r>
                    <w:rPr>
                      <w:snapToGrid w:val="0"/>
                      <w:sz w:val="21"/>
                      <w:szCs w:val="21"/>
                    </w:rPr>
                    <w:t>0.1429</w:t>
                  </w:r>
                </w:p>
              </w:tc>
              <w:tc>
                <w:tcPr>
                  <w:tcW w:w="934" w:type="dxa"/>
                  <w:vAlign w:val="center"/>
                </w:tcPr>
                <w:p>
                  <w:pPr>
                    <w:jc w:val="center"/>
                    <w:rPr>
                      <w:snapToGrid w:val="0"/>
                      <w:kern w:val="0"/>
                      <w:sz w:val="21"/>
                      <w:szCs w:val="21"/>
                    </w:rPr>
                  </w:pPr>
                  <w:r>
                    <w:rPr>
                      <w:snapToGrid w:val="0"/>
                      <w:kern w:val="0"/>
                      <w:sz w:val="21"/>
                      <w:szCs w:val="21"/>
                    </w:rPr>
                    <w:t>0.1937</w:t>
                  </w:r>
                </w:p>
              </w:tc>
              <w:tc>
                <w:tcPr>
                  <w:tcW w:w="1198" w:type="dxa"/>
                  <w:vAlign w:val="center"/>
                </w:tcPr>
                <w:p>
                  <w:pPr>
                    <w:jc w:val="center"/>
                    <w:rPr>
                      <w:snapToGrid w:val="0"/>
                      <w:kern w:val="0"/>
                      <w:sz w:val="21"/>
                      <w:szCs w:val="21"/>
                    </w:rPr>
                  </w:pPr>
                  <w:r>
                    <w:rPr>
                      <w:snapToGrid w:val="0"/>
                      <w:kern w:val="0"/>
                      <w:sz w:val="21"/>
                      <w:szCs w:val="21"/>
                    </w:rPr>
                    <w:t>0.2403</w:t>
                  </w:r>
                </w:p>
              </w:tc>
              <w:tc>
                <w:tcPr>
                  <w:tcW w:w="1037" w:type="dxa"/>
                  <w:vAlign w:val="center"/>
                </w:tcPr>
                <w:p>
                  <w:pPr>
                    <w:pStyle w:val="83"/>
                    <w:adjustRightInd/>
                    <w:rPr>
                      <w:snapToGrid w:val="0"/>
                      <w:sz w:val="21"/>
                      <w:szCs w:val="21"/>
                    </w:rPr>
                  </w:pPr>
                  <w:r>
                    <w:rPr>
                      <w:snapToGrid w:val="0"/>
                      <w:sz w:val="21"/>
                      <w:szCs w:val="21"/>
                    </w:rPr>
                    <w:t>0.281</w:t>
                  </w:r>
                </w:p>
              </w:tc>
              <w:tc>
                <w:tcPr>
                  <w:tcW w:w="931" w:type="dxa"/>
                  <w:vAlign w:val="center"/>
                </w:tcPr>
                <w:p>
                  <w:pPr>
                    <w:jc w:val="center"/>
                    <w:rPr>
                      <w:snapToGrid w:val="0"/>
                      <w:kern w:val="0"/>
                      <w:sz w:val="21"/>
                      <w:szCs w:val="21"/>
                    </w:rPr>
                  </w:pPr>
                  <w:r>
                    <w:rPr>
                      <w:snapToGrid w:val="0"/>
                      <w:kern w:val="0"/>
                      <w:sz w:val="21"/>
                      <w:szCs w:val="21"/>
                    </w:rPr>
                    <w:t>0.4778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806" w:type="dxa"/>
                  <w:vAlign w:val="center"/>
                </w:tcPr>
                <w:p>
                  <w:pPr>
                    <w:jc w:val="center"/>
                    <w:rPr>
                      <w:snapToGrid w:val="0"/>
                      <w:kern w:val="0"/>
                      <w:sz w:val="21"/>
                      <w:szCs w:val="21"/>
                    </w:rPr>
                  </w:pPr>
                  <w:r>
                    <w:rPr>
                      <w:snapToGrid w:val="0"/>
                      <w:kern w:val="0"/>
                      <w:sz w:val="21"/>
                      <w:szCs w:val="21"/>
                    </w:rPr>
                    <w:t>20</w:t>
                  </w:r>
                </w:p>
              </w:tc>
              <w:tc>
                <w:tcPr>
                  <w:tcW w:w="1198" w:type="dxa"/>
                  <w:vAlign w:val="center"/>
                </w:tcPr>
                <w:p>
                  <w:pPr>
                    <w:jc w:val="center"/>
                    <w:rPr>
                      <w:snapToGrid w:val="0"/>
                      <w:kern w:val="0"/>
                      <w:sz w:val="21"/>
                      <w:szCs w:val="21"/>
                    </w:rPr>
                  </w:pPr>
                  <w:r>
                    <w:rPr>
                      <w:snapToGrid w:val="0"/>
                      <w:kern w:val="0"/>
                      <w:sz w:val="21"/>
                      <w:szCs w:val="21"/>
                    </w:rPr>
                    <w:t>0.1133</w:t>
                  </w:r>
                </w:p>
              </w:tc>
              <w:tc>
                <w:tcPr>
                  <w:tcW w:w="1198" w:type="dxa"/>
                  <w:vAlign w:val="center"/>
                </w:tcPr>
                <w:p>
                  <w:pPr>
                    <w:jc w:val="center"/>
                    <w:rPr>
                      <w:snapToGrid w:val="0"/>
                      <w:kern w:val="0"/>
                      <w:sz w:val="21"/>
                      <w:szCs w:val="21"/>
                    </w:rPr>
                  </w:pPr>
                  <w:r>
                    <w:rPr>
                      <w:snapToGrid w:val="0"/>
                      <w:kern w:val="0"/>
                      <w:sz w:val="21"/>
                      <w:szCs w:val="21"/>
                    </w:rPr>
                    <w:t>0.1905</w:t>
                  </w:r>
                </w:p>
              </w:tc>
              <w:tc>
                <w:tcPr>
                  <w:tcW w:w="934" w:type="dxa"/>
                  <w:vAlign w:val="center"/>
                </w:tcPr>
                <w:p>
                  <w:pPr>
                    <w:jc w:val="center"/>
                    <w:rPr>
                      <w:snapToGrid w:val="0"/>
                      <w:kern w:val="0"/>
                      <w:sz w:val="21"/>
                      <w:szCs w:val="21"/>
                    </w:rPr>
                  </w:pPr>
                  <w:r>
                    <w:rPr>
                      <w:snapToGrid w:val="0"/>
                      <w:kern w:val="0"/>
                      <w:sz w:val="21"/>
                      <w:szCs w:val="21"/>
                    </w:rPr>
                    <w:t>0.2583</w:t>
                  </w:r>
                </w:p>
              </w:tc>
              <w:tc>
                <w:tcPr>
                  <w:tcW w:w="1198" w:type="dxa"/>
                  <w:vAlign w:val="center"/>
                </w:tcPr>
                <w:p>
                  <w:pPr>
                    <w:pStyle w:val="83"/>
                    <w:adjustRightInd/>
                    <w:rPr>
                      <w:snapToGrid w:val="0"/>
                      <w:sz w:val="21"/>
                      <w:szCs w:val="21"/>
                    </w:rPr>
                  </w:pPr>
                  <w:r>
                    <w:rPr>
                      <w:snapToGrid w:val="0"/>
                      <w:sz w:val="21"/>
                      <w:szCs w:val="21"/>
                    </w:rPr>
                    <w:t>0.3204</w:t>
                  </w:r>
                </w:p>
              </w:tc>
              <w:tc>
                <w:tcPr>
                  <w:tcW w:w="1037" w:type="dxa"/>
                  <w:vAlign w:val="center"/>
                </w:tcPr>
                <w:p>
                  <w:pPr>
                    <w:jc w:val="center"/>
                    <w:rPr>
                      <w:snapToGrid w:val="0"/>
                      <w:kern w:val="0"/>
                      <w:sz w:val="21"/>
                      <w:szCs w:val="21"/>
                    </w:rPr>
                  </w:pPr>
                  <w:r>
                    <w:rPr>
                      <w:snapToGrid w:val="0"/>
                      <w:kern w:val="0"/>
                      <w:sz w:val="21"/>
                      <w:szCs w:val="21"/>
                    </w:rPr>
                    <w:t>0.324</w:t>
                  </w:r>
                </w:p>
              </w:tc>
              <w:tc>
                <w:tcPr>
                  <w:tcW w:w="931" w:type="dxa"/>
                  <w:vAlign w:val="center"/>
                </w:tcPr>
                <w:p>
                  <w:pPr>
                    <w:jc w:val="center"/>
                    <w:rPr>
                      <w:snapToGrid w:val="0"/>
                      <w:kern w:val="0"/>
                      <w:sz w:val="21"/>
                      <w:szCs w:val="21"/>
                    </w:rPr>
                  </w:pPr>
                  <w:r>
                    <w:rPr>
                      <w:snapToGrid w:val="0"/>
                      <w:kern w:val="0"/>
                      <w:sz w:val="21"/>
                      <w:szCs w:val="21"/>
                    </w:rPr>
                    <w:t>0.6371</w:t>
                  </w:r>
                </w:p>
              </w:tc>
            </w:tr>
          </w:tbl>
          <w:p>
            <w:pPr>
              <w:pStyle w:val="189"/>
              <w:spacing w:before="120" w:beforeLines="50"/>
              <w:ind w:firstLine="480"/>
              <w:rPr>
                <w:rFonts w:ascii="Times New Roman" w:hAnsi="Times New Roman" w:eastAsia="宋体"/>
              </w:rPr>
            </w:pPr>
            <w:r>
              <w:rPr>
                <w:rFonts w:ascii="Times New Roman" w:hAnsi="Times New Roman" w:eastAsia="宋体"/>
              </w:rPr>
              <w:t>由上表可知，在同样路面情况下，车速越快，扬尘量越大；而在同样车速情况下，路面清洁度越差，则扬尘量越大。一般情况下，施工交通道路在自然风作用下产生的扬尘所影响的范围在</w:t>
            </w:r>
            <w:r>
              <w:rPr>
                <w:rFonts w:ascii="Times New Roman" w:hAnsi="Times New Roman"/>
              </w:rPr>
              <w:t>100m</w:t>
            </w:r>
            <w:r>
              <w:rPr>
                <w:rFonts w:ascii="Times New Roman" w:hAnsi="Times New Roman" w:eastAsia="宋体"/>
              </w:rPr>
              <w:t>范围以内。</w:t>
            </w:r>
          </w:p>
          <w:p>
            <w:pPr>
              <w:pStyle w:val="189"/>
              <w:ind w:firstLine="480"/>
              <w:rPr>
                <w:rFonts w:ascii="Times New Roman" w:hAnsi="Times New Roman" w:eastAsia="宋体"/>
              </w:rPr>
            </w:pPr>
            <w:r>
              <w:rPr>
                <w:rFonts w:ascii="Times New Roman" w:hAnsi="Times New Roman" w:eastAsia="宋体"/>
              </w:rPr>
              <w:t>为此，针对本项目，本环评要求采取的防治扬尘措施如下：</w:t>
            </w:r>
          </w:p>
          <w:p>
            <w:pPr>
              <w:pStyle w:val="189"/>
              <w:ind w:firstLine="480"/>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 1 \* GB3 </w:instrText>
            </w:r>
            <w:r>
              <w:rPr>
                <w:rFonts w:ascii="Times New Roman" w:hAnsi="Times New Roman" w:eastAsia="宋体"/>
              </w:rPr>
              <w:fldChar w:fldCharType="separate"/>
            </w:r>
            <w:r>
              <w:rPr>
                <w:rFonts w:ascii="Times New Roman" w:hAnsi="Times New Roman" w:eastAsia="宋体"/>
              </w:rPr>
              <w:t>①</w:t>
            </w:r>
            <w:r>
              <w:rPr>
                <w:rFonts w:ascii="Times New Roman" w:hAnsi="Times New Roman" w:eastAsia="宋体"/>
              </w:rPr>
              <w:fldChar w:fldCharType="end"/>
            </w:r>
            <w:r>
              <w:rPr>
                <w:rFonts w:ascii="Times New Roman" w:hAnsi="Times New Roman" w:eastAsia="宋体"/>
              </w:rPr>
              <w:t>在施工过程中，作业场地将采取围挡、围护以减少扬尘扩散，围挡、围护对减少扬尘对环境的污染有明显作用，当风速为2.5m/s时可使影响距离缩短40%。在施工现场周围，连续设置不低于1.5m高的围挡，并做到坚固美观。</w:t>
            </w:r>
          </w:p>
          <w:p>
            <w:pPr>
              <w:pStyle w:val="189"/>
              <w:ind w:firstLine="480"/>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 2 \* GB3 </w:instrText>
            </w:r>
            <w:r>
              <w:rPr>
                <w:rFonts w:ascii="Times New Roman" w:hAnsi="Times New Roman" w:eastAsia="宋体"/>
              </w:rPr>
              <w:fldChar w:fldCharType="separate"/>
            </w:r>
            <w:r>
              <w:rPr>
                <w:rFonts w:ascii="Times New Roman" w:hAnsi="Times New Roman" w:eastAsia="宋体"/>
              </w:rPr>
              <w:t>②</w:t>
            </w:r>
            <w:r>
              <w:rPr>
                <w:rFonts w:ascii="Times New Roman" w:hAnsi="Times New Roman" w:eastAsia="宋体"/>
              </w:rPr>
              <w:fldChar w:fldCharType="end"/>
            </w:r>
            <w:r>
              <w:rPr>
                <w:rFonts w:ascii="Times New Roman" w:hAnsi="Times New Roman" w:eastAsia="宋体"/>
              </w:rPr>
              <w:t>要求施工单位文明施工，定期对地面洒水，并对撒落在路面的渣土尽快清除，</w:t>
            </w:r>
            <w:r>
              <w:rPr>
                <w:rFonts w:ascii="Times New Roman" w:hAnsi="Times New Roman" w:eastAsia="宋体"/>
                <w:szCs w:val="18"/>
              </w:rPr>
              <w:t>清理阶段做到先洒水后清扫。</w:t>
            </w:r>
          </w:p>
          <w:p>
            <w:pPr>
              <w:pStyle w:val="189"/>
              <w:ind w:firstLine="480"/>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 3 \* GB3 </w:instrText>
            </w:r>
            <w:r>
              <w:rPr>
                <w:rFonts w:ascii="Times New Roman" w:hAnsi="Times New Roman" w:eastAsia="宋体"/>
              </w:rPr>
              <w:fldChar w:fldCharType="separate"/>
            </w:r>
            <w:r>
              <w:rPr>
                <w:rFonts w:ascii="Times New Roman" w:hAnsi="Times New Roman" w:eastAsia="宋体"/>
              </w:rPr>
              <w:t>③</w:t>
            </w:r>
            <w:r>
              <w:rPr>
                <w:rFonts w:ascii="Times New Roman" w:hAnsi="Times New Roman" w:eastAsia="宋体"/>
              </w:rPr>
              <w:fldChar w:fldCharType="end"/>
            </w:r>
            <w:r>
              <w:rPr>
                <w:rFonts w:ascii="Times New Roman" w:hAnsi="Times New Roman" w:eastAsia="宋体"/>
              </w:rPr>
              <w:t>由于道路和扬尘量与车辆的行驶速度有关，速度越快，扬尘量越大，因此，在施工场地对施工车辆必须实施限速行驶（</w:t>
            </w:r>
            <w:r>
              <w:rPr>
                <w:rFonts w:ascii="Times New Roman" w:hAnsi="Times New Roman"/>
              </w:rPr>
              <w:t>≤40km/h）</w:t>
            </w:r>
            <w:r>
              <w:rPr>
                <w:rFonts w:ascii="Times New Roman" w:hAnsi="Times New Roman" w:eastAsia="宋体"/>
              </w:rPr>
              <w:t>，同时施工现场主要运输道路尽量采用硬化路面并进行洒水抑尘。</w:t>
            </w:r>
          </w:p>
          <w:p>
            <w:pPr>
              <w:pStyle w:val="189"/>
              <w:ind w:firstLine="480"/>
              <w:rPr>
                <w:rFonts w:ascii="Times New Roman" w:hAnsi="Times New Roman" w:eastAsia="宋体"/>
                <w:szCs w:val="18"/>
              </w:rPr>
            </w:pPr>
            <w:r>
              <w:rPr>
                <w:rFonts w:ascii="Times New Roman" w:hAnsi="Times New Roman" w:eastAsia="宋体"/>
              </w:rPr>
              <w:fldChar w:fldCharType="begin"/>
            </w:r>
            <w:r>
              <w:rPr>
                <w:rFonts w:ascii="Times New Roman" w:hAnsi="Times New Roman" w:eastAsia="宋体"/>
              </w:rPr>
              <w:instrText xml:space="preserve"> = 4 \* GB3 </w:instrText>
            </w:r>
            <w:r>
              <w:rPr>
                <w:rFonts w:ascii="Times New Roman" w:hAnsi="Times New Roman" w:eastAsia="宋体"/>
              </w:rPr>
              <w:fldChar w:fldCharType="separate"/>
            </w:r>
            <w:r>
              <w:rPr>
                <w:rFonts w:ascii="Times New Roman" w:hAnsi="Times New Roman" w:eastAsia="宋体"/>
              </w:rPr>
              <w:t>④</w:t>
            </w:r>
            <w:r>
              <w:rPr>
                <w:rFonts w:ascii="Times New Roman" w:hAnsi="Times New Roman" w:eastAsia="宋体"/>
              </w:rPr>
              <w:fldChar w:fldCharType="end"/>
            </w:r>
            <w:r>
              <w:rPr>
                <w:rFonts w:ascii="Times New Roman" w:hAnsi="Times New Roman" w:eastAsia="宋体"/>
              </w:rPr>
              <w:t>在物料、建渣运输车辆的出口内侧设置洗车平台，车辆离开工地前，应在洗车平台清洗轮胎及车身，不得带泥上路。洗车平台四周设置防溢座，废水导流渠、废水收集池、沉砂池及其他防治设施，收集洗车、施工以及降水过程中产生的废水和泥浆。工地出口处铺装道路上可见粘带泥土不得超过10m，并应及时清扫冲洗。</w:t>
            </w:r>
            <w:r>
              <w:rPr>
                <w:rFonts w:ascii="Times New Roman" w:hAnsi="Times New Roman" w:eastAsia="宋体"/>
                <w:szCs w:val="18"/>
              </w:rPr>
              <w:t>施工场地现场必须设置排水网络，并设沉淀池，收集循环使用。</w:t>
            </w:r>
          </w:p>
          <w:p>
            <w:pPr>
              <w:spacing w:line="360" w:lineRule="auto"/>
              <w:ind w:firstLine="480" w:firstLineChars="200"/>
            </w:pPr>
            <w:r>
              <w:rPr>
                <w:rFonts w:hint="eastAsia"/>
              </w:rPr>
              <w:t>⑤</w:t>
            </w:r>
            <w:r>
              <w:t>禁止在大风天进行渣土堆放作业，建材堆放地点要相对集中，临时废弃土石堆场及时清运，并对堆场必须以毡布覆盖，不得有裸土，并且裸露地面进行硬化和绿化，减少建材的露天堆放时间；开挖出的土石方应加强围栏，表面用毡布覆盖，并及时将多余弃土外运。</w:t>
            </w:r>
            <w:r>
              <w:rPr>
                <w:szCs w:val="18"/>
              </w:rPr>
              <w:t>建筑材料、构件、料具应按照施工总平面图划定的区域堆放，堆放要整齐，要挂定型化的标牌；建筑垃圾和弃土石方临时堆场表面采取覆盖等防扬尘措施。建筑垃圾和多余土方应及时清运出场。</w:t>
            </w:r>
          </w:p>
          <w:p>
            <w:pPr>
              <w:spacing w:line="360" w:lineRule="auto"/>
              <w:ind w:firstLine="480" w:firstLineChars="200"/>
              <w:rPr>
                <w:szCs w:val="18"/>
              </w:rPr>
            </w:pPr>
            <w:r>
              <w:rPr>
                <w:rFonts w:hint="eastAsia"/>
              </w:rPr>
              <w:t>⑥</w:t>
            </w:r>
            <w:r>
              <w:rPr>
                <w:szCs w:val="18"/>
              </w:rPr>
              <w:t>施工道路及作业场地应坚实平整，保证无浮土、无积水。工地现场出入口地面必须硬化处理，每天都要进行清扫和洒水压尘；严禁在车行道上堆放建筑垃圾。</w:t>
            </w:r>
            <w:r>
              <w:t>遇到干燥、易起尘的土方工程作业时，应辅以洒水压尘，尽量缩短起尘操作时间。</w:t>
            </w:r>
          </w:p>
          <w:p>
            <w:pPr>
              <w:spacing w:line="360" w:lineRule="auto"/>
              <w:ind w:firstLine="482" w:firstLineChars="200"/>
            </w:pPr>
            <w:r>
              <w:rPr>
                <w:b/>
              </w:rPr>
              <w:t>（3）汽车运输和施工机具废气</w:t>
            </w:r>
          </w:p>
          <w:p>
            <w:pPr>
              <w:pStyle w:val="198"/>
              <w:adjustRightInd/>
              <w:snapToGrid/>
              <w:ind w:firstLine="480"/>
              <w:rPr>
                <w:rFonts w:ascii="Times New Roman" w:hAnsi="Times New Roman"/>
              </w:rPr>
            </w:pPr>
            <w:r>
              <w:rPr>
                <w:rFonts w:ascii="Times New Roman" w:hAnsi="Times New Roman"/>
              </w:rPr>
              <w:t>各种燃油施工机械和运输车辆在施工及运输过程中均排放一定数量的废气，主要污染物以NO</w:t>
            </w:r>
            <w:r>
              <w:rPr>
                <w:rFonts w:ascii="Times New Roman" w:hAnsi="Times New Roman"/>
                <w:vertAlign w:val="subscript"/>
              </w:rPr>
              <w:t>x</w:t>
            </w:r>
            <w:r>
              <w:rPr>
                <w:rFonts w:ascii="Times New Roman" w:hAnsi="Times New Roman"/>
              </w:rPr>
              <w:t>、SO</w:t>
            </w:r>
            <w:r>
              <w:rPr>
                <w:rFonts w:ascii="Times New Roman" w:hAnsi="Times New Roman"/>
                <w:vertAlign w:val="subscript"/>
              </w:rPr>
              <w:t>2</w:t>
            </w:r>
            <w:r>
              <w:rPr>
                <w:rFonts w:ascii="Times New Roman" w:hAnsi="Times New Roman"/>
              </w:rPr>
              <w:t>和烃类（THC）为主。本工程燃油施工机具主要在基础施工过程中使用，尾气中污染物主要有NO</w:t>
            </w:r>
            <w:r>
              <w:rPr>
                <w:rFonts w:ascii="Times New Roman" w:hAnsi="Times New Roman"/>
                <w:vertAlign w:val="subscript"/>
              </w:rPr>
              <w:t>x</w:t>
            </w:r>
            <w:r>
              <w:rPr>
                <w:rFonts w:ascii="Times New Roman" w:hAnsi="Times New Roman"/>
              </w:rPr>
              <w:t>、CO和烃类（THC）。</w:t>
            </w:r>
          </w:p>
          <w:p>
            <w:pPr>
              <w:pStyle w:val="198"/>
              <w:adjustRightInd/>
              <w:snapToGrid/>
              <w:ind w:firstLine="480"/>
              <w:rPr>
                <w:rFonts w:ascii="Times New Roman" w:hAnsi="Times New Roman"/>
              </w:rPr>
            </w:pPr>
            <w:r>
              <w:rPr>
                <w:rFonts w:ascii="Times New Roman" w:hAnsi="Times New Roman"/>
              </w:rPr>
              <w:t>针对本项目的施工情况，本环评提出如下的防治措施：</w:t>
            </w:r>
          </w:p>
          <w:p>
            <w:pPr>
              <w:pStyle w:val="198"/>
              <w:adjustRightInd/>
              <w:snapToGrid/>
              <w:ind w:firstLine="480"/>
              <w:rPr>
                <w:rFonts w:ascii="Times New Roman" w:hAnsi="Times New Roman"/>
              </w:rPr>
            </w:pPr>
            <w:r>
              <w:rPr>
                <w:rFonts w:hint="eastAsia" w:ascii="Times New Roman" w:hAnsi="Times New Roman"/>
              </w:rPr>
              <w:t>①</w:t>
            </w:r>
            <w:r>
              <w:rPr>
                <w:rFonts w:ascii="Times New Roman" w:hAnsi="Times New Roman"/>
              </w:rPr>
              <w:t>针对汽车尾气，主要是通过车辆限速降低影响，禁止使用尾气超标车辆。</w:t>
            </w:r>
          </w:p>
          <w:p>
            <w:pPr>
              <w:tabs>
                <w:tab w:val="left" w:pos="737"/>
              </w:tabs>
              <w:adjustRightInd w:val="0"/>
              <w:snapToGrid w:val="0"/>
              <w:spacing w:line="360" w:lineRule="auto"/>
              <w:ind w:firstLine="480" w:firstLineChars="200"/>
            </w:pPr>
            <w:r>
              <w:rPr>
                <w:rFonts w:hint="eastAsia"/>
              </w:rPr>
              <w:t>②</w:t>
            </w:r>
            <w:r>
              <w:t>在施工期内应多加注意施工设备的维护，使其能够正常的运行，提高设备燃料的利用率。</w:t>
            </w:r>
          </w:p>
          <w:p>
            <w:pPr>
              <w:spacing w:line="360" w:lineRule="auto"/>
              <w:ind w:firstLine="482" w:firstLineChars="200"/>
              <w:rPr>
                <w:rFonts w:cs="Times New Roman"/>
                <w:b/>
                <w:szCs w:val="24"/>
              </w:rPr>
            </w:pPr>
            <w:r>
              <w:rPr>
                <w:rFonts w:cs="Times New Roman"/>
                <w:b/>
                <w:szCs w:val="24"/>
              </w:rPr>
              <w:t>2、施工期废水</w:t>
            </w:r>
          </w:p>
          <w:p>
            <w:pPr>
              <w:adjustRightInd w:val="0"/>
              <w:snapToGrid w:val="0"/>
              <w:spacing w:line="360" w:lineRule="auto"/>
              <w:ind w:firstLine="424" w:firstLineChars="177"/>
              <w:rPr>
                <w:rFonts w:cs="Times New Roman"/>
              </w:rPr>
            </w:pPr>
            <w:r>
              <w:rPr>
                <w:rFonts w:cs="Times New Roman"/>
              </w:rPr>
              <w:t>废水来源于两部分：一是场址建筑施工产生的生产废水，这部分废水含泥沙等悬浮物很高；二是场地施工人员的生活污水，主要含CODcr、BOD</w:t>
            </w:r>
            <w:r>
              <w:rPr>
                <w:rFonts w:cs="Times New Roman"/>
                <w:vertAlign w:val="subscript"/>
              </w:rPr>
              <w:t>5</w:t>
            </w:r>
            <w:r>
              <w:rPr>
                <w:rFonts w:cs="Times New Roman"/>
              </w:rPr>
              <w:t>、NH</w:t>
            </w:r>
            <w:r>
              <w:rPr>
                <w:rFonts w:cs="Times New Roman"/>
                <w:vertAlign w:val="subscript"/>
              </w:rPr>
              <w:t>3</w:t>
            </w:r>
            <w:r>
              <w:rPr>
                <w:rFonts w:cs="Times New Roman"/>
              </w:rPr>
              <w:t>-N、SS等污染物质。</w:t>
            </w:r>
          </w:p>
          <w:p>
            <w:pPr>
              <w:spacing w:line="360" w:lineRule="auto"/>
              <w:ind w:firstLine="482" w:firstLineChars="200"/>
              <w:rPr>
                <w:b/>
              </w:rPr>
            </w:pPr>
            <w:r>
              <w:rPr>
                <w:b/>
              </w:rPr>
              <w:t>（1）施工人员生活污水</w:t>
            </w:r>
          </w:p>
          <w:p>
            <w:pPr>
              <w:spacing w:line="360" w:lineRule="auto"/>
              <w:ind w:firstLine="480" w:firstLineChars="200"/>
            </w:pPr>
            <w:r>
              <w:t>根据同类项目施工情况，本项目日最大施工人员为15人，按每天</w:t>
            </w:r>
            <w:r>
              <w:rPr>
                <w:rFonts w:hint="eastAsia"/>
              </w:rPr>
              <w:t>用水</w:t>
            </w:r>
            <w:r>
              <w:t>量</w:t>
            </w:r>
            <w:r>
              <w:rPr>
                <w:rFonts w:hint="eastAsia"/>
              </w:rPr>
              <w:t>按</w:t>
            </w:r>
            <w:r>
              <w:t>80L/人计，生活污水预计最大产生量约1.2m</w:t>
            </w:r>
            <w:r>
              <w:rPr>
                <w:vertAlign w:val="superscript"/>
              </w:rPr>
              <w:t>3</w:t>
            </w:r>
            <w:r>
              <w:t>/d，污水量排放量按用水量的80%计，则施工人员生活污水排放量为0.96m</w:t>
            </w:r>
            <w:r>
              <w:rPr>
                <w:vertAlign w:val="superscript"/>
              </w:rPr>
              <w:t>3</w:t>
            </w:r>
            <w:r>
              <w:t>/d，主要污染物为COD</w:t>
            </w:r>
            <w:r>
              <w:rPr>
                <w:vertAlign w:val="subscript"/>
              </w:rPr>
              <w:t>Cr</w:t>
            </w:r>
            <w:r>
              <w:t>、BOD</w:t>
            </w:r>
            <w:r>
              <w:rPr>
                <w:vertAlign w:val="subscript"/>
              </w:rPr>
              <w:t>5</w:t>
            </w:r>
            <w:r>
              <w:t>、NH</w:t>
            </w:r>
            <w:r>
              <w:rPr>
                <w:vertAlign w:val="subscript"/>
              </w:rPr>
              <w:t>3</w:t>
            </w:r>
            <w:r>
              <w:t>-N、SS。</w:t>
            </w:r>
            <w:r>
              <w:rPr>
                <w:kern w:val="0"/>
              </w:rPr>
              <w:t>施工期间生活污水依托周边农户解决</w:t>
            </w:r>
            <w:r>
              <w:t>，用于农田灌溉。</w:t>
            </w:r>
          </w:p>
          <w:p>
            <w:pPr>
              <w:spacing w:line="360" w:lineRule="auto"/>
              <w:ind w:firstLine="482" w:firstLineChars="200"/>
              <w:rPr>
                <w:b/>
              </w:rPr>
            </w:pPr>
            <w:r>
              <w:rPr>
                <w:b/>
              </w:rPr>
              <w:t>（2）生产废水</w:t>
            </w:r>
          </w:p>
          <w:p>
            <w:pPr>
              <w:spacing w:line="360" w:lineRule="auto"/>
              <w:ind w:firstLine="480"/>
            </w:pPr>
            <w:r>
              <w:t>施工废水主要来源于</w:t>
            </w:r>
            <w:r>
              <w:rPr>
                <w:kern w:val="0"/>
              </w:rPr>
              <w:t>施工期间产生水泥砼养护废水、机械和车辆冲洗废水等</w:t>
            </w:r>
            <w:r>
              <w:t>，约1m</w:t>
            </w:r>
            <w:r>
              <w:rPr>
                <w:vertAlign w:val="superscript"/>
              </w:rPr>
              <w:t>3</w:t>
            </w:r>
            <w:r>
              <w:t>/d，主要含泥砂，SS浓度400~1000mg/L，pH值呈弱碱性，并带有少量油污。施工废水经简单沉淀池处理后循环使用或用于施工场地的洒水降尘，不外排。</w:t>
            </w:r>
          </w:p>
          <w:p>
            <w:pPr>
              <w:spacing w:line="360" w:lineRule="auto"/>
              <w:ind w:firstLine="482" w:firstLineChars="200"/>
              <w:rPr>
                <w:rFonts w:cs="Times New Roman"/>
                <w:b/>
                <w:szCs w:val="24"/>
              </w:rPr>
            </w:pPr>
            <w:r>
              <w:rPr>
                <w:rFonts w:cs="Times New Roman"/>
                <w:b/>
                <w:szCs w:val="24"/>
              </w:rPr>
              <w:t>3、施工期噪声</w:t>
            </w:r>
          </w:p>
          <w:p>
            <w:pPr>
              <w:pStyle w:val="189"/>
              <w:ind w:firstLine="480"/>
              <w:rPr>
                <w:rFonts w:ascii="Times New Roman" w:hAnsi="Times New Roman" w:cs="Times New Roman"/>
              </w:rPr>
            </w:pPr>
            <w:r>
              <w:rPr>
                <w:rFonts w:ascii="宋体" w:hAnsi="宋体" w:eastAsia="宋体" w:cs="Times New Roman"/>
              </w:rPr>
              <w:t>施工期噪声来源于施工开挖等施工活动中的施工机械运行、汽车运输等。施工期机械噪声源主要为：挖土机、打桩机、起重机、推土机等，噪声级均在</w:t>
            </w:r>
            <w:r>
              <w:rPr>
                <w:rFonts w:hint="eastAsia" w:ascii="Times New Roman" w:hAnsi="Times New Roman" w:cs="Times New Roman"/>
              </w:rPr>
              <w:t>8</w:t>
            </w:r>
            <w:r>
              <w:rPr>
                <w:rFonts w:ascii="Times New Roman" w:hAnsi="Times New Roman" w:cs="Times New Roman"/>
              </w:rPr>
              <w:t>5dB(A)-110dB(A)</w:t>
            </w:r>
            <w:r>
              <w:rPr>
                <w:rFonts w:ascii="宋体" w:hAnsi="宋体" w:eastAsia="宋体" w:cs="Times New Roman"/>
              </w:rPr>
              <w:t>之间。根据《环境噪声与振动控制工程技术导则》（</w:t>
            </w:r>
            <w:r>
              <w:rPr>
                <w:rFonts w:ascii="Times New Roman" w:hAnsi="Times New Roman" w:cs="Times New Roman"/>
              </w:rPr>
              <w:t>HJ 2034</w:t>
            </w:r>
            <w:r>
              <w:rPr>
                <w:rFonts w:ascii="Times New Roman" w:hAnsi="Times New Roman" w:eastAsia="宋体" w:cs="Times New Roman"/>
              </w:rPr>
              <w:t>-</w:t>
            </w:r>
            <w:r>
              <w:rPr>
                <w:rFonts w:ascii="Times New Roman" w:hAnsi="Times New Roman" w:cs="Times New Roman"/>
              </w:rPr>
              <w:t>2013</w:t>
            </w:r>
            <w:r>
              <w:rPr>
                <w:rFonts w:ascii="宋体" w:hAnsi="宋体" w:eastAsia="宋体" w:cs="Times New Roman"/>
              </w:rPr>
              <w:t>），施工阶段各机械设备及车辆的主要噪声源见下表。</w:t>
            </w:r>
          </w:p>
          <w:p>
            <w:pPr>
              <w:pStyle w:val="135"/>
              <w:spacing w:before="120" w:after="120" w:line="240" w:lineRule="auto"/>
              <w:jc w:val="center"/>
              <w:rPr>
                <w:rFonts w:ascii="Times New Roman" w:hAnsi="Times New Roman" w:eastAsia="宋体" w:cs="Times New Roman"/>
                <w:b/>
                <w:sz w:val="24"/>
                <w:szCs w:val="24"/>
              </w:rPr>
            </w:pPr>
            <w:r>
              <w:rPr>
                <w:rFonts w:ascii="Times New Roman" w:hAnsi="Times New Roman" w:eastAsia="宋体" w:cs="Times New Roman"/>
                <w:b/>
                <w:sz w:val="24"/>
                <w:szCs w:val="24"/>
              </w:rPr>
              <w:t>表5-3  各种机械设备的噪声值</w:t>
            </w:r>
          </w:p>
          <w:p>
            <w:pPr>
              <w:pStyle w:val="29"/>
              <w:ind w:left="480" w:firstLine="500"/>
              <w:jc w:val="right"/>
              <w:rPr>
                <w:bCs/>
              </w:rPr>
            </w:pPr>
            <w:r>
              <w:rPr>
                <w:rFonts w:eastAsia="黑体"/>
                <w:bCs/>
                <w:spacing w:val="20"/>
                <w:kern w:val="24"/>
              </w:rPr>
              <w:t>单位：Leq[dB（A）]</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8"/>
              <w:gridCol w:w="2047"/>
              <w:gridCol w:w="1945"/>
              <w:gridCol w:w="2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318" w:type="dxa"/>
                  <w:vAlign w:val="center"/>
                </w:tcPr>
                <w:p>
                  <w:pPr>
                    <w:pStyle w:val="81"/>
                    <w:framePr w:hSpace="0" w:wrap="auto" w:vAnchor="margin" w:hAnchor="text" w:yAlign="inline"/>
                    <w:spacing w:line="360" w:lineRule="auto"/>
                    <w:rPr>
                      <w:sz w:val="21"/>
                      <w:szCs w:val="21"/>
                    </w:rPr>
                  </w:pPr>
                  <w:r>
                    <w:rPr>
                      <w:sz w:val="21"/>
                      <w:szCs w:val="21"/>
                    </w:rPr>
                    <w:t>序号</w:t>
                  </w:r>
                </w:p>
              </w:tc>
              <w:tc>
                <w:tcPr>
                  <w:tcW w:w="2047" w:type="dxa"/>
                  <w:vAlign w:val="center"/>
                </w:tcPr>
                <w:p>
                  <w:pPr>
                    <w:pStyle w:val="81"/>
                    <w:framePr w:hSpace="0" w:wrap="auto" w:vAnchor="margin" w:hAnchor="text" w:yAlign="inline"/>
                    <w:spacing w:line="360" w:lineRule="auto"/>
                    <w:rPr>
                      <w:sz w:val="21"/>
                      <w:szCs w:val="21"/>
                    </w:rPr>
                  </w:pPr>
                  <w:r>
                    <w:rPr>
                      <w:sz w:val="21"/>
                      <w:szCs w:val="21"/>
                    </w:rPr>
                    <w:t>机械类型</w:t>
                  </w:r>
                </w:p>
              </w:tc>
              <w:tc>
                <w:tcPr>
                  <w:tcW w:w="1945" w:type="dxa"/>
                  <w:vAlign w:val="center"/>
                </w:tcPr>
                <w:p>
                  <w:pPr>
                    <w:pStyle w:val="81"/>
                    <w:framePr w:hSpace="0" w:wrap="auto" w:vAnchor="margin" w:hAnchor="text" w:yAlign="inline"/>
                    <w:spacing w:line="360" w:lineRule="auto"/>
                    <w:rPr>
                      <w:sz w:val="21"/>
                      <w:szCs w:val="21"/>
                    </w:rPr>
                  </w:pPr>
                  <w:r>
                    <w:rPr>
                      <w:sz w:val="21"/>
                      <w:szCs w:val="21"/>
                    </w:rPr>
                    <w:t>声源特点</w:t>
                  </w:r>
                </w:p>
              </w:tc>
              <w:tc>
                <w:tcPr>
                  <w:tcW w:w="2992" w:type="dxa"/>
                  <w:vAlign w:val="center"/>
                </w:tcPr>
                <w:p>
                  <w:pPr>
                    <w:pStyle w:val="81"/>
                    <w:framePr w:hSpace="0" w:wrap="auto" w:vAnchor="margin" w:hAnchor="text" w:yAlign="inline"/>
                    <w:spacing w:line="360" w:lineRule="auto"/>
                    <w:rPr>
                      <w:sz w:val="21"/>
                      <w:szCs w:val="21"/>
                    </w:rPr>
                  </w:pPr>
                  <w:r>
                    <w:rPr>
                      <w:sz w:val="21"/>
                      <w:szCs w:val="21"/>
                    </w:rPr>
                    <w:t>距离设备5m处噪声值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318" w:type="dxa"/>
                  <w:vAlign w:val="center"/>
                </w:tcPr>
                <w:p>
                  <w:pPr>
                    <w:pStyle w:val="80"/>
                    <w:framePr w:hSpace="0" w:wrap="auto" w:vAnchor="margin" w:hAnchor="text" w:yAlign="inline"/>
                    <w:spacing w:line="360" w:lineRule="auto"/>
                  </w:pPr>
                  <w:r>
                    <w:t>1</w:t>
                  </w:r>
                </w:p>
              </w:tc>
              <w:tc>
                <w:tcPr>
                  <w:tcW w:w="2047" w:type="dxa"/>
                  <w:vAlign w:val="center"/>
                </w:tcPr>
                <w:p>
                  <w:pPr>
                    <w:pStyle w:val="80"/>
                    <w:framePr w:hSpace="0" w:wrap="auto" w:vAnchor="margin" w:hAnchor="text" w:yAlign="inline"/>
                    <w:spacing w:line="360" w:lineRule="auto"/>
                  </w:pPr>
                  <w:r>
                    <w:t>挖土机</w:t>
                  </w:r>
                </w:p>
              </w:tc>
              <w:tc>
                <w:tcPr>
                  <w:tcW w:w="1945" w:type="dxa"/>
                  <w:vAlign w:val="center"/>
                </w:tcPr>
                <w:p>
                  <w:pPr>
                    <w:pStyle w:val="80"/>
                    <w:framePr w:hSpace="0" w:wrap="auto" w:vAnchor="margin" w:hAnchor="text" w:yAlign="inline"/>
                    <w:spacing w:line="360" w:lineRule="auto"/>
                  </w:pPr>
                  <w:r>
                    <w:t>流动不稳态源</w:t>
                  </w:r>
                </w:p>
              </w:tc>
              <w:tc>
                <w:tcPr>
                  <w:tcW w:w="2992" w:type="dxa"/>
                  <w:vAlign w:val="center"/>
                </w:tcPr>
                <w:p>
                  <w:pPr>
                    <w:pStyle w:val="80"/>
                    <w:framePr w:hSpace="0" w:wrap="auto" w:vAnchor="margin" w:hAnchor="text" w:yAlign="inline"/>
                    <w:spacing w:line="360" w:lineRule="auto"/>
                  </w:pPr>
                  <w: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318" w:type="dxa"/>
                  <w:vAlign w:val="center"/>
                </w:tcPr>
                <w:p>
                  <w:pPr>
                    <w:pStyle w:val="80"/>
                    <w:framePr w:hSpace="0" w:wrap="auto" w:vAnchor="margin" w:hAnchor="text" w:yAlign="inline"/>
                    <w:spacing w:line="360" w:lineRule="auto"/>
                  </w:pPr>
                  <w:r>
                    <w:t>2</w:t>
                  </w:r>
                </w:p>
              </w:tc>
              <w:tc>
                <w:tcPr>
                  <w:tcW w:w="2047" w:type="dxa"/>
                  <w:vAlign w:val="center"/>
                </w:tcPr>
                <w:p>
                  <w:pPr>
                    <w:pStyle w:val="80"/>
                    <w:framePr w:hSpace="0" w:wrap="auto" w:vAnchor="margin" w:hAnchor="text" w:yAlign="inline"/>
                    <w:spacing w:line="360" w:lineRule="auto"/>
                  </w:pPr>
                  <w:r>
                    <w:t>打桩机</w:t>
                  </w:r>
                </w:p>
              </w:tc>
              <w:tc>
                <w:tcPr>
                  <w:tcW w:w="1945" w:type="dxa"/>
                  <w:vAlign w:val="center"/>
                </w:tcPr>
                <w:p>
                  <w:pPr>
                    <w:pStyle w:val="80"/>
                    <w:framePr w:hSpace="0" w:wrap="auto" w:vAnchor="margin" w:hAnchor="text" w:yAlign="inline"/>
                    <w:spacing w:line="360" w:lineRule="auto"/>
                  </w:pPr>
                  <w:r>
                    <w:t>流动不稳态源</w:t>
                  </w:r>
                </w:p>
              </w:tc>
              <w:tc>
                <w:tcPr>
                  <w:tcW w:w="2992" w:type="dxa"/>
                  <w:vAlign w:val="center"/>
                </w:tcPr>
                <w:p>
                  <w:pPr>
                    <w:pStyle w:val="80"/>
                    <w:framePr w:hSpace="0" w:wrap="auto" w:vAnchor="margin" w:hAnchor="text" w:yAlign="inline"/>
                    <w:spacing w:line="360" w:lineRule="auto"/>
                  </w:pPr>
                  <w: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318" w:type="dxa"/>
                  <w:vAlign w:val="center"/>
                </w:tcPr>
                <w:p>
                  <w:pPr>
                    <w:pStyle w:val="80"/>
                    <w:framePr w:hSpace="0" w:wrap="auto" w:vAnchor="margin" w:hAnchor="text" w:yAlign="inline"/>
                    <w:spacing w:line="360" w:lineRule="auto"/>
                  </w:pPr>
                  <w:r>
                    <w:t>3</w:t>
                  </w:r>
                </w:p>
              </w:tc>
              <w:tc>
                <w:tcPr>
                  <w:tcW w:w="2047" w:type="dxa"/>
                  <w:vAlign w:val="center"/>
                </w:tcPr>
                <w:p>
                  <w:pPr>
                    <w:pStyle w:val="80"/>
                    <w:framePr w:hSpace="0" w:wrap="auto" w:vAnchor="margin" w:hAnchor="text" w:yAlign="inline"/>
                    <w:spacing w:line="360" w:lineRule="auto"/>
                  </w:pPr>
                  <w:r>
                    <w:t>起重机</w:t>
                  </w:r>
                </w:p>
              </w:tc>
              <w:tc>
                <w:tcPr>
                  <w:tcW w:w="1945" w:type="dxa"/>
                  <w:vAlign w:val="center"/>
                </w:tcPr>
                <w:p>
                  <w:pPr>
                    <w:pStyle w:val="80"/>
                    <w:framePr w:hSpace="0" w:wrap="auto" w:vAnchor="margin" w:hAnchor="text" w:yAlign="inline"/>
                    <w:spacing w:line="360" w:lineRule="auto"/>
                  </w:pPr>
                  <w:r>
                    <w:t>流动不稳态源</w:t>
                  </w:r>
                </w:p>
              </w:tc>
              <w:tc>
                <w:tcPr>
                  <w:tcW w:w="2992" w:type="dxa"/>
                  <w:vAlign w:val="center"/>
                </w:tcPr>
                <w:p>
                  <w:pPr>
                    <w:pStyle w:val="80"/>
                    <w:framePr w:hSpace="0" w:wrap="auto" w:vAnchor="margin" w:hAnchor="text" w:yAlign="inline"/>
                    <w:spacing w:line="360" w:lineRule="auto"/>
                  </w:pPr>
                  <w: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318" w:type="dxa"/>
                  <w:vAlign w:val="center"/>
                </w:tcPr>
                <w:p>
                  <w:pPr>
                    <w:pStyle w:val="80"/>
                    <w:framePr w:hSpace="0" w:wrap="auto" w:vAnchor="margin" w:hAnchor="text" w:yAlign="inline"/>
                    <w:spacing w:line="360" w:lineRule="auto"/>
                  </w:pPr>
                  <w:r>
                    <w:t>4</w:t>
                  </w:r>
                </w:p>
              </w:tc>
              <w:tc>
                <w:tcPr>
                  <w:tcW w:w="2047" w:type="dxa"/>
                  <w:vAlign w:val="center"/>
                </w:tcPr>
                <w:p>
                  <w:pPr>
                    <w:pStyle w:val="80"/>
                    <w:framePr w:hSpace="0" w:wrap="auto" w:vAnchor="margin" w:hAnchor="text" w:yAlign="inline"/>
                    <w:spacing w:line="360" w:lineRule="auto"/>
                  </w:pPr>
                  <w:r>
                    <w:t>推土机</w:t>
                  </w:r>
                </w:p>
              </w:tc>
              <w:tc>
                <w:tcPr>
                  <w:tcW w:w="1945" w:type="dxa"/>
                  <w:vAlign w:val="center"/>
                </w:tcPr>
                <w:p>
                  <w:pPr>
                    <w:pStyle w:val="80"/>
                    <w:framePr w:hSpace="0" w:wrap="auto" w:vAnchor="margin" w:hAnchor="text" w:yAlign="inline"/>
                    <w:spacing w:line="360" w:lineRule="auto"/>
                  </w:pPr>
                  <w:r>
                    <w:t>流动不稳态源</w:t>
                  </w:r>
                </w:p>
              </w:tc>
              <w:tc>
                <w:tcPr>
                  <w:tcW w:w="2992" w:type="dxa"/>
                  <w:vAlign w:val="center"/>
                </w:tcPr>
                <w:p>
                  <w:pPr>
                    <w:pStyle w:val="80"/>
                    <w:framePr w:hSpace="0" w:wrap="auto" w:vAnchor="margin" w:hAnchor="text" w:yAlign="inline"/>
                    <w:spacing w:line="360" w:lineRule="auto"/>
                  </w:pPr>
                  <w: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318" w:type="dxa"/>
                  <w:vAlign w:val="center"/>
                </w:tcPr>
                <w:p>
                  <w:pPr>
                    <w:pStyle w:val="80"/>
                    <w:framePr w:hSpace="0" w:wrap="auto" w:vAnchor="margin" w:hAnchor="text" w:yAlign="inline"/>
                    <w:spacing w:line="360" w:lineRule="auto"/>
                  </w:pPr>
                  <w:r>
                    <w:t>5</w:t>
                  </w:r>
                </w:p>
              </w:tc>
              <w:tc>
                <w:tcPr>
                  <w:tcW w:w="2047" w:type="dxa"/>
                  <w:vAlign w:val="center"/>
                </w:tcPr>
                <w:p>
                  <w:pPr>
                    <w:pStyle w:val="80"/>
                    <w:framePr w:hSpace="0" w:wrap="auto" w:vAnchor="margin" w:hAnchor="text" w:yAlign="inline"/>
                    <w:spacing w:line="360" w:lineRule="auto"/>
                  </w:pPr>
                  <w:r>
                    <w:t>运输车辆</w:t>
                  </w:r>
                </w:p>
              </w:tc>
              <w:tc>
                <w:tcPr>
                  <w:tcW w:w="1945" w:type="dxa"/>
                  <w:vAlign w:val="center"/>
                </w:tcPr>
                <w:p>
                  <w:pPr>
                    <w:pStyle w:val="80"/>
                    <w:framePr w:hSpace="0" w:wrap="auto" w:vAnchor="margin" w:hAnchor="text" w:yAlign="inline"/>
                    <w:spacing w:line="360" w:lineRule="auto"/>
                  </w:pPr>
                  <w:r>
                    <w:t>流动不稳态源</w:t>
                  </w:r>
                </w:p>
              </w:tc>
              <w:tc>
                <w:tcPr>
                  <w:tcW w:w="2992" w:type="dxa"/>
                  <w:vAlign w:val="center"/>
                </w:tcPr>
                <w:p>
                  <w:pPr>
                    <w:pStyle w:val="80"/>
                    <w:framePr w:hSpace="0" w:wrap="auto" w:vAnchor="margin" w:hAnchor="text" w:yAlign="inline"/>
                    <w:spacing w:line="360" w:lineRule="auto"/>
                  </w:pPr>
                  <w:r>
                    <w:t>88</w:t>
                  </w:r>
                </w:p>
              </w:tc>
            </w:tr>
          </w:tbl>
          <w:p>
            <w:pPr>
              <w:spacing w:line="360" w:lineRule="auto"/>
              <w:ind w:firstLine="480"/>
            </w:pPr>
            <w:r>
              <w:t>由上表可知，本项目在施工期</w:t>
            </w:r>
            <w:r>
              <w:rPr>
                <w:rFonts w:hint="eastAsia"/>
              </w:rPr>
              <w:t>场</w:t>
            </w:r>
            <w:r>
              <w:t>界噪声不能满足《建筑施工</w:t>
            </w:r>
            <w:r>
              <w:rPr>
                <w:rFonts w:hint="eastAsia"/>
              </w:rPr>
              <w:t>场</w:t>
            </w:r>
            <w:r>
              <w:t>界环境噪声排放标准》（GB12523-2011），针对本项目特点，本环评提出如下的防治措施：</w:t>
            </w:r>
          </w:p>
          <w:p>
            <w:pPr>
              <w:spacing w:line="360" w:lineRule="auto"/>
              <w:ind w:firstLine="480" w:firstLineChars="200"/>
            </w:pPr>
            <w:r>
              <w:rPr>
                <w:rFonts w:hint="eastAsia"/>
              </w:rPr>
              <w:t>①</w:t>
            </w:r>
            <w:r>
              <w:t>合理安排作业时间，避开敏感时段施工，避免大量高噪声设备同时运行；严禁夜间（22:00--6:00）、午间（12:00--14:00）进行产生噪声污染的施工作业，如必须连续作业的，必须取得当地有关部门的批准后，并且公告附近居民，取得群众谅解后方可施工。</w:t>
            </w:r>
          </w:p>
          <w:p>
            <w:pPr>
              <w:spacing w:line="360" w:lineRule="auto"/>
              <w:ind w:firstLine="480" w:firstLineChars="200"/>
            </w:pPr>
            <w:r>
              <w:rPr>
                <w:rFonts w:hint="eastAsia"/>
              </w:rPr>
              <w:t>②</w:t>
            </w:r>
            <w:r>
              <w:t>应严格按照《</w:t>
            </w:r>
            <w:r>
              <w:rPr>
                <w:rFonts w:hint="eastAsia"/>
              </w:rPr>
              <w:t>建筑施工场界环境噪声排放标准</w:t>
            </w:r>
            <w:r>
              <w:t>》（GB12523-2011）对施工</w:t>
            </w:r>
            <w:r>
              <w:rPr>
                <w:rFonts w:hint="eastAsia"/>
              </w:rPr>
              <w:t>场</w:t>
            </w:r>
            <w:r>
              <w:t>界进行噪声控制，加强施工管理，合格安排施工作业时间，禁止夜间施工。对因施工工艺要求或其他特殊需求在夜间进行超过噪声限值施工的，施工前建设单位应向有关部门提出申请，经批准后方可进行夜间施工，并应与可能受影响的居民联系，将</w:t>
            </w:r>
            <w:r>
              <w:rPr>
                <w:rFonts w:hint="eastAsia"/>
              </w:rPr>
              <w:t>生态环境主管部门</w:t>
            </w:r>
            <w:r>
              <w:t>意见通告居民，接受公众监督。</w:t>
            </w:r>
          </w:p>
          <w:p>
            <w:pPr>
              <w:spacing w:line="360" w:lineRule="auto"/>
              <w:ind w:firstLine="480" w:firstLineChars="200"/>
            </w:pPr>
            <w:r>
              <w:rPr>
                <w:rFonts w:hint="eastAsia"/>
              </w:rPr>
              <w:t>③</w:t>
            </w:r>
            <w:r>
              <w:t>施工设备尽量采用先进低噪声设备，对产生噪声的施工设备加强维护和维修工作。</w:t>
            </w:r>
          </w:p>
          <w:p>
            <w:pPr>
              <w:spacing w:line="360" w:lineRule="auto"/>
              <w:ind w:firstLine="480" w:firstLineChars="200"/>
            </w:pPr>
            <w:r>
              <w:rPr>
                <w:rFonts w:hint="eastAsia"/>
              </w:rPr>
              <w:t>④</w:t>
            </w:r>
            <w:r>
              <w:t>优化运输方案，机械车辆途经居住区时必须减速慢行，禁鸣喇叭。</w:t>
            </w:r>
          </w:p>
          <w:p>
            <w:pPr>
              <w:spacing w:line="360" w:lineRule="auto"/>
              <w:ind w:firstLine="480" w:firstLineChars="200"/>
            </w:pPr>
            <w:r>
              <w:rPr>
                <w:rFonts w:hint="eastAsia"/>
              </w:rPr>
              <w:t>⑤</w:t>
            </w:r>
            <w:r>
              <w:t>合理布置施工场地，适当控制机械作业密度，条件允许时拉开一定距离，避免形成噪声叠加；对于集中居住区等敏感地点附近的作业场地，修建临时隔声屏障，应尽量避免在中午午休时间施工</w:t>
            </w:r>
            <w:r>
              <w:rPr>
                <w:rFonts w:hint="eastAsia"/>
              </w:rPr>
              <w:t>；将高噪设备尽量设在远离附近居民一侧</w:t>
            </w:r>
            <w:r>
              <w:t>。</w:t>
            </w:r>
          </w:p>
          <w:p>
            <w:pPr>
              <w:spacing w:line="360" w:lineRule="auto"/>
              <w:ind w:firstLine="480" w:firstLineChars="200"/>
            </w:pPr>
            <w:r>
              <w:rPr>
                <w:rFonts w:hint="eastAsia"/>
              </w:rPr>
              <w:t>⑥</w:t>
            </w:r>
            <w:r>
              <w:t>采用集中力量、逐段施工方法，缩短施工周期，减轻施工噪声对局部地段声环境的影响。</w:t>
            </w:r>
          </w:p>
          <w:p>
            <w:pPr>
              <w:spacing w:line="360" w:lineRule="auto"/>
              <w:ind w:firstLine="482" w:firstLineChars="200"/>
              <w:rPr>
                <w:rFonts w:cs="Times New Roman"/>
                <w:b/>
                <w:szCs w:val="24"/>
              </w:rPr>
            </w:pPr>
            <w:r>
              <w:rPr>
                <w:rFonts w:cs="Times New Roman"/>
                <w:b/>
                <w:szCs w:val="24"/>
              </w:rPr>
              <w:t>4、施工期固体废弃物</w:t>
            </w:r>
          </w:p>
          <w:p>
            <w:pPr>
              <w:adjustRightInd w:val="0"/>
              <w:snapToGrid w:val="0"/>
              <w:spacing w:line="360" w:lineRule="auto"/>
              <w:ind w:right="91" w:firstLine="480" w:firstLineChars="200"/>
              <w:rPr>
                <w:rFonts w:cs="Times New Roman"/>
              </w:rPr>
            </w:pPr>
            <w:r>
              <w:rPr>
                <w:rFonts w:cs="Times New Roman"/>
              </w:rPr>
              <w:t>施工期产生的固体废弃物为施工现场建筑</w:t>
            </w:r>
            <w:r>
              <w:rPr>
                <w:rFonts w:hint="eastAsia" w:cs="Times New Roman"/>
              </w:rPr>
              <w:t>垃圾、开挖土方</w:t>
            </w:r>
            <w:r>
              <w:rPr>
                <w:rFonts w:cs="Times New Roman"/>
              </w:rPr>
              <w:t>和施工人员生活垃圾。</w:t>
            </w:r>
          </w:p>
          <w:p>
            <w:pPr>
              <w:pStyle w:val="188"/>
              <w:adjustRightInd w:val="0"/>
              <w:snapToGrid w:val="0"/>
              <w:spacing w:line="360" w:lineRule="auto"/>
              <w:ind w:firstLine="482"/>
              <w:rPr>
                <w:rFonts w:cs="Times New Roman"/>
              </w:rPr>
            </w:pPr>
            <w:r>
              <w:rPr>
                <w:rFonts w:hint="eastAsia" w:cs="Times New Roman"/>
                <w:b/>
              </w:rPr>
              <w:t>（1）</w:t>
            </w:r>
            <w:r>
              <w:rPr>
                <w:rFonts w:cs="Times New Roman"/>
                <w:b/>
              </w:rPr>
              <w:t>施工人员产生的生活垃圾</w:t>
            </w:r>
          </w:p>
          <w:p>
            <w:pPr>
              <w:adjustRightInd w:val="0"/>
              <w:snapToGrid w:val="0"/>
              <w:spacing w:line="360" w:lineRule="auto"/>
              <w:ind w:firstLine="480" w:firstLineChars="200"/>
            </w:pPr>
            <w:r>
              <w:t>项目施工期间，施工人员按照15人计，产生的生活垃圾按0.5kg/（人·d）计，则在施工期生活垃圾产生量为7.5kg/d。</w:t>
            </w:r>
          </w:p>
          <w:p>
            <w:pPr>
              <w:adjustRightInd w:val="0"/>
              <w:snapToGrid w:val="0"/>
              <w:spacing w:line="360" w:lineRule="auto"/>
              <w:ind w:firstLine="480" w:firstLineChars="200"/>
              <w:rPr>
                <w:rFonts w:cs="Times New Roman"/>
              </w:rPr>
            </w:pPr>
            <w:r>
              <w:t>防治措施：施工人员生活垃圾经集中收集后由环卫部门统一处理</w:t>
            </w:r>
            <w:r>
              <w:rPr>
                <w:rFonts w:cs="Times New Roman"/>
              </w:rPr>
              <w:t>。</w:t>
            </w:r>
          </w:p>
          <w:p>
            <w:pPr>
              <w:adjustRightInd w:val="0"/>
              <w:snapToGrid w:val="0"/>
              <w:spacing w:line="360" w:lineRule="auto"/>
              <w:ind w:right="91" w:firstLine="482"/>
              <w:rPr>
                <w:rFonts w:cs="Times New Roman"/>
              </w:rPr>
            </w:pPr>
            <w:r>
              <w:rPr>
                <w:rFonts w:hint="eastAsia" w:ascii="宋体" w:hAnsi="宋体" w:cs="宋体"/>
                <w:b/>
              </w:rPr>
              <w:t>（2）</w:t>
            </w:r>
            <w:r>
              <w:rPr>
                <w:rFonts w:cs="Times New Roman"/>
                <w:b/>
              </w:rPr>
              <w:t>施工现场建筑废物</w:t>
            </w:r>
          </w:p>
          <w:p>
            <w:pPr>
              <w:adjustRightInd w:val="0"/>
              <w:snapToGrid w:val="0"/>
              <w:spacing w:line="360" w:lineRule="auto"/>
              <w:ind w:firstLine="480" w:firstLineChars="200"/>
            </w:pPr>
            <w:r>
              <w:t>建筑垃圾主要包括砂石、石块、废混凝土、包装材料等杂物。</w:t>
            </w:r>
          </w:p>
          <w:p>
            <w:pPr>
              <w:adjustRightInd w:val="0"/>
              <w:snapToGrid w:val="0"/>
              <w:spacing w:line="360" w:lineRule="auto"/>
              <w:ind w:firstLine="480" w:firstLineChars="200"/>
              <w:rPr>
                <w:rFonts w:cs="Times New Roman"/>
              </w:rPr>
            </w:pPr>
            <w:r>
              <w:t>防治措施：废物收集堆放于指定地点。在施工期加强对废物的收集和管理，将建筑垃圾中能回收的废材料、废包装等出售给废品回收公司处理，不能回收的建筑垃圾运往建设部门指定地点处理。</w:t>
            </w:r>
          </w:p>
          <w:p>
            <w:pPr>
              <w:adjustRightInd w:val="0"/>
              <w:snapToGrid w:val="0"/>
              <w:spacing w:line="360" w:lineRule="auto"/>
              <w:ind w:firstLine="482" w:firstLineChars="200"/>
              <w:rPr>
                <w:rFonts w:cs="Times New Roman"/>
              </w:rPr>
            </w:pPr>
            <w:r>
              <w:rPr>
                <w:rFonts w:hint="eastAsia" w:ascii="宋体" w:hAnsi="宋体" w:cs="宋体"/>
                <w:b/>
              </w:rPr>
              <w:t>（3）开挖土方</w:t>
            </w:r>
          </w:p>
          <w:p>
            <w:pPr>
              <w:adjustRightInd w:val="0"/>
              <w:snapToGrid w:val="0"/>
              <w:spacing w:line="360" w:lineRule="auto"/>
              <w:ind w:firstLine="480" w:firstLineChars="200"/>
              <w:rPr>
                <w:rFonts w:cs="Times New Roman"/>
              </w:rPr>
            </w:pPr>
            <w:r>
              <w:rPr>
                <w:rFonts w:cs="Times New Roman"/>
              </w:rPr>
              <w:t>施工期</w:t>
            </w:r>
            <w:r>
              <w:rPr>
                <w:rFonts w:hint="eastAsia" w:cs="Times New Roman"/>
              </w:rPr>
              <w:t>污水处理站施工开挖挖方量约</w:t>
            </w:r>
            <w:r>
              <w:rPr>
                <w:rFonts w:cs="Times New Roman"/>
              </w:rPr>
              <w:t>500</w:t>
            </w:r>
            <w:r>
              <w:rPr>
                <w:rFonts w:hint="eastAsia" w:cs="Times New Roman"/>
              </w:rPr>
              <w:t>m</w:t>
            </w:r>
            <w:r>
              <w:rPr>
                <w:rFonts w:hint="eastAsia" w:cs="Times New Roman"/>
                <w:vertAlign w:val="superscript"/>
              </w:rPr>
              <w:t>3</w:t>
            </w:r>
            <w:r>
              <w:rPr>
                <w:rFonts w:hint="eastAsia" w:cs="Times New Roman"/>
              </w:rPr>
              <w:t>，全部</w:t>
            </w:r>
            <w:r>
              <w:rPr>
                <w:rFonts w:cs="Times New Roman"/>
              </w:rPr>
              <w:t>用于项目周边场地平整，表土用于</w:t>
            </w:r>
            <w:r>
              <w:rPr>
                <w:rFonts w:hint="eastAsia" w:cs="Times New Roman"/>
              </w:rPr>
              <w:t>后期绿化覆土</w:t>
            </w:r>
            <w:r>
              <w:rPr>
                <w:rFonts w:cs="Times New Roman"/>
              </w:rPr>
              <w:t>。施工期</w:t>
            </w:r>
            <w:r>
              <w:rPr>
                <w:rFonts w:hint="eastAsia" w:cs="Times New Roman"/>
              </w:rPr>
              <w:t>管网开挖挖方量约</w:t>
            </w:r>
            <w:r>
              <w:rPr>
                <w:rFonts w:cs="Times New Roman"/>
              </w:rPr>
              <w:t>855</w:t>
            </w:r>
            <w:r>
              <w:rPr>
                <w:rFonts w:hint="eastAsia" w:cs="Times New Roman"/>
              </w:rPr>
              <w:t>m</w:t>
            </w:r>
            <w:r>
              <w:rPr>
                <w:rFonts w:hint="eastAsia" w:cs="Times New Roman"/>
                <w:vertAlign w:val="superscript"/>
              </w:rPr>
              <w:t>3</w:t>
            </w:r>
            <w:r>
              <w:rPr>
                <w:rFonts w:hint="eastAsia" w:cs="Times New Roman"/>
              </w:rPr>
              <w:t>，部分回填后剩余部分全部</w:t>
            </w:r>
            <w:r>
              <w:rPr>
                <w:rFonts w:cs="Times New Roman"/>
              </w:rPr>
              <w:t>用于</w:t>
            </w:r>
            <w:r>
              <w:rPr>
                <w:rFonts w:hint="eastAsia" w:cs="Times New Roman"/>
              </w:rPr>
              <w:t>后期污水处理站站内绿化用土。项目</w:t>
            </w:r>
            <w:r>
              <w:rPr>
                <w:rFonts w:cs="Times New Roman"/>
              </w:rPr>
              <w:t>可实现土石方平衡，无弃方产生。</w:t>
            </w:r>
          </w:p>
          <w:p>
            <w:pPr>
              <w:adjustRightInd w:val="0"/>
              <w:snapToGrid w:val="0"/>
              <w:spacing w:line="360" w:lineRule="auto"/>
              <w:ind w:firstLine="480" w:firstLineChars="200"/>
            </w:pPr>
            <w:r>
              <w:rPr>
                <w:rFonts w:hint="eastAsia"/>
              </w:rPr>
              <w:t>临时堆土</w:t>
            </w:r>
            <w:r>
              <w:t>前需修建排洪沟、截水沟等工程措施，并且应采取覆盖措施，尽可能避免</w:t>
            </w:r>
            <w:r>
              <w:rPr>
                <w:rFonts w:hint="eastAsia"/>
              </w:rPr>
              <w:t>土方</w:t>
            </w:r>
            <w:r>
              <w:t>流失</w:t>
            </w:r>
            <w:r>
              <w:rPr>
                <w:rFonts w:hint="eastAsia"/>
              </w:rPr>
              <w:t>，土方尽快回填。</w:t>
            </w:r>
          </w:p>
          <w:p>
            <w:pPr>
              <w:adjustRightInd w:val="0"/>
              <w:snapToGrid w:val="0"/>
              <w:spacing w:line="360" w:lineRule="auto"/>
              <w:ind w:right="91" w:firstLine="482"/>
              <w:rPr>
                <w:rFonts w:cs="Times New Roman"/>
                <w:b/>
                <w:bCs/>
              </w:rPr>
            </w:pPr>
            <w:r>
              <w:rPr>
                <w:rFonts w:cs="Times New Roman"/>
                <w:b/>
                <w:bCs/>
              </w:rPr>
              <w:t>（</w:t>
            </w:r>
            <w:r>
              <w:rPr>
                <w:rFonts w:hint="eastAsia" w:cs="Times New Roman"/>
                <w:b/>
                <w:bCs/>
              </w:rPr>
              <w:t>五</w:t>
            </w:r>
            <w:r>
              <w:rPr>
                <w:rFonts w:cs="Times New Roman"/>
                <w:b/>
                <w:bCs/>
              </w:rPr>
              <w:t>）生态影响</w:t>
            </w:r>
          </w:p>
          <w:p>
            <w:pPr>
              <w:snapToGrid w:val="0"/>
              <w:spacing w:line="360" w:lineRule="auto"/>
              <w:ind w:firstLine="480" w:firstLineChars="200"/>
              <w:rPr>
                <w:rFonts w:cs="Times New Roman"/>
              </w:rPr>
            </w:pPr>
            <w:r>
              <w:rPr>
                <w:rFonts w:hint="eastAsia" w:cs="Times New Roman"/>
              </w:rPr>
              <w:t>1、</w:t>
            </w:r>
            <w:r>
              <w:rPr>
                <w:rFonts w:cs="Times New Roman"/>
              </w:rPr>
              <w:t>水土流失：由于工程土石方的挖掘及回填，施工区域可能产生水土流失。</w:t>
            </w:r>
          </w:p>
          <w:p>
            <w:pPr>
              <w:snapToGrid w:val="0"/>
              <w:spacing w:line="360" w:lineRule="auto"/>
              <w:ind w:firstLine="480" w:firstLineChars="200"/>
              <w:rPr>
                <w:rFonts w:cs="Times New Roman"/>
              </w:rPr>
            </w:pPr>
            <w:r>
              <w:rPr>
                <w:rFonts w:hint="eastAsia" w:cs="Times New Roman"/>
              </w:rPr>
              <w:t>2、</w:t>
            </w:r>
            <w:r>
              <w:rPr>
                <w:rFonts w:cs="Times New Roman"/>
              </w:rPr>
              <w:t>景观影响：施工开挖以及施工期产生的扬尘将会给区域的景观在一定的程度带来影响。</w:t>
            </w:r>
          </w:p>
          <w:p>
            <w:pPr>
              <w:snapToGrid w:val="0"/>
              <w:spacing w:line="360" w:lineRule="auto"/>
              <w:ind w:firstLine="480" w:firstLineChars="200"/>
              <w:rPr>
                <w:rFonts w:cs="Times New Roman"/>
              </w:rPr>
            </w:pPr>
            <w:r>
              <w:rPr>
                <w:rFonts w:hint="eastAsia" w:cs="Times New Roman"/>
              </w:rPr>
              <w:t>3、</w:t>
            </w:r>
            <w:r>
              <w:rPr>
                <w:rFonts w:cs="Times New Roman"/>
              </w:rPr>
              <w:t>陆生动植物影响：施工噪声及扬尘对周边动植物会产生一定影响。</w:t>
            </w:r>
          </w:p>
          <w:p>
            <w:pPr>
              <w:pStyle w:val="54"/>
              <w:spacing w:before="0" w:after="0" w:line="360" w:lineRule="auto"/>
              <w:ind w:firstLine="480" w:firstLineChars="200"/>
              <w:jc w:val="both"/>
              <w:rPr>
                <w:rFonts w:cs="Times New Roman"/>
                <w:kern w:val="2"/>
              </w:rPr>
            </w:pPr>
            <w:r>
              <w:rPr>
                <w:rFonts w:hint="eastAsia" w:cs="Times New Roman"/>
                <w:kern w:val="2"/>
              </w:rPr>
              <w:t>评价要求：</w:t>
            </w:r>
            <w:r>
              <w:rPr>
                <w:rFonts w:cs="Times New Roman"/>
                <w:kern w:val="2"/>
              </w:rPr>
              <w:t>通过合理安排施工时间，合理布置临时堆方堆置地点，做好</w:t>
            </w:r>
            <w:r>
              <w:rPr>
                <w:rFonts w:hint="eastAsia" w:cs="Times New Roman"/>
                <w:kern w:val="2"/>
              </w:rPr>
              <w:t>土方</w:t>
            </w:r>
            <w:r>
              <w:rPr>
                <w:rFonts w:cs="Times New Roman"/>
                <w:kern w:val="2"/>
              </w:rPr>
              <w:t>暂存场围拦、遮盖，及时恢复施工迹地、绿化等措施进行控制</w:t>
            </w:r>
            <w:r>
              <w:rPr>
                <w:rFonts w:hint="eastAsia" w:cs="Times New Roman"/>
                <w:kern w:val="2"/>
              </w:rPr>
              <w:t>。</w:t>
            </w:r>
          </w:p>
          <w:p>
            <w:pPr>
              <w:pStyle w:val="54"/>
              <w:spacing w:before="0" w:after="0" w:line="360" w:lineRule="auto"/>
              <w:ind w:firstLine="480" w:firstLineChars="200"/>
              <w:jc w:val="both"/>
              <w:rPr>
                <w:rFonts w:cs="Times New Roman"/>
                <w:kern w:val="2"/>
              </w:rPr>
            </w:pPr>
            <w:r>
              <w:rPr>
                <w:rFonts w:cs="Times New Roman"/>
                <w:kern w:val="2"/>
              </w:rPr>
              <w:t>采取上述措施后，可有效</w:t>
            </w:r>
            <w:r>
              <w:rPr>
                <w:rFonts w:hint="eastAsia" w:cs="Times New Roman"/>
                <w:kern w:val="2"/>
              </w:rPr>
              <w:t>降低生态</w:t>
            </w:r>
            <w:r>
              <w:rPr>
                <w:rFonts w:cs="Times New Roman"/>
                <w:kern w:val="2"/>
              </w:rPr>
              <w:t>影响。</w:t>
            </w:r>
          </w:p>
          <w:p>
            <w:pPr>
              <w:adjustRightInd w:val="0"/>
              <w:snapToGrid w:val="0"/>
              <w:spacing w:line="348" w:lineRule="auto"/>
              <w:ind w:firstLine="426" w:firstLineChars="177"/>
              <w:rPr>
                <w:rFonts w:cs="Times New Roman"/>
                <w:b/>
                <w:szCs w:val="24"/>
              </w:rPr>
            </w:pPr>
            <w:r>
              <w:rPr>
                <w:rFonts w:cs="Times New Roman"/>
                <w:b/>
                <w:szCs w:val="24"/>
              </w:rPr>
              <w:t>（二）营运期污染物排放及治理</w:t>
            </w:r>
          </w:p>
          <w:p>
            <w:pPr>
              <w:tabs>
                <w:tab w:val="left" w:pos="5670"/>
              </w:tabs>
              <w:spacing w:line="360" w:lineRule="auto"/>
              <w:ind w:firstLine="482" w:firstLineChars="200"/>
              <w:rPr>
                <w:rFonts w:cs="Times New Roman"/>
                <w:b/>
                <w:bCs/>
              </w:rPr>
            </w:pPr>
            <w:r>
              <w:rPr>
                <w:rFonts w:cs="Times New Roman"/>
                <w:b/>
              </w:rPr>
              <w:t>1、</w:t>
            </w:r>
            <w:r>
              <w:rPr>
                <w:rFonts w:cs="Times New Roman"/>
                <w:b/>
                <w:bCs/>
              </w:rPr>
              <w:t>废气排放及治理措施</w:t>
            </w:r>
          </w:p>
          <w:p>
            <w:pPr>
              <w:pStyle w:val="190"/>
              <w:spacing w:line="360" w:lineRule="auto"/>
              <w:ind w:firstLine="480"/>
            </w:pPr>
            <w:r>
              <w:t>（一）废水</w:t>
            </w:r>
          </w:p>
          <w:p>
            <w:pPr>
              <w:pStyle w:val="190"/>
              <w:spacing w:line="360" w:lineRule="auto"/>
              <w:ind w:firstLine="480"/>
              <w:rPr>
                <w:rFonts w:ascii="宋体" w:hAnsi="宋体"/>
              </w:rPr>
            </w:pPr>
            <w:r>
              <w:rPr>
                <w:rFonts w:hint="eastAsia"/>
              </w:rPr>
              <w:t>经营所片区进行雨污分流，老人民医院片区收集的生活污水经本项目管网排入市政管网，最后进入峨边县城市污水处理厂处理。项目运营期废水主要为马嘶溪火车站片区污水处理站站内设备、场地冲洗用水等。</w:t>
            </w:r>
          </w:p>
          <w:p>
            <w:pPr>
              <w:pStyle w:val="190"/>
              <w:spacing w:line="360" w:lineRule="auto"/>
              <w:ind w:firstLine="480"/>
            </w:pPr>
            <w:r>
              <w:rPr>
                <w:rFonts w:hint="eastAsia"/>
              </w:rPr>
              <w:t>本项目定员</w:t>
            </w:r>
            <w:r>
              <w:t>1人，不在厂区内食宿，</w:t>
            </w:r>
            <w:r>
              <w:rPr>
                <w:rFonts w:hint="eastAsia"/>
              </w:rPr>
              <w:t>厂区内不设值班室，工作人员仅定时巡查，无生活污水产生。</w:t>
            </w:r>
            <w:r>
              <w:t>类比同行业，厂区冲洗用水约1m</w:t>
            </w:r>
            <w:r>
              <w:rPr>
                <w:vertAlign w:val="superscript"/>
              </w:rPr>
              <w:t>3</w:t>
            </w:r>
            <w:r>
              <w:t>/d，排污系数按0.8计，则冲洗废水为0.8m</w:t>
            </w:r>
            <w:r>
              <w:rPr>
                <w:vertAlign w:val="superscript"/>
              </w:rPr>
              <w:t>3</w:t>
            </w:r>
            <w:r>
              <w:t>/d。</w:t>
            </w:r>
            <w:r>
              <w:rPr>
                <w:rFonts w:hint="eastAsia"/>
              </w:rPr>
              <w:t>项目产生的</w:t>
            </w:r>
            <w:r>
              <w:t>设备、地面清洗废水</w:t>
            </w:r>
            <w:r>
              <w:rPr>
                <w:rFonts w:hint="eastAsia"/>
              </w:rPr>
              <w:t>，</w:t>
            </w:r>
            <w:r>
              <w:t>经厂区内管网收集后，返回本厂</w:t>
            </w:r>
            <w:r>
              <w:rPr>
                <w:rFonts w:hint="eastAsia"/>
              </w:rPr>
              <w:t>格栅渠</w:t>
            </w:r>
            <w:r>
              <w:t>利用本厂设施处理达标排放</w:t>
            </w:r>
            <w:r>
              <w:rPr>
                <w:rFonts w:hint="eastAsia"/>
              </w:rPr>
              <w:t>。</w:t>
            </w:r>
            <w:r>
              <w:t>本项目水平衡图如下：</w:t>
            </w:r>
          </w:p>
          <w:p>
            <w:pPr>
              <w:pStyle w:val="190"/>
              <w:spacing w:line="360" w:lineRule="auto"/>
              <w:ind w:firstLine="0" w:firstLineChars="0"/>
              <w:jc w:val="center"/>
            </w:pPr>
            <w:r>
              <w:drawing>
                <wp:inline distT="0" distB="0" distL="0" distR="0">
                  <wp:extent cx="5048250" cy="8274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7"/>
                          <a:stretch>
                            <a:fillRect/>
                          </a:stretch>
                        </pic:blipFill>
                        <pic:spPr>
                          <a:xfrm>
                            <a:off x="0" y="0"/>
                            <a:ext cx="5059049" cy="829778"/>
                          </a:xfrm>
                          <a:prstGeom prst="rect">
                            <a:avLst/>
                          </a:prstGeom>
                        </pic:spPr>
                      </pic:pic>
                    </a:graphicData>
                  </a:graphic>
                </wp:inline>
              </w:drawing>
            </w:r>
          </w:p>
          <w:p>
            <w:pPr>
              <w:adjustRightInd w:val="0"/>
              <w:snapToGrid w:val="0"/>
              <w:jc w:val="center"/>
              <w:rPr>
                <w:rFonts w:hAnsi="宋体"/>
                <w:b/>
                <w:szCs w:val="21"/>
              </w:rPr>
            </w:pPr>
            <w:r>
              <w:rPr>
                <w:rFonts w:hAnsi="宋体"/>
                <w:b/>
                <w:szCs w:val="21"/>
              </w:rPr>
              <w:t>图5-4  项目水平衡图</w:t>
            </w:r>
          </w:p>
          <w:p>
            <w:pPr>
              <w:adjustRightInd w:val="0"/>
              <w:snapToGrid w:val="0"/>
              <w:spacing w:line="360" w:lineRule="auto"/>
              <w:ind w:firstLine="480" w:firstLineChars="200"/>
              <w:rPr>
                <w:rFonts w:cs="Times New Roman"/>
              </w:rPr>
            </w:pPr>
            <w:r>
              <w:rPr>
                <w:rFonts w:cs="Times New Roman"/>
              </w:rPr>
              <w:t>运营期满负荷条件下，污水</w:t>
            </w:r>
            <w:r>
              <w:rPr>
                <w:rFonts w:hint="eastAsia" w:cs="Times New Roman"/>
              </w:rPr>
              <w:t>处理站</w:t>
            </w:r>
            <w:r>
              <w:rPr>
                <w:rFonts w:cs="Times New Roman"/>
              </w:rPr>
              <w:t>排放口各污染物排放浓度和排放量见表5-4。</w:t>
            </w:r>
          </w:p>
          <w:p>
            <w:pPr>
              <w:pStyle w:val="192"/>
              <w:framePr w:hSpace="0" w:wrap="auto" w:vAnchor="margin" w:hAnchor="text" w:yAlign="inline"/>
              <w:spacing w:before="0" w:line="240" w:lineRule="auto"/>
              <w:ind w:firstLine="0" w:firstLineChars="0"/>
              <w:rPr>
                <w:rFonts w:cs="Times New Roman"/>
                <w:szCs w:val="24"/>
              </w:rPr>
            </w:pPr>
            <w:r>
              <w:rPr>
                <w:rFonts w:cs="Times New Roman"/>
                <w:szCs w:val="24"/>
              </w:rPr>
              <w:t>表5-4</w:t>
            </w:r>
            <w:r>
              <w:rPr>
                <w:rFonts w:hint="eastAsia" w:cs="Times New Roman"/>
                <w:szCs w:val="24"/>
              </w:rPr>
              <w:t xml:space="preserve">  </w:t>
            </w:r>
            <w:r>
              <w:rPr>
                <w:rFonts w:cs="Times New Roman"/>
                <w:szCs w:val="24"/>
              </w:rPr>
              <w:t>污水处理前后“两本账”分析</w:t>
            </w:r>
          </w:p>
          <w:tbl>
            <w:tblPr>
              <w:tblStyle w:val="30"/>
              <w:tblW w:w="83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9"/>
              <w:gridCol w:w="1331"/>
              <w:gridCol w:w="1231"/>
              <w:gridCol w:w="1182"/>
              <w:gridCol w:w="1231"/>
              <w:gridCol w:w="1214"/>
              <w:gridCol w:w="1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899" w:type="dxa"/>
                  <w:vAlign w:val="center"/>
                </w:tcPr>
                <w:p>
                  <w:pPr>
                    <w:jc w:val="center"/>
                    <w:rPr>
                      <w:rFonts w:cs="Times New Roman"/>
                      <w:b/>
                      <w:sz w:val="21"/>
                      <w:szCs w:val="21"/>
                    </w:rPr>
                  </w:pPr>
                  <w:r>
                    <w:rPr>
                      <w:rFonts w:cs="Times New Roman"/>
                      <w:b/>
                      <w:sz w:val="21"/>
                      <w:szCs w:val="21"/>
                    </w:rPr>
                    <w:t>序号</w:t>
                  </w:r>
                </w:p>
              </w:tc>
              <w:tc>
                <w:tcPr>
                  <w:tcW w:w="1331" w:type="dxa"/>
                  <w:vAlign w:val="center"/>
                </w:tcPr>
                <w:p>
                  <w:pPr>
                    <w:jc w:val="center"/>
                    <w:rPr>
                      <w:rFonts w:cs="Times New Roman"/>
                      <w:b/>
                      <w:sz w:val="21"/>
                      <w:szCs w:val="21"/>
                    </w:rPr>
                  </w:pPr>
                  <w:r>
                    <w:rPr>
                      <w:rFonts w:cs="Times New Roman"/>
                      <w:b/>
                      <w:sz w:val="21"/>
                      <w:szCs w:val="21"/>
                    </w:rPr>
                    <w:t>污染物名称</w:t>
                  </w:r>
                </w:p>
              </w:tc>
              <w:tc>
                <w:tcPr>
                  <w:tcW w:w="1231" w:type="dxa"/>
                  <w:vAlign w:val="center"/>
                </w:tcPr>
                <w:p>
                  <w:pPr>
                    <w:jc w:val="center"/>
                    <w:rPr>
                      <w:rFonts w:cs="Times New Roman"/>
                      <w:b/>
                      <w:sz w:val="21"/>
                      <w:szCs w:val="21"/>
                    </w:rPr>
                  </w:pPr>
                  <w:r>
                    <w:rPr>
                      <w:rFonts w:cs="Times New Roman"/>
                      <w:b/>
                      <w:sz w:val="21"/>
                      <w:szCs w:val="21"/>
                    </w:rPr>
                    <w:t>产生浓度（mg/L）</w:t>
                  </w:r>
                </w:p>
              </w:tc>
              <w:tc>
                <w:tcPr>
                  <w:tcW w:w="1182" w:type="dxa"/>
                  <w:vAlign w:val="center"/>
                </w:tcPr>
                <w:p>
                  <w:pPr>
                    <w:jc w:val="center"/>
                    <w:rPr>
                      <w:rFonts w:cs="Times New Roman"/>
                      <w:b/>
                      <w:sz w:val="21"/>
                      <w:szCs w:val="21"/>
                    </w:rPr>
                  </w:pPr>
                  <w:r>
                    <w:rPr>
                      <w:rFonts w:cs="Times New Roman"/>
                      <w:b/>
                      <w:sz w:val="21"/>
                      <w:szCs w:val="21"/>
                    </w:rPr>
                    <w:t>产生量（t/a）</w:t>
                  </w:r>
                </w:p>
              </w:tc>
              <w:tc>
                <w:tcPr>
                  <w:tcW w:w="1231" w:type="dxa"/>
                  <w:vAlign w:val="center"/>
                </w:tcPr>
                <w:p>
                  <w:pPr>
                    <w:jc w:val="center"/>
                    <w:rPr>
                      <w:rFonts w:cs="Times New Roman"/>
                      <w:b/>
                      <w:sz w:val="21"/>
                      <w:szCs w:val="21"/>
                    </w:rPr>
                  </w:pPr>
                  <w:r>
                    <w:rPr>
                      <w:rFonts w:cs="Times New Roman"/>
                      <w:b/>
                      <w:sz w:val="21"/>
                      <w:szCs w:val="21"/>
                    </w:rPr>
                    <w:t>排放浓度（mg/L）</w:t>
                  </w:r>
                </w:p>
              </w:tc>
              <w:tc>
                <w:tcPr>
                  <w:tcW w:w="1214" w:type="dxa"/>
                  <w:vAlign w:val="center"/>
                </w:tcPr>
                <w:p>
                  <w:pPr>
                    <w:jc w:val="center"/>
                    <w:rPr>
                      <w:rFonts w:cs="Times New Roman"/>
                      <w:b/>
                      <w:sz w:val="21"/>
                      <w:szCs w:val="21"/>
                    </w:rPr>
                  </w:pPr>
                  <w:r>
                    <w:rPr>
                      <w:rFonts w:cs="Times New Roman"/>
                      <w:b/>
                      <w:sz w:val="21"/>
                      <w:szCs w:val="21"/>
                    </w:rPr>
                    <w:t>排放量（t/a）</w:t>
                  </w:r>
                </w:p>
              </w:tc>
              <w:tc>
                <w:tcPr>
                  <w:tcW w:w="1214" w:type="dxa"/>
                  <w:vAlign w:val="center"/>
                </w:tcPr>
                <w:p>
                  <w:pPr>
                    <w:jc w:val="center"/>
                    <w:rPr>
                      <w:rFonts w:cs="Times New Roman"/>
                      <w:b/>
                      <w:sz w:val="21"/>
                      <w:szCs w:val="21"/>
                    </w:rPr>
                  </w:pPr>
                  <w:r>
                    <w:rPr>
                      <w:rFonts w:hint="eastAsia" w:cs="Times New Roman"/>
                      <w:b/>
                      <w:sz w:val="21"/>
                      <w:szCs w:val="21"/>
                    </w:rPr>
                    <w:t>削</w:t>
                  </w:r>
                  <w:r>
                    <w:rPr>
                      <w:rFonts w:cs="Times New Roman"/>
                      <w:b/>
                      <w:sz w:val="21"/>
                      <w:szCs w:val="21"/>
                    </w:rPr>
                    <w:t>减量（t/a）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899" w:type="dxa"/>
                  <w:vAlign w:val="center"/>
                </w:tcPr>
                <w:p>
                  <w:pPr>
                    <w:jc w:val="center"/>
                    <w:rPr>
                      <w:rFonts w:cs="Times New Roman"/>
                      <w:bCs/>
                      <w:sz w:val="21"/>
                      <w:szCs w:val="21"/>
                    </w:rPr>
                  </w:pPr>
                  <w:r>
                    <w:rPr>
                      <w:rFonts w:cs="Times New Roman"/>
                      <w:bCs/>
                      <w:sz w:val="21"/>
                      <w:szCs w:val="21"/>
                    </w:rPr>
                    <w:t>1</w:t>
                  </w:r>
                </w:p>
              </w:tc>
              <w:tc>
                <w:tcPr>
                  <w:tcW w:w="1331" w:type="dxa"/>
                  <w:vAlign w:val="center"/>
                </w:tcPr>
                <w:p>
                  <w:pPr>
                    <w:jc w:val="center"/>
                    <w:rPr>
                      <w:rFonts w:cs="Times New Roman"/>
                      <w:bCs/>
                      <w:sz w:val="21"/>
                      <w:szCs w:val="21"/>
                    </w:rPr>
                  </w:pPr>
                  <w:r>
                    <w:rPr>
                      <w:rFonts w:cs="Times New Roman"/>
                      <w:bCs/>
                      <w:sz w:val="21"/>
                      <w:szCs w:val="21"/>
                    </w:rPr>
                    <w:t>COD</w:t>
                  </w:r>
                </w:p>
              </w:tc>
              <w:tc>
                <w:tcPr>
                  <w:tcW w:w="1231" w:type="dxa"/>
                  <w:vAlign w:val="center"/>
                </w:tcPr>
                <w:p>
                  <w:pPr>
                    <w:jc w:val="center"/>
                    <w:rPr>
                      <w:rFonts w:cs="Times New Roman"/>
                      <w:bCs/>
                      <w:sz w:val="21"/>
                      <w:szCs w:val="21"/>
                    </w:rPr>
                  </w:pPr>
                  <w:r>
                    <w:rPr>
                      <w:rFonts w:cs="Times New Roman"/>
                      <w:bCs/>
                      <w:sz w:val="21"/>
                      <w:szCs w:val="21"/>
                    </w:rPr>
                    <w:t>150</w:t>
                  </w:r>
                </w:p>
              </w:tc>
              <w:tc>
                <w:tcPr>
                  <w:tcW w:w="1182" w:type="dxa"/>
                  <w:vAlign w:val="center"/>
                </w:tcPr>
                <w:p>
                  <w:pPr>
                    <w:widowControl/>
                    <w:jc w:val="center"/>
                    <w:textAlignment w:val="center"/>
                    <w:rPr>
                      <w:rFonts w:cs="Times New Roman"/>
                      <w:bCs/>
                      <w:sz w:val="21"/>
                      <w:szCs w:val="21"/>
                    </w:rPr>
                  </w:pPr>
                  <w:r>
                    <w:rPr>
                      <w:rFonts w:hint="eastAsia" w:cs="Times New Roman"/>
                      <w:bCs/>
                      <w:sz w:val="21"/>
                      <w:szCs w:val="21"/>
                    </w:rPr>
                    <w:t>5</w:t>
                  </w:r>
                  <w:r>
                    <w:rPr>
                      <w:rFonts w:cs="Times New Roman"/>
                      <w:bCs/>
                      <w:sz w:val="21"/>
                      <w:szCs w:val="21"/>
                    </w:rPr>
                    <w:t>.475</w:t>
                  </w:r>
                </w:p>
              </w:tc>
              <w:tc>
                <w:tcPr>
                  <w:tcW w:w="1231" w:type="dxa"/>
                  <w:vAlign w:val="center"/>
                </w:tcPr>
                <w:p>
                  <w:pPr>
                    <w:jc w:val="center"/>
                    <w:rPr>
                      <w:rFonts w:cs="Times New Roman"/>
                      <w:bCs/>
                      <w:sz w:val="21"/>
                      <w:szCs w:val="21"/>
                    </w:rPr>
                  </w:pPr>
                  <w:r>
                    <w:rPr>
                      <w:rFonts w:cs="Times New Roman"/>
                      <w:bCs/>
                      <w:sz w:val="21"/>
                      <w:szCs w:val="21"/>
                    </w:rPr>
                    <w:t>60</w:t>
                  </w:r>
                </w:p>
              </w:tc>
              <w:tc>
                <w:tcPr>
                  <w:tcW w:w="1214" w:type="dxa"/>
                  <w:vAlign w:val="center"/>
                </w:tcPr>
                <w:p>
                  <w:pPr>
                    <w:widowControl/>
                    <w:jc w:val="center"/>
                    <w:textAlignment w:val="center"/>
                    <w:rPr>
                      <w:rFonts w:cs="Times New Roman"/>
                      <w:bCs/>
                      <w:sz w:val="21"/>
                      <w:szCs w:val="21"/>
                    </w:rPr>
                  </w:pPr>
                  <w:r>
                    <w:rPr>
                      <w:rFonts w:cs="Times New Roman"/>
                      <w:bCs/>
                      <w:sz w:val="21"/>
                      <w:szCs w:val="21"/>
                    </w:rPr>
                    <w:t>2.19</w:t>
                  </w:r>
                </w:p>
              </w:tc>
              <w:tc>
                <w:tcPr>
                  <w:tcW w:w="1214" w:type="dxa"/>
                  <w:vAlign w:val="center"/>
                </w:tcPr>
                <w:p>
                  <w:pPr>
                    <w:widowControl/>
                    <w:jc w:val="center"/>
                    <w:textAlignment w:val="center"/>
                    <w:rPr>
                      <w:rFonts w:cs="Times New Roman"/>
                      <w:bCs/>
                      <w:sz w:val="21"/>
                      <w:szCs w:val="21"/>
                    </w:rPr>
                  </w:pPr>
                  <w:r>
                    <w:rPr>
                      <w:rFonts w:hint="eastAsia" w:cs="Times New Roman"/>
                      <w:bCs/>
                      <w:sz w:val="21"/>
                      <w:szCs w:val="21"/>
                    </w:rPr>
                    <w:t>3.</w:t>
                  </w:r>
                  <w:r>
                    <w:rPr>
                      <w:rFonts w:cs="Times New Roman"/>
                      <w:bCs/>
                      <w:sz w:val="21"/>
                      <w:szCs w:val="21"/>
                    </w:rPr>
                    <w:t>285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899" w:type="dxa"/>
                  <w:vAlign w:val="center"/>
                </w:tcPr>
                <w:p>
                  <w:pPr>
                    <w:jc w:val="center"/>
                    <w:rPr>
                      <w:rFonts w:cs="Times New Roman"/>
                      <w:bCs/>
                      <w:sz w:val="21"/>
                      <w:szCs w:val="21"/>
                    </w:rPr>
                  </w:pPr>
                  <w:r>
                    <w:rPr>
                      <w:rFonts w:cs="Times New Roman"/>
                      <w:bCs/>
                      <w:sz w:val="21"/>
                      <w:szCs w:val="21"/>
                    </w:rPr>
                    <w:t>2</w:t>
                  </w:r>
                </w:p>
              </w:tc>
              <w:tc>
                <w:tcPr>
                  <w:tcW w:w="1331" w:type="dxa"/>
                  <w:vAlign w:val="center"/>
                </w:tcPr>
                <w:p>
                  <w:pPr>
                    <w:jc w:val="center"/>
                    <w:rPr>
                      <w:rFonts w:cs="Times New Roman"/>
                      <w:bCs/>
                      <w:sz w:val="21"/>
                      <w:szCs w:val="21"/>
                    </w:rPr>
                  </w:pPr>
                  <w:r>
                    <w:rPr>
                      <w:rFonts w:cs="Times New Roman"/>
                      <w:bCs/>
                      <w:sz w:val="21"/>
                      <w:szCs w:val="21"/>
                    </w:rPr>
                    <w:t>SS</w:t>
                  </w:r>
                </w:p>
              </w:tc>
              <w:tc>
                <w:tcPr>
                  <w:tcW w:w="1231" w:type="dxa"/>
                  <w:vAlign w:val="center"/>
                </w:tcPr>
                <w:p>
                  <w:pPr>
                    <w:jc w:val="center"/>
                    <w:rPr>
                      <w:rFonts w:cs="Times New Roman"/>
                      <w:bCs/>
                      <w:sz w:val="21"/>
                      <w:szCs w:val="21"/>
                    </w:rPr>
                  </w:pPr>
                  <w:r>
                    <w:rPr>
                      <w:rFonts w:cs="Times New Roman"/>
                      <w:bCs/>
                      <w:sz w:val="21"/>
                      <w:szCs w:val="21"/>
                    </w:rPr>
                    <w:t>150</w:t>
                  </w:r>
                </w:p>
              </w:tc>
              <w:tc>
                <w:tcPr>
                  <w:tcW w:w="1182" w:type="dxa"/>
                  <w:vAlign w:val="center"/>
                </w:tcPr>
                <w:p>
                  <w:pPr>
                    <w:widowControl/>
                    <w:jc w:val="center"/>
                    <w:textAlignment w:val="center"/>
                    <w:rPr>
                      <w:rFonts w:cs="Times New Roman"/>
                      <w:bCs/>
                      <w:sz w:val="21"/>
                      <w:szCs w:val="21"/>
                    </w:rPr>
                  </w:pPr>
                  <w:r>
                    <w:rPr>
                      <w:rFonts w:hint="eastAsia" w:cs="Times New Roman"/>
                      <w:bCs/>
                      <w:sz w:val="21"/>
                      <w:szCs w:val="21"/>
                    </w:rPr>
                    <w:t>5</w:t>
                  </w:r>
                  <w:r>
                    <w:rPr>
                      <w:rFonts w:cs="Times New Roman"/>
                      <w:bCs/>
                      <w:sz w:val="21"/>
                      <w:szCs w:val="21"/>
                    </w:rPr>
                    <w:t>.475</w:t>
                  </w:r>
                </w:p>
              </w:tc>
              <w:tc>
                <w:tcPr>
                  <w:tcW w:w="1231" w:type="dxa"/>
                  <w:vAlign w:val="center"/>
                </w:tcPr>
                <w:p>
                  <w:pPr>
                    <w:jc w:val="center"/>
                    <w:rPr>
                      <w:rFonts w:cs="Times New Roman"/>
                      <w:bCs/>
                      <w:sz w:val="21"/>
                      <w:szCs w:val="21"/>
                    </w:rPr>
                  </w:pPr>
                  <w:r>
                    <w:rPr>
                      <w:rFonts w:cs="Times New Roman"/>
                      <w:bCs/>
                      <w:sz w:val="21"/>
                      <w:szCs w:val="21"/>
                    </w:rPr>
                    <w:t>20</w:t>
                  </w:r>
                </w:p>
              </w:tc>
              <w:tc>
                <w:tcPr>
                  <w:tcW w:w="1214" w:type="dxa"/>
                  <w:vAlign w:val="center"/>
                </w:tcPr>
                <w:p>
                  <w:pPr>
                    <w:widowControl/>
                    <w:jc w:val="center"/>
                    <w:textAlignment w:val="center"/>
                    <w:rPr>
                      <w:rFonts w:cs="Times New Roman"/>
                      <w:bCs/>
                      <w:sz w:val="21"/>
                      <w:szCs w:val="21"/>
                    </w:rPr>
                  </w:pPr>
                  <w:r>
                    <w:rPr>
                      <w:rFonts w:cs="Times New Roman"/>
                      <w:bCs/>
                      <w:sz w:val="21"/>
                      <w:szCs w:val="21"/>
                    </w:rPr>
                    <w:t>0.730</w:t>
                  </w:r>
                </w:p>
              </w:tc>
              <w:tc>
                <w:tcPr>
                  <w:tcW w:w="1214" w:type="dxa"/>
                  <w:vAlign w:val="center"/>
                </w:tcPr>
                <w:p>
                  <w:pPr>
                    <w:widowControl/>
                    <w:jc w:val="center"/>
                    <w:textAlignment w:val="center"/>
                    <w:rPr>
                      <w:rFonts w:cs="Times New Roman"/>
                      <w:bCs/>
                      <w:sz w:val="21"/>
                      <w:szCs w:val="21"/>
                    </w:rPr>
                  </w:pPr>
                  <w:r>
                    <w:rPr>
                      <w:rFonts w:cs="Times New Roman"/>
                      <w:bCs/>
                      <w:sz w:val="21"/>
                      <w:szCs w:val="21"/>
                    </w:rPr>
                    <w:t>4.745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899" w:type="dxa"/>
                  <w:vAlign w:val="center"/>
                </w:tcPr>
                <w:p>
                  <w:pPr>
                    <w:jc w:val="center"/>
                    <w:rPr>
                      <w:rFonts w:cs="Times New Roman"/>
                      <w:bCs/>
                      <w:sz w:val="21"/>
                      <w:szCs w:val="21"/>
                    </w:rPr>
                  </w:pPr>
                  <w:r>
                    <w:rPr>
                      <w:rFonts w:cs="Times New Roman"/>
                      <w:bCs/>
                      <w:sz w:val="21"/>
                      <w:szCs w:val="21"/>
                    </w:rPr>
                    <w:t>3</w:t>
                  </w:r>
                </w:p>
              </w:tc>
              <w:tc>
                <w:tcPr>
                  <w:tcW w:w="1331" w:type="dxa"/>
                  <w:vAlign w:val="center"/>
                </w:tcPr>
                <w:p>
                  <w:pPr>
                    <w:jc w:val="center"/>
                    <w:rPr>
                      <w:rFonts w:cs="Times New Roman"/>
                      <w:bCs/>
                      <w:sz w:val="21"/>
                      <w:szCs w:val="21"/>
                    </w:rPr>
                  </w:pPr>
                  <w:r>
                    <w:rPr>
                      <w:rFonts w:cs="Times New Roman"/>
                      <w:bCs/>
                      <w:sz w:val="21"/>
                      <w:szCs w:val="21"/>
                    </w:rPr>
                    <w:t>NH</w:t>
                  </w:r>
                  <w:r>
                    <w:rPr>
                      <w:rFonts w:cs="Times New Roman"/>
                      <w:bCs/>
                      <w:sz w:val="21"/>
                      <w:szCs w:val="21"/>
                      <w:vertAlign w:val="subscript"/>
                    </w:rPr>
                    <w:t>3</w:t>
                  </w:r>
                  <w:r>
                    <w:rPr>
                      <w:rFonts w:cs="Times New Roman"/>
                      <w:bCs/>
                      <w:sz w:val="21"/>
                      <w:szCs w:val="21"/>
                    </w:rPr>
                    <w:t>-N</w:t>
                  </w:r>
                </w:p>
              </w:tc>
              <w:tc>
                <w:tcPr>
                  <w:tcW w:w="1231" w:type="dxa"/>
                  <w:vAlign w:val="center"/>
                </w:tcPr>
                <w:p>
                  <w:pPr>
                    <w:jc w:val="center"/>
                    <w:rPr>
                      <w:rFonts w:cs="Times New Roman"/>
                      <w:bCs/>
                      <w:sz w:val="21"/>
                      <w:szCs w:val="21"/>
                    </w:rPr>
                  </w:pPr>
                  <w:r>
                    <w:rPr>
                      <w:rFonts w:cs="Times New Roman"/>
                      <w:bCs/>
                      <w:sz w:val="21"/>
                      <w:szCs w:val="21"/>
                    </w:rPr>
                    <w:t>20</w:t>
                  </w:r>
                </w:p>
              </w:tc>
              <w:tc>
                <w:tcPr>
                  <w:tcW w:w="1182" w:type="dxa"/>
                  <w:vAlign w:val="center"/>
                </w:tcPr>
                <w:p>
                  <w:pPr>
                    <w:widowControl/>
                    <w:jc w:val="center"/>
                    <w:textAlignment w:val="center"/>
                    <w:rPr>
                      <w:rFonts w:cs="Times New Roman"/>
                      <w:bCs/>
                      <w:sz w:val="21"/>
                      <w:szCs w:val="21"/>
                    </w:rPr>
                  </w:pPr>
                  <w:r>
                    <w:rPr>
                      <w:rFonts w:hint="eastAsia" w:cs="Times New Roman"/>
                      <w:bCs/>
                      <w:sz w:val="21"/>
                      <w:szCs w:val="21"/>
                    </w:rPr>
                    <w:t>0</w:t>
                  </w:r>
                  <w:r>
                    <w:rPr>
                      <w:rFonts w:cs="Times New Roman"/>
                      <w:bCs/>
                      <w:sz w:val="21"/>
                      <w:szCs w:val="21"/>
                    </w:rPr>
                    <w:t>.73</w:t>
                  </w:r>
                </w:p>
              </w:tc>
              <w:tc>
                <w:tcPr>
                  <w:tcW w:w="1231" w:type="dxa"/>
                  <w:vAlign w:val="center"/>
                </w:tcPr>
                <w:p>
                  <w:pPr>
                    <w:jc w:val="center"/>
                    <w:rPr>
                      <w:rFonts w:cs="Times New Roman"/>
                      <w:bCs/>
                      <w:sz w:val="21"/>
                      <w:szCs w:val="21"/>
                    </w:rPr>
                  </w:pPr>
                  <w:r>
                    <w:rPr>
                      <w:rFonts w:cs="Times New Roman"/>
                      <w:bCs/>
                      <w:sz w:val="21"/>
                      <w:szCs w:val="21"/>
                    </w:rPr>
                    <w:t>8</w:t>
                  </w:r>
                </w:p>
              </w:tc>
              <w:tc>
                <w:tcPr>
                  <w:tcW w:w="1214" w:type="dxa"/>
                  <w:vAlign w:val="center"/>
                </w:tcPr>
                <w:p>
                  <w:pPr>
                    <w:widowControl/>
                    <w:jc w:val="center"/>
                    <w:textAlignment w:val="center"/>
                    <w:rPr>
                      <w:rFonts w:cs="Times New Roman"/>
                      <w:bCs/>
                      <w:sz w:val="21"/>
                      <w:szCs w:val="21"/>
                    </w:rPr>
                  </w:pPr>
                  <w:r>
                    <w:rPr>
                      <w:rFonts w:cs="Times New Roman"/>
                      <w:bCs/>
                      <w:sz w:val="21"/>
                      <w:szCs w:val="21"/>
                    </w:rPr>
                    <w:t>0.292</w:t>
                  </w:r>
                </w:p>
              </w:tc>
              <w:tc>
                <w:tcPr>
                  <w:tcW w:w="1214" w:type="dxa"/>
                  <w:vAlign w:val="center"/>
                </w:tcPr>
                <w:p>
                  <w:pPr>
                    <w:widowControl/>
                    <w:jc w:val="center"/>
                    <w:textAlignment w:val="center"/>
                    <w:rPr>
                      <w:rFonts w:cs="Times New Roman"/>
                      <w:bCs/>
                      <w:sz w:val="21"/>
                      <w:szCs w:val="21"/>
                    </w:rPr>
                  </w:pPr>
                  <w:r>
                    <w:rPr>
                      <w:rFonts w:hint="eastAsia" w:cs="Times New Roman"/>
                      <w:bCs/>
                      <w:sz w:val="21"/>
                      <w:szCs w:val="21"/>
                    </w:rPr>
                    <w:t>0.438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 w:hRule="atLeast"/>
                <w:jc w:val="center"/>
              </w:trPr>
              <w:tc>
                <w:tcPr>
                  <w:tcW w:w="899" w:type="dxa"/>
                  <w:tcBorders>
                    <w:bottom w:val="single" w:color="auto" w:sz="4" w:space="0"/>
                  </w:tcBorders>
                  <w:vAlign w:val="center"/>
                </w:tcPr>
                <w:p>
                  <w:pPr>
                    <w:jc w:val="center"/>
                    <w:rPr>
                      <w:rFonts w:cs="Times New Roman"/>
                      <w:bCs/>
                      <w:sz w:val="21"/>
                      <w:szCs w:val="21"/>
                    </w:rPr>
                  </w:pPr>
                  <w:r>
                    <w:rPr>
                      <w:rFonts w:cs="Times New Roman"/>
                      <w:bCs/>
                      <w:sz w:val="21"/>
                      <w:szCs w:val="21"/>
                    </w:rPr>
                    <w:t>4</w:t>
                  </w:r>
                </w:p>
              </w:tc>
              <w:tc>
                <w:tcPr>
                  <w:tcW w:w="1331" w:type="dxa"/>
                  <w:tcBorders>
                    <w:bottom w:val="single" w:color="auto" w:sz="4" w:space="0"/>
                  </w:tcBorders>
                  <w:vAlign w:val="center"/>
                </w:tcPr>
                <w:p>
                  <w:pPr>
                    <w:jc w:val="center"/>
                    <w:rPr>
                      <w:rFonts w:cs="Times New Roman"/>
                      <w:bCs/>
                      <w:sz w:val="21"/>
                      <w:szCs w:val="21"/>
                    </w:rPr>
                  </w:pPr>
                  <w:r>
                    <w:rPr>
                      <w:rFonts w:cs="Times New Roman"/>
                      <w:bCs/>
                      <w:sz w:val="21"/>
                      <w:szCs w:val="21"/>
                    </w:rPr>
                    <w:t>TN</w:t>
                  </w:r>
                </w:p>
              </w:tc>
              <w:tc>
                <w:tcPr>
                  <w:tcW w:w="1231" w:type="dxa"/>
                  <w:tcBorders>
                    <w:bottom w:val="single" w:color="auto" w:sz="4" w:space="0"/>
                  </w:tcBorders>
                  <w:vAlign w:val="center"/>
                </w:tcPr>
                <w:p>
                  <w:pPr>
                    <w:jc w:val="center"/>
                    <w:rPr>
                      <w:rFonts w:cs="Times New Roman"/>
                      <w:bCs/>
                      <w:sz w:val="21"/>
                      <w:szCs w:val="21"/>
                    </w:rPr>
                  </w:pPr>
                  <w:r>
                    <w:rPr>
                      <w:rFonts w:cs="Times New Roman"/>
                      <w:bCs/>
                      <w:sz w:val="21"/>
                      <w:szCs w:val="21"/>
                    </w:rPr>
                    <w:t>25</w:t>
                  </w:r>
                </w:p>
              </w:tc>
              <w:tc>
                <w:tcPr>
                  <w:tcW w:w="1182" w:type="dxa"/>
                  <w:tcBorders>
                    <w:bottom w:val="single" w:color="auto" w:sz="4" w:space="0"/>
                  </w:tcBorders>
                  <w:vAlign w:val="center"/>
                </w:tcPr>
                <w:p>
                  <w:pPr>
                    <w:widowControl/>
                    <w:jc w:val="center"/>
                    <w:textAlignment w:val="center"/>
                    <w:rPr>
                      <w:rFonts w:cs="Times New Roman"/>
                      <w:bCs/>
                      <w:sz w:val="21"/>
                      <w:szCs w:val="21"/>
                    </w:rPr>
                  </w:pPr>
                  <w:r>
                    <w:rPr>
                      <w:rFonts w:hint="eastAsia" w:cs="Times New Roman"/>
                      <w:bCs/>
                      <w:sz w:val="21"/>
                      <w:szCs w:val="21"/>
                    </w:rPr>
                    <w:t>0</w:t>
                  </w:r>
                  <w:r>
                    <w:rPr>
                      <w:rFonts w:cs="Times New Roman"/>
                      <w:bCs/>
                      <w:sz w:val="21"/>
                      <w:szCs w:val="21"/>
                    </w:rPr>
                    <w:t>.9125</w:t>
                  </w:r>
                </w:p>
              </w:tc>
              <w:tc>
                <w:tcPr>
                  <w:tcW w:w="1231" w:type="dxa"/>
                  <w:tcBorders>
                    <w:bottom w:val="single" w:color="auto" w:sz="4" w:space="0"/>
                  </w:tcBorders>
                  <w:vAlign w:val="center"/>
                </w:tcPr>
                <w:p>
                  <w:pPr>
                    <w:jc w:val="center"/>
                    <w:rPr>
                      <w:rFonts w:cs="Times New Roman"/>
                      <w:bCs/>
                      <w:sz w:val="21"/>
                      <w:szCs w:val="21"/>
                    </w:rPr>
                  </w:pPr>
                  <w:r>
                    <w:rPr>
                      <w:rFonts w:cs="Times New Roman"/>
                      <w:bCs/>
                      <w:sz w:val="21"/>
                      <w:szCs w:val="21"/>
                    </w:rPr>
                    <w:t>20</w:t>
                  </w:r>
                </w:p>
              </w:tc>
              <w:tc>
                <w:tcPr>
                  <w:tcW w:w="1214" w:type="dxa"/>
                  <w:tcBorders>
                    <w:bottom w:val="single" w:color="auto" w:sz="4" w:space="0"/>
                  </w:tcBorders>
                  <w:vAlign w:val="center"/>
                </w:tcPr>
                <w:p>
                  <w:pPr>
                    <w:widowControl/>
                    <w:jc w:val="center"/>
                    <w:textAlignment w:val="center"/>
                    <w:rPr>
                      <w:rFonts w:cs="Times New Roman"/>
                      <w:bCs/>
                      <w:sz w:val="21"/>
                      <w:szCs w:val="21"/>
                    </w:rPr>
                  </w:pPr>
                  <w:r>
                    <w:rPr>
                      <w:rFonts w:cs="Times New Roman"/>
                      <w:bCs/>
                      <w:sz w:val="21"/>
                      <w:szCs w:val="21"/>
                    </w:rPr>
                    <w:t>0.730</w:t>
                  </w:r>
                </w:p>
              </w:tc>
              <w:tc>
                <w:tcPr>
                  <w:tcW w:w="1214" w:type="dxa"/>
                  <w:tcBorders>
                    <w:bottom w:val="single" w:color="auto" w:sz="4" w:space="0"/>
                  </w:tcBorders>
                  <w:vAlign w:val="center"/>
                </w:tcPr>
                <w:p>
                  <w:pPr>
                    <w:widowControl/>
                    <w:jc w:val="center"/>
                    <w:textAlignment w:val="center"/>
                    <w:rPr>
                      <w:rFonts w:cs="Times New Roman"/>
                      <w:bCs/>
                      <w:sz w:val="21"/>
                      <w:szCs w:val="21"/>
                    </w:rPr>
                  </w:pPr>
                  <w:r>
                    <w:rPr>
                      <w:rFonts w:hint="eastAsia" w:cs="Times New Roman"/>
                      <w:bCs/>
                      <w:sz w:val="21"/>
                      <w:szCs w:val="21"/>
                    </w:rPr>
                    <w:t>0.1825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jc w:val="center"/>
              </w:trPr>
              <w:tc>
                <w:tcPr>
                  <w:tcW w:w="899" w:type="dxa"/>
                  <w:tcBorders>
                    <w:top w:val="single" w:color="auto" w:sz="4" w:space="0"/>
                    <w:bottom w:val="single" w:color="auto" w:sz="4" w:space="0"/>
                  </w:tcBorders>
                  <w:vAlign w:val="center"/>
                </w:tcPr>
                <w:p>
                  <w:pPr>
                    <w:jc w:val="center"/>
                    <w:rPr>
                      <w:rFonts w:cs="Times New Roman"/>
                      <w:bCs/>
                      <w:sz w:val="21"/>
                      <w:szCs w:val="21"/>
                    </w:rPr>
                  </w:pPr>
                  <w:r>
                    <w:rPr>
                      <w:rFonts w:cs="Times New Roman"/>
                      <w:bCs/>
                      <w:sz w:val="21"/>
                      <w:szCs w:val="21"/>
                    </w:rPr>
                    <w:t>5</w:t>
                  </w:r>
                </w:p>
              </w:tc>
              <w:tc>
                <w:tcPr>
                  <w:tcW w:w="1331" w:type="dxa"/>
                  <w:tcBorders>
                    <w:top w:val="single" w:color="auto" w:sz="4" w:space="0"/>
                    <w:bottom w:val="single" w:color="auto" w:sz="4" w:space="0"/>
                  </w:tcBorders>
                  <w:vAlign w:val="center"/>
                </w:tcPr>
                <w:p>
                  <w:pPr>
                    <w:jc w:val="center"/>
                    <w:rPr>
                      <w:rFonts w:cs="Times New Roman"/>
                      <w:bCs/>
                      <w:sz w:val="21"/>
                      <w:szCs w:val="21"/>
                    </w:rPr>
                  </w:pPr>
                  <w:r>
                    <w:rPr>
                      <w:rFonts w:cs="Times New Roman"/>
                      <w:bCs/>
                      <w:sz w:val="21"/>
                      <w:szCs w:val="21"/>
                    </w:rPr>
                    <w:t>TP</w:t>
                  </w:r>
                </w:p>
              </w:tc>
              <w:tc>
                <w:tcPr>
                  <w:tcW w:w="1231" w:type="dxa"/>
                  <w:tcBorders>
                    <w:top w:val="single" w:color="auto" w:sz="4" w:space="0"/>
                    <w:bottom w:val="single" w:color="auto" w:sz="4" w:space="0"/>
                  </w:tcBorders>
                  <w:vAlign w:val="center"/>
                </w:tcPr>
                <w:p>
                  <w:pPr>
                    <w:jc w:val="center"/>
                    <w:rPr>
                      <w:rFonts w:cs="Times New Roman"/>
                      <w:bCs/>
                      <w:sz w:val="21"/>
                      <w:szCs w:val="21"/>
                    </w:rPr>
                  </w:pPr>
                  <w:r>
                    <w:rPr>
                      <w:rFonts w:cs="Times New Roman"/>
                      <w:bCs/>
                      <w:sz w:val="21"/>
                      <w:szCs w:val="21"/>
                    </w:rPr>
                    <w:t>4</w:t>
                  </w:r>
                </w:p>
              </w:tc>
              <w:tc>
                <w:tcPr>
                  <w:tcW w:w="1182" w:type="dxa"/>
                  <w:tcBorders>
                    <w:top w:val="single" w:color="auto" w:sz="4" w:space="0"/>
                    <w:bottom w:val="single" w:color="auto" w:sz="4" w:space="0"/>
                  </w:tcBorders>
                  <w:vAlign w:val="center"/>
                </w:tcPr>
                <w:p>
                  <w:pPr>
                    <w:widowControl/>
                    <w:jc w:val="center"/>
                    <w:textAlignment w:val="center"/>
                    <w:rPr>
                      <w:rFonts w:cs="Times New Roman"/>
                      <w:bCs/>
                      <w:sz w:val="21"/>
                      <w:szCs w:val="21"/>
                    </w:rPr>
                  </w:pPr>
                  <w:r>
                    <w:rPr>
                      <w:rFonts w:hint="eastAsia" w:cs="Times New Roman"/>
                      <w:bCs/>
                      <w:sz w:val="21"/>
                      <w:szCs w:val="21"/>
                    </w:rPr>
                    <w:t>0</w:t>
                  </w:r>
                  <w:r>
                    <w:rPr>
                      <w:rFonts w:cs="Times New Roman"/>
                      <w:bCs/>
                      <w:sz w:val="21"/>
                      <w:szCs w:val="21"/>
                    </w:rPr>
                    <w:t>.146</w:t>
                  </w:r>
                </w:p>
              </w:tc>
              <w:tc>
                <w:tcPr>
                  <w:tcW w:w="1231" w:type="dxa"/>
                  <w:tcBorders>
                    <w:top w:val="single" w:color="auto" w:sz="4" w:space="0"/>
                    <w:bottom w:val="single" w:color="auto" w:sz="4" w:space="0"/>
                  </w:tcBorders>
                  <w:vAlign w:val="center"/>
                </w:tcPr>
                <w:p>
                  <w:pPr>
                    <w:jc w:val="center"/>
                    <w:rPr>
                      <w:rFonts w:cs="Times New Roman"/>
                      <w:bCs/>
                      <w:sz w:val="21"/>
                      <w:szCs w:val="21"/>
                    </w:rPr>
                  </w:pPr>
                  <w:r>
                    <w:rPr>
                      <w:rFonts w:cs="Times New Roman"/>
                      <w:bCs/>
                      <w:sz w:val="21"/>
                      <w:szCs w:val="21"/>
                    </w:rPr>
                    <w:t>1.5</w:t>
                  </w:r>
                </w:p>
              </w:tc>
              <w:tc>
                <w:tcPr>
                  <w:tcW w:w="1214" w:type="dxa"/>
                  <w:tcBorders>
                    <w:top w:val="single" w:color="auto" w:sz="4" w:space="0"/>
                    <w:bottom w:val="single" w:color="auto" w:sz="4" w:space="0"/>
                  </w:tcBorders>
                  <w:vAlign w:val="center"/>
                </w:tcPr>
                <w:p>
                  <w:pPr>
                    <w:widowControl/>
                    <w:jc w:val="center"/>
                    <w:textAlignment w:val="center"/>
                    <w:rPr>
                      <w:rFonts w:cs="Times New Roman"/>
                      <w:bCs/>
                      <w:sz w:val="21"/>
                      <w:szCs w:val="21"/>
                    </w:rPr>
                  </w:pPr>
                  <w:r>
                    <w:rPr>
                      <w:rFonts w:hint="eastAsia" w:cs="Times New Roman"/>
                      <w:bCs/>
                      <w:sz w:val="21"/>
                      <w:szCs w:val="21"/>
                    </w:rPr>
                    <w:t>0</w:t>
                  </w:r>
                  <w:r>
                    <w:rPr>
                      <w:rFonts w:cs="Times New Roman"/>
                      <w:bCs/>
                      <w:sz w:val="21"/>
                      <w:szCs w:val="21"/>
                    </w:rPr>
                    <w:t>.05475</w:t>
                  </w:r>
                </w:p>
              </w:tc>
              <w:tc>
                <w:tcPr>
                  <w:tcW w:w="1214" w:type="dxa"/>
                  <w:tcBorders>
                    <w:top w:val="single" w:color="auto" w:sz="4" w:space="0"/>
                    <w:bottom w:val="single" w:color="auto" w:sz="4" w:space="0"/>
                  </w:tcBorders>
                  <w:vAlign w:val="center"/>
                </w:tcPr>
                <w:p>
                  <w:pPr>
                    <w:widowControl/>
                    <w:jc w:val="center"/>
                    <w:textAlignment w:val="center"/>
                    <w:rPr>
                      <w:rFonts w:cs="Times New Roman"/>
                      <w:bCs/>
                      <w:sz w:val="21"/>
                      <w:szCs w:val="21"/>
                    </w:rPr>
                  </w:pPr>
                  <w:r>
                    <w:rPr>
                      <w:rFonts w:hint="eastAsia" w:cs="Times New Roman"/>
                      <w:bCs/>
                      <w:sz w:val="21"/>
                      <w:szCs w:val="21"/>
                    </w:rPr>
                    <w:t>0.09125</w:t>
                  </w:r>
                </w:p>
              </w:tc>
            </w:tr>
          </w:tbl>
          <w:p>
            <w:pPr>
              <w:pStyle w:val="190"/>
              <w:spacing w:line="360" w:lineRule="auto"/>
              <w:ind w:firstLine="480"/>
            </w:pPr>
            <w:r>
              <w:t>此外，如果污水收集管道发生阻塞、渗漏或是满溢等事故，将对地下水及地表水产生污染，对人群健康和生态环境产生不良影响</w:t>
            </w:r>
            <w:r>
              <w:rPr>
                <w:rFonts w:hint="eastAsia"/>
              </w:rPr>
              <w:t>。</w:t>
            </w:r>
          </w:p>
          <w:p>
            <w:pPr>
              <w:pStyle w:val="190"/>
              <w:spacing w:line="360" w:lineRule="auto"/>
              <w:ind w:firstLine="480"/>
            </w:pPr>
            <w:r>
              <w:t>（二）废气</w:t>
            </w:r>
          </w:p>
          <w:p>
            <w:pPr>
              <w:adjustRightInd w:val="0"/>
              <w:snapToGrid w:val="0"/>
              <w:spacing w:line="360" w:lineRule="auto"/>
              <w:ind w:firstLine="480" w:firstLineChars="200"/>
            </w:pPr>
            <w:r>
              <w:t>1.</w:t>
            </w:r>
            <w:r>
              <w:rPr>
                <w:lang w:val="zh-CN"/>
              </w:rPr>
              <w:t>废气污染源分析</w:t>
            </w:r>
          </w:p>
          <w:p>
            <w:pPr>
              <w:pStyle w:val="190"/>
              <w:spacing w:line="360" w:lineRule="auto"/>
              <w:ind w:firstLine="480"/>
            </w:pPr>
            <w:r>
              <w:t>本工程的废气污染物主要来自污水处理工序，在缺氧环境或生化过程中由于微生物分解有机物而产生的少量恶臭气体，主要成分为NH</w:t>
            </w:r>
            <w:r>
              <w:rPr>
                <w:vertAlign w:val="subscript"/>
              </w:rPr>
              <w:t>3</w:t>
            </w:r>
            <w:r>
              <w:t>和H</w:t>
            </w:r>
            <w:r>
              <w:rPr>
                <w:vertAlign w:val="subscript"/>
              </w:rPr>
              <w:t>2</w:t>
            </w:r>
            <w:r>
              <w:t>S气体。</w:t>
            </w:r>
          </w:p>
          <w:p>
            <w:pPr>
              <w:pStyle w:val="190"/>
              <w:spacing w:line="360" w:lineRule="auto"/>
              <w:ind w:firstLine="480"/>
            </w:pPr>
            <w:r>
              <w:t>1、废气的来源及源强</w:t>
            </w:r>
          </w:p>
          <w:p>
            <w:pPr>
              <w:pStyle w:val="190"/>
              <w:spacing w:line="360" w:lineRule="auto"/>
              <w:ind w:firstLine="480"/>
            </w:pPr>
            <w:r>
              <w:t>（1）恶臭来源</w:t>
            </w:r>
          </w:p>
          <w:p>
            <w:pPr>
              <w:pStyle w:val="190"/>
              <w:spacing w:line="360" w:lineRule="auto"/>
              <w:ind w:firstLine="480"/>
            </w:pPr>
            <w:r>
              <w:t>一般城市生活污水处理设施中臭气的来源与气味值如下表所示</w:t>
            </w:r>
            <w:r>
              <w:rPr>
                <w:rFonts w:hint="eastAsia"/>
              </w:rPr>
              <w:t>：</w:t>
            </w:r>
          </w:p>
          <w:p>
            <w:pPr>
              <w:pStyle w:val="192"/>
              <w:spacing w:before="0" w:line="240" w:lineRule="auto"/>
              <w:ind w:firstLine="482"/>
              <w:rPr>
                <w:rFonts w:cs="Times New Roman"/>
                <w:szCs w:val="24"/>
              </w:rPr>
            </w:pPr>
            <w:r>
              <w:rPr>
                <w:rFonts w:cs="Times New Roman"/>
                <w:szCs w:val="24"/>
              </w:rPr>
              <w:t>表5-5</w:t>
            </w:r>
            <w:r>
              <w:rPr>
                <w:rFonts w:hint="eastAsia" w:cs="Times New Roman"/>
                <w:szCs w:val="24"/>
              </w:rPr>
              <w:t xml:space="preserve"> </w:t>
            </w:r>
            <w:r>
              <w:rPr>
                <w:rFonts w:cs="Times New Roman"/>
                <w:szCs w:val="24"/>
              </w:rPr>
              <w:t>臭气的来源与气味值</w:t>
            </w:r>
          </w:p>
          <w:tbl>
            <w:tblPr>
              <w:tblStyle w:val="30"/>
              <w:tblW w:w="8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2392"/>
              <w:gridCol w:w="3328"/>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656" w:type="dxa"/>
                </w:tcPr>
                <w:p>
                  <w:pPr>
                    <w:jc w:val="center"/>
                    <w:rPr>
                      <w:rFonts w:hAnsi="宋体"/>
                      <w:sz w:val="21"/>
                      <w:szCs w:val="18"/>
                    </w:rPr>
                  </w:pPr>
                  <w:r>
                    <w:rPr>
                      <w:rFonts w:hAnsi="宋体"/>
                      <w:sz w:val="21"/>
                      <w:szCs w:val="18"/>
                    </w:rPr>
                    <w:t>序号</w:t>
                  </w:r>
                </w:p>
              </w:tc>
              <w:tc>
                <w:tcPr>
                  <w:tcW w:w="2392" w:type="dxa"/>
                </w:tcPr>
                <w:p>
                  <w:pPr>
                    <w:jc w:val="center"/>
                    <w:rPr>
                      <w:rFonts w:hAnsi="宋体"/>
                      <w:sz w:val="21"/>
                      <w:szCs w:val="18"/>
                    </w:rPr>
                  </w:pPr>
                  <w:r>
                    <w:rPr>
                      <w:rFonts w:hAnsi="宋体"/>
                      <w:sz w:val="21"/>
                      <w:szCs w:val="18"/>
                    </w:rPr>
                    <w:t>名  称</w:t>
                  </w:r>
                </w:p>
              </w:tc>
              <w:tc>
                <w:tcPr>
                  <w:tcW w:w="3328" w:type="dxa"/>
                </w:tcPr>
                <w:p>
                  <w:pPr>
                    <w:jc w:val="center"/>
                    <w:rPr>
                      <w:rFonts w:hAnsi="宋体"/>
                      <w:sz w:val="21"/>
                      <w:szCs w:val="18"/>
                    </w:rPr>
                  </w:pPr>
                  <w:r>
                    <w:rPr>
                      <w:rFonts w:hAnsi="宋体"/>
                      <w:sz w:val="21"/>
                      <w:szCs w:val="18"/>
                    </w:rPr>
                    <w:t>气味值</w:t>
                  </w:r>
                </w:p>
              </w:tc>
              <w:tc>
                <w:tcPr>
                  <w:tcW w:w="1767" w:type="dxa"/>
                </w:tcPr>
                <w:p>
                  <w:pPr>
                    <w:jc w:val="center"/>
                    <w:rPr>
                      <w:rFonts w:hAnsi="宋体"/>
                      <w:sz w:val="21"/>
                      <w:szCs w:val="18"/>
                    </w:rPr>
                  </w:pPr>
                  <w:r>
                    <w:rPr>
                      <w:rFonts w:hAnsi="宋体"/>
                      <w:sz w:val="21"/>
                      <w:szCs w:val="18"/>
                    </w:rPr>
                    <w:t>波动范围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6" w:type="dxa"/>
                </w:tcPr>
                <w:p>
                  <w:pPr>
                    <w:jc w:val="center"/>
                    <w:rPr>
                      <w:rFonts w:hAnsi="宋体"/>
                      <w:sz w:val="21"/>
                      <w:szCs w:val="18"/>
                    </w:rPr>
                  </w:pPr>
                  <w:r>
                    <w:rPr>
                      <w:rFonts w:hAnsi="宋体"/>
                      <w:sz w:val="21"/>
                      <w:szCs w:val="18"/>
                    </w:rPr>
                    <w:t>1</w:t>
                  </w:r>
                </w:p>
              </w:tc>
              <w:tc>
                <w:tcPr>
                  <w:tcW w:w="2392" w:type="dxa"/>
                </w:tcPr>
                <w:p>
                  <w:pPr>
                    <w:jc w:val="center"/>
                    <w:rPr>
                      <w:rFonts w:hAnsi="宋体"/>
                      <w:sz w:val="21"/>
                      <w:szCs w:val="18"/>
                    </w:rPr>
                  </w:pPr>
                  <w:r>
                    <w:rPr>
                      <w:rFonts w:hAnsi="宋体"/>
                      <w:sz w:val="21"/>
                      <w:szCs w:val="18"/>
                    </w:rPr>
                    <w:t>进 水</w:t>
                  </w:r>
                </w:p>
              </w:tc>
              <w:tc>
                <w:tcPr>
                  <w:tcW w:w="3328" w:type="dxa"/>
                </w:tcPr>
                <w:p>
                  <w:pPr>
                    <w:jc w:val="center"/>
                    <w:rPr>
                      <w:rFonts w:hAnsi="宋体"/>
                      <w:sz w:val="21"/>
                      <w:szCs w:val="18"/>
                    </w:rPr>
                  </w:pPr>
                  <w:r>
                    <w:rPr>
                      <w:rFonts w:hAnsi="宋体"/>
                      <w:sz w:val="21"/>
                      <w:szCs w:val="18"/>
                    </w:rPr>
                    <w:t>45</w:t>
                  </w:r>
                </w:p>
              </w:tc>
              <w:tc>
                <w:tcPr>
                  <w:tcW w:w="1767" w:type="dxa"/>
                </w:tcPr>
                <w:p>
                  <w:pPr>
                    <w:jc w:val="center"/>
                    <w:rPr>
                      <w:rFonts w:hAnsi="宋体"/>
                      <w:sz w:val="21"/>
                      <w:szCs w:val="18"/>
                    </w:rPr>
                  </w:pPr>
                  <w:r>
                    <w:rPr>
                      <w:rFonts w:hAnsi="宋体"/>
                      <w:sz w:val="21"/>
                      <w:szCs w:val="18"/>
                    </w:rPr>
                    <w:t>25～80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tcPr>
                <w:p>
                  <w:pPr>
                    <w:jc w:val="center"/>
                    <w:rPr>
                      <w:rFonts w:hAnsi="宋体"/>
                      <w:sz w:val="21"/>
                      <w:szCs w:val="18"/>
                    </w:rPr>
                  </w:pPr>
                  <w:r>
                    <w:rPr>
                      <w:rFonts w:hAnsi="宋体"/>
                      <w:sz w:val="21"/>
                      <w:szCs w:val="18"/>
                    </w:rPr>
                    <w:t>2</w:t>
                  </w:r>
                </w:p>
              </w:tc>
              <w:tc>
                <w:tcPr>
                  <w:tcW w:w="2392" w:type="dxa"/>
                </w:tcPr>
                <w:p>
                  <w:pPr>
                    <w:jc w:val="center"/>
                    <w:rPr>
                      <w:rFonts w:hAnsi="宋体"/>
                      <w:sz w:val="21"/>
                      <w:szCs w:val="18"/>
                    </w:rPr>
                  </w:pPr>
                  <w:r>
                    <w:rPr>
                      <w:rFonts w:hAnsi="宋体"/>
                      <w:sz w:val="21"/>
                      <w:szCs w:val="18"/>
                    </w:rPr>
                    <w:t>格栅井、提升池</w:t>
                  </w:r>
                </w:p>
              </w:tc>
              <w:tc>
                <w:tcPr>
                  <w:tcW w:w="3328" w:type="dxa"/>
                </w:tcPr>
                <w:p>
                  <w:pPr>
                    <w:jc w:val="center"/>
                    <w:rPr>
                      <w:rFonts w:hAnsi="宋体"/>
                      <w:sz w:val="21"/>
                      <w:szCs w:val="18"/>
                    </w:rPr>
                  </w:pPr>
                  <w:r>
                    <w:rPr>
                      <w:rFonts w:hAnsi="宋体"/>
                      <w:sz w:val="21"/>
                      <w:szCs w:val="18"/>
                    </w:rPr>
                    <w:t>85</w:t>
                  </w:r>
                </w:p>
              </w:tc>
              <w:tc>
                <w:tcPr>
                  <w:tcW w:w="1767" w:type="dxa"/>
                </w:tcPr>
                <w:p>
                  <w:pPr>
                    <w:jc w:val="center"/>
                    <w:rPr>
                      <w:rFonts w:hAnsi="宋体"/>
                      <w:sz w:val="21"/>
                      <w:szCs w:val="18"/>
                    </w:rPr>
                  </w:pPr>
                  <w:r>
                    <w:rPr>
                      <w:rFonts w:hAnsi="宋体"/>
                      <w:sz w:val="21"/>
                      <w:szCs w:val="18"/>
                    </w:rPr>
                    <w:t>32～136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tcPr>
                <w:p>
                  <w:pPr>
                    <w:jc w:val="center"/>
                    <w:rPr>
                      <w:rFonts w:hAnsi="宋体"/>
                      <w:sz w:val="21"/>
                      <w:szCs w:val="18"/>
                    </w:rPr>
                  </w:pPr>
                  <w:r>
                    <w:rPr>
                      <w:rFonts w:hAnsi="宋体"/>
                      <w:sz w:val="21"/>
                      <w:szCs w:val="18"/>
                    </w:rPr>
                    <w:t>3</w:t>
                  </w:r>
                </w:p>
              </w:tc>
              <w:tc>
                <w:tcPr>
                  <w:tcW w:w="2392" w:type="dxa"/>
                </w:tcPr>
                <w:p>
                  <w:pPr>
                    <w:jc w:val="center"/>
                    <w:rPr>
                      <w:rFonts w:hAnsi="宋体"/>
                      <w:sz w:val="21"/>
                      <w:szCs w:val="18"/>
                    </w:rPr>
                  </w:pPr>
                  <w:r>
                    <w:rPr>
                      <w:rFonts w:hAnsi="宋体"/>
                      <w:sz w:val="21"/>
                      <w:szCs w:val="18"/>
                    </w:rPr>
                    <w:t>沉砂池</w:t>
                  </w:r>
                </w:p>
              </w:tc>
              <w:tc>
                <w:tcPr>
                  <w:tcW w:w="3328" w:type="dxa"/>
                </w:tcPr>
                <w:p>
                  <w:pPr>
                    <w:jc w:val="center"/>
                    <w:rPr>
                      <w:rFonts w:hAnsi="宋体"/>
                      <w:sz w:val="21"/>
                      <w:szCs w:val="18"/>
                    </w:rPr>
                  </w:pPr>
                  <w:r>
                    <w:rPr>
                      <w:rFonts w:hAnsi="宋体"/>
                      <w:sz w:val="21"/>
                      <w:szCs w:val="18"/>
                    </w:rPr>
                    <w:t>60</w:t>
                  </w:r>
                </w:p>
              </w:tc>
              <w:tc>
                <w:tcPr>
                  <w:tcW w:w="1767" w:type="dxa"/>
                </w:tcPr>
                <w:p>
                  <w:pPr>
                    <w:jc w:val="center"/>
                    <w:rPr>
                      <w:rFonts w:hAnsi="宋体"/>
                      <w:sz w:val="21"/>
                      <w:szCs w:val="18"/>
                    </w:rPr>
                  </w:pPr>
                  <w:r>
                    <w:rPr>
                      <w:rFonts w:hAnsi="宋体"/>
                      <w:sz w:val="21"/>
                      <w:szCs w:val="18"/>
                    </w:rPr>
                    <w:t>30～90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tcPr>
                <w:p>
                  <w:pPr>
                    <w:jc w:val="center"/>
                    <w:rPr>
                      <w:rFonts w:hAnsi="宋体"/>
                      <w:sz w:val="21"/>
                      <w:szCs w:val="18"/>
                    </w:rPr>
                  </w:pPr>
                  <w:r>
                    <w:rPr>
                      <w:rFonts w:hAnsi="宋体"/>
                      <w:sz w:val="21"/>
                      <w:szCs w:val="18"/>
                    </w:rPr>
                    <w:t>4</w:t>
                  </w:r>
                </w:p>
              </w:tc>
              <w:tc>
                <w:tcPr>
                  <w:tcW w:w="2392" w:type="dxa"/>
                </w:tcPr>
                <w:p>
                  <w:pPr>
                    <w:jc w:val="center"/>
                    <w:rPr>
                      <w:rFonts w:hAnsi="宋体"/>
                      <w:sz w:val="21"/>
                      <w:szCs w:val="18"/>
                    </w:rPr>
                  </w:pPr>
                  <w:r>
                    <w:rPr>
                      <w:rFonts w:hAnsi="宋体"/>
                      <w:sz w:val="21"/>
                      <w:szCs w:val="18"/>
                    </w:rPr>
                    <w:t>一般负荷曝气池</w:t>
                  </w:r>
                </w:p>
              </w:tc>
              <w:tc>
                <w:tcPr>
                  <w:tcW w:w="3328" w:type="dxa"/>
                </w:tcPr>
                <w:p>
                  <w:pPr>
                    <w:jc w:val="center"/>
                    <w:rPr>
                      <w:rFonts w:hAnsi="宋体"/>
                      <w:sz w:val="21"/>
                      <w:szCs w:val="18"/>
                    </w:rPr>
                  </w:pPr>
                  <w:r>
                    <w:rPr>
                      <w:rFonts w:hAnsi="宋体"/>
                      <w:sz w:val="21"/>
                      <w:szCs w:val="18"/>
                    </w:rPr>
                    <w:t>50</w:t>
                  </w:r>
                </w:p>
              </w:tc>
              <w:tc>
                <w:tcPr>
                  <w:tcW w:w="1767" w:type="dxa"/>
                </w:tcPr>
                <w:p>
                  <w:pPr>
                    <w:jc w:val="center"/>
                    <w:rPr>
                      <w:rFonts w:hAnsi="宋体"/>
                      <w:sz w:val="21"/>
                      <w:szCs w:val="18"/>
                    </w:rPr>
                  </w:pPr>
                  <w:r>
                    <w:rPr>
                      <w:rFonts w:hAnsi="宋体"/>
                      <w:sz w:val="21"/>
                      <w:szCs w:val="18"/>
                    </w:rPr>
                    <w:t>21～101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tcPr>
                <w:p>
                  <w:pPr>
                    <w:jc w:val="center"/>
                    <w:rPr>
                      <w:rFonts w:hAnsi="宋体"/>
                      <w:sz w:val="21"/>
                      <w:szCs w:val="18"/>
                    </w:rPr>
                  </w:pPr>
                  <w:r>
                    <w:rPr>
                      <w:rFonts w:hAnsi="宋体"/>
                      <w:sz w:val="21"/>
                      <w:szCs w:val="18"/>
                    </w:rPr>
                    <w:t>5</w:t>
                  </w:r>
                </w:p>
              </w:tc>
              <w:tc>
                <w:tcPr>
                  <w:tcW w:w="2392" w:type="dxa"/>
                </w:tcPr>
                <w:p>
                  <w:pPr>
                    <w:jc w:val="center"/>
                    <w:rPr>
                      <w:rFonts w:hAnsi="宋体"/>
                      <w:sz w:val="21"/>
                      <w:szCs w:val="18"/>
                    </w:rPr>
                  </w:pPr>
                  <w:r>
                    <w:rPr>
                      <w:rFonts w:hAnsi="宋体"/>
                      <w:sz w:val="21"/>
                      <w:szCs w:val="18"/>
                    </w:rPr>
                    <w:t>延时曝气法曝气池</w:t>
                  </w:r>
                </w:p>
              </w:tc>
              <w:tc>
                <w:tcPr>
                  <w:tcW w:w="3328" w:type="dxa"/>
                </w:tcPr>
                <w:p>
                  <w:pPr>
                    <w:jc w:val="center"/>
                    <w:rPr>
                      <w:rFonts w:hAnsi="宋体"/>
                      <w:sz w:val="21"/>
                      <w:szCs w:val="18"/>
                    </w:rPr>
                  </w:pPr>
                  <w:r>
                    <w:rPr>
                      <w:rFonts w:hAnsi="宋体"/>
                      <w:sz w:val="21"/>
                      <w:szCs w:val="18"/>
                    </w:rPr>
                    <w:t>30</w:t>
                  </w:r>
                </w:p>
              </w:tc>
              <w:tc>
                <w:tcPr>
                  <w:tcW w:w="1767" w:type="dxa"/>
                </w:tcPr>
                <w:p>
                  <w:pPr>
                    <w:jc w:val="center"/>
                    <w:rPr>
                      <w:rFonts w:hAnsi="宋体"/>
                      <w:sz w:val="21"/>
                      <w:szCs w:val="18"/>
                    </w:rPr>
                  </w:pPr>
                  <w:r>
                    <w:rPr>
                      <w:rFonts w:hAnsi="宋体"/>
                      <w:sz w:val="21"/>
                      <w:szCs w:val="18"/>
                    </w:rPr>
                    <w:t>10～43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tcPr>
                <w:p>
                  <w:pPr>
                    <w:jc w:val="center"/>
                    <w:rPr>
                      <w:rFonts w:hAnsi="宋体"/>
                      <w:sz w:val="21"/>
                      <w:szCs w:val="18"/>
                    </w:rPr>
                  </w:pPr>
                  <w:r>
                    <w:rPr>
                      <w:rFonts w:hAnsi="宋体"/>
                      <w:sz w:val="21"/>
                      <w:szCs w:val="18"/>
                    </w:rPr>
                    <w:t>6</w:t>
                  </w:r>
                </w:p>
              </w:tc>
              <w:tc>
                <w:tcPr>
                  <w:tcW w:w="2392" w:type="dxa"/>
                </w:tcPr>
                <w:p>
                  <w:pPr>
                    <w:jc w:val="center"/>
                    <w:rPr>
                      <w:rFonts w:hAnsi="宋体"/>
                      <w:sz w:val="21"/>
                      <w:szCs w:val="18"/>
                    </w:rPr>
                  </w:pPr>
                  <w:r>
                    <w:rPr>
                      <w:rFonts w:hAnsi="宋体"/>
                      <w:sz w:val="21"/>
                      <w:szCs w:val="18"/>
                    </w:rPr>
                    <w:t>生物滤池</w:t>
                  </w:r>
                </w:p>
              </w:tc>
              <w:tc>
                <w:tcPr>
                  <w:tcW w:w="3328" w:type="dxa"/>
                </w:tcPr>
                <w:p>
                  <w:pPr>
                    <w:jc w:val="center"/>
                    <w:rPr>
                      <w:rFonts w:hAnsi="宋体"/>
                      <w:sz w:val="21"/>
                      <w:szCs w:val="18"/>
                    </w:rPr>
                  </w:pPr>
                  <w:r>
                    <w:rPr>
                      <w:rFonts w:hAnsi="宋体"/>
                      <w:sz w:val="21"/>
                      <w:szCs w:val="18"/>
                    </w:rPr>
                    <w:t>30</w:t>
                  </w:r>
                </w:p>
              </w:tc>
              <w:tc>
                <w:tcPr>
                  <w:tcW w:w="1767" w:type="dxa"/>
                </w:tcPr>
                <w:p>
                  <w:pPr>
                    <w:jc w:val="center"/>
                    <w:rPr>
                      <w:rFonts w:hAnsi="宋体"/>
                      <w:sz w:val="21"/>
                      <w:szCs w:val="18"/>
                    </w:rPr>
                  </w:pPr>
                  <w:r>
                    <w:rPr>
                      <w:rFonts w:hAnsi="宋体"/>
                      <w:sz w:val="21"/>
                      <w:szCs w:val="18"/>
                    </w:rPr>
                    <w:t>12～50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tcPr>
                <w:p>
                  <w:pPr>
                    <w:jc w:val="center"/>
                    <w:rPr>
                      <w:rFonts w:hAnsi="宋体"/>
                      <w:sz w:val="21"/>
                      <w:szCs w:val="18"/>
                    </w:rPr>
                  </w:pPr>
                  <w:r>
                    <w:rPr>
                      <w:rFonts w:hint="eastAsia" w:hAnsi="宋体"/>
                      <w:sz w:val="21"/>
                      <w:szCs w:val="18"/>
                    </w:rPr>
                    <w:t>7</w:t>
                  </w:r>
                </w:p>
              </w:tc>
              <w:tc>
                <w:tcPr>
                  <w:tcW w:w="2392" w:type="dxa"/>
                </w:tcPr>
                <w:p>
                  <w:pPr>
                    <w:jc w:val="center"/>
                    <w:rPr>
                      <w:rFonts w:hAnsi="宋体"/>
                      <w:sz w:val="21"/>
                      <w:szCs w:val="18"/>
                    </w:rPr>
                  </w:pPr>
                  <w:r>
                    <w:rPr>
                      <w:rFonts w:hAnsi="宋体"/>
                      <w:sz w:val="21"/>
                      <w:szCs w:val="18"/>
                    </w:rPr>
                    <w:t>生污泥存放</w:t>
                  </w:r>
                </w:p>
              </w:tc>
              <w:tc>
                <w:tcPr>
                  <w:tcW w:w="3328" w:type="dxa"/>
                </w:tcPr>
                <w:p>
                  <w:pPr>
                    <w:jc w:val="center"/>
                    <w:rPr>
                      <w:rFonts w:hAnsi="宋体"/>
                      <w:sz w:val="21"/>
                      <w:szCs w:val="18"/>
                    </w:rPr>
                  </w:pPr>
                  <w:r>
                    <w:rPr>
                      <w:rFonts w:hAnsi="宋体"/>
                      <w:sz w:val="21"/>
                      <w:szCs w:val="18"/>
                    </w:rPr>
                    <w:t>200</w:t>
                  </w:r>
                </w:p>
              </w:tc>
              <w:tc>
                <w:tcPr>
                  <w:tcW w:w="1767" w:type="dxa"/>
                </w:tcPr>
                <w:p>
                  <w:pPr>
                    <w:jc w:val="center"/>
                    <w:rPr>
                      <w:rFonts w:hAnsi="宋体"/>
                      <w:sz w:val="21"/>
                      <w:szCs w:val="18"/>
                    </w:rPr>
                  </w:pPr>
                  <w:r>
                    <w:rPr>
                      <w:rFonts w:hAnsi="宋体"/>
                      <w:sz w:val="21"/>
                      <w:szCs w:val="18"/>
                    </w:rPr>
                    <w:t>30～800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tcPr>
                <w:p>
                  <w:pPr>
                    <w:jc w:val="center"/>
                    <w:rPr>
                      <w:rFonts w:hAnsi="宋体"/>
                      <w:sz w:val="21"/>
                      <w:szCs w:val="18"/>
                    </w:rPr>
                  </w:pPr>
                  <w:r>
                    <w:rPr>
                      <w:rFonts w:hint="eastAsia" w:hAnsi="宋体"/>
                      <w:sz w:val="21"/>
                      <w:szCs w:val="18"/>
                    </w:rPr>
                    <w:t>8</w:t>
                  </w:r>
                </w:p>
              </w:tc>
              <w:tc>
                <w:tcPr>
                  <w:tcW w:w="2392" w:type="dxa"/>
                </w:tcPr>
                <w:p>
                  <w:pPr>
                    <w:jc w:val="center"/>
                    <w:rPr>
                      <w:rFonts w:hAnsi="宋体"/>
                      <w:sz w:val="21"/>
                      <w:szCs w:val="18"/>
                    </w:rPr>
                  </w:pPr>
                  <w:r>
                    <w:rPr>
                      <w:rFonts w:hAnsi="宋体"/>
                      <w:sz w:val="21"/>
                      <w:szCs w:val="18"/>
                    </w:rPr>
                    <w:t>消化污泥存放</w:t>
                  </w:r>
                </w:p>
              </w:tc>
              <w:tc>
                <w:tcPr>
                  <w:tcW w:w="3328" w:type="dxa"/>
                </w:tcPr>
                <w:p>
                  <w:pPr>
                    <w:jc w:val="center"/>
                    <w:rPr>
                      <w:rFonts w:hAnsi="宋体"/>
                      <w:sz w:val="21"/>
                      <w:szCs w:val="18"/>
                    </w:rPr>
                  </w:pPr>
                  <w:r>
                    <w:rPr>
                      <w:rFonts w:hAnsi="宋体"/>
                      <w:sz w:val="21"/>
                      <w:szCs w:val="18"/>
                    </w:rPr>
                    <w:t>80</w:t>
                  </w:r>
                </w:p>
              </w:tc>
              <w:tc>
                <w:tcPr>
                  <w:tcW w:w="1767" w:type="dxa"/>
                </w:tcPr>
                <w:p>
                  <w:pPr>
                    <w:jc w:val="center"/>
                    <w:rPr>
                      <w:rFonts w:hAnsi="宋体"/>
                      <w:sz w:val="21"/>
                      <w:szCs w:val="18"/>
                    </w:rPr>
                  </w:pPr>
                  <w:r>
                    <w:rPr>
                      <w:rFonts w:hAnsi="宋体"/>
                      <w:sz w:val="21"/>
                      <w:szCs w:val="18"/>
                    </w:rPr>
                    <w:t>35～240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tcPr>
                <w:p>
                  <w:pPr>
                    <w:jc w:val="center"/>
                    <w:rPr>
                      <w:rFonts w:hAnsi="宋体"/>
                      <w:sz w:val="21"/>
                      <w:szCs w:val="18"/>
                    </w:rPr>
                  </w:pPr>
                  <w:r>
                    <w:rPr>
                      <w:rFonts w:hint="eastAsia" w:hAnsi="宋体"/>
                      <w:sz w:val="21"/>
                      <w:szCs w:val="18"/>
                    </w:rPr>
                    <w:t>9</w:t>
                  </w:r>
                </w:p>
              </w:tc>
              <w:tc>
                <w:tcPr>
                  <w:tcW w:w="2392" w:type="dxa"/>
                </w:tcPr>
                <w:p>
                  <w:pPr>
                    <w:jc w:val="center"/>
                    <w:rPr>
                      <w:rFonts w:hAnsi="宋体"/>
                      <w:sz w:val="21"/>
                      <w:szCs w:val="18"/>
                    </w:rPr>
                  </w:pPr>
                  <w:r>
                    <w:rPr>
                      <w:rFonts w:hAnsi="宋体"/>
                      <w:sz w:val="21"/>
                      <w:szCs w:val="18"/>
                    </w:rPr>
                    <w:t>机械污泥脱水间</w:t>
                  </w:r>
                </w:p>
              </w:tc>
              <w:tc>
                <w:tcPr>
                  <w:tcW w:w="3328" w:type="dxa"/>
                </w:tcPr>
                <w:p>
                  <w:pPr>
                    <w:jc w:val="center"/>
                    <w:rPr>
                      <w:rFonts w:hAnsi="宋体"/>
                      <w:sz w:val="21"/>
                      <w:szCs w:val="18"/>
                    </w:rPr>
                  </w:pPr>
                  <w:r>
                    <w:rPr>
                      <w:rFonts w:hAnsi="宋体"/>
                      <w:sz w:val="21"/>
                      <w:szCs w:val="18"/>
                    </w:rPr>
                    <w:t>400</w:t>
                  </w:r>
                </w:p>
              </w:tc>
              <w:tc>
                <w:tcPr>
                  <w:tcW w:w="1767" w:type="dxa"/>
                </w:tcPr>
                <w:p>
                  <w:pPr>
                    <w:jc w:val="center"/>
                    <w:rPr>
                      <w:rFonts w:hAnsi="宋体"/>
                      <w:sz w:val="21"/>
                      <w:szCs w:val="18"/>
                    </w:rPr>
                  </w:pPr>
                  <w:r>
                    <w:rPr>
                      <w:rFonts w:hAnsi="宋体"/>
                      <w:sz w:val="21"/>
                      <w:szCs w:val="18"/>
                    </w:rPr>
                    <w:t>50～770</w:t>
                  </w:r>
                </w:p>
              </w:tc>
            </w:tr>
          </w:tbl>
          <w:p>
            <w:pPr>
              <w:spacing w:line="360" w:lineRule="auto"/>
              <w:ind w:firstLine="480" w:firstLineChars="200"/>
              <w:rPr>
                <w:b/>
                <w:bCs/>
              </w:rPr>
            </w:pPr>
            <w:r>
              <w:t>从表中可看出，臭气值较大的地方主要是污水预处理部分（格栅槽、沉砂池）、生化反应池和污泥处理部分（贮泥池、污泥浓缩脱水设施等）。</w:t>
            </w:r>
            <w:r>
              <w:rPr>
                <w:rFonts w:hint="eastAsia"/>
                <w:b/>
                <w:bCs/>
              </w:rPr>
              <w:t>本项目污水处理站采取的是</w:t>
            </w:r>
            <w:r>
              <w:rPr>
                <w:rFonts w:hint="eastAsia" w:cs="Times New Roman"/>
                <w:b/>
                <w:bCs/>
              </w:rPr>
              <w:t>“</w:t>
            </w:r>
            <w:r>
              <w:rPr>
                <w:rFonts w:cs="Times New Roman"/>
                <w:b/>
                <w:bCs/>
              </w:rPr>
              <w:t>A/O+MBR</w:t>
            </w:r>
            <w:r>
              <w:rPr>
                <w:rFonts w:hint="eastAsia" w:cs="Times New Roman"/>
                <w:b/>
                <w:bCs/>
              </w:rPr>
              <w:t>膜生化处理工艺</w:t>
            </w:r>
            <w:r>
              <w:rPr>
                <w:rFonts w:cs="Times New Roman"/>
                <w:b/>
                <w:bCs/>
              </w:rPr>
              <w:t>”</w:t>
            </w:r>
            <w:r>
              <w:rPr>
                <w:rFonts w:hint="eastAsia"/>
                <w:b/>
                <w:bCs/>
              </w:rPr>
              <w:t>，不设污泥储池，格栅调节池、</w:t>
            </w:r>
            <w:r>
              <w:rPr>
                <w:rFonts w:cs="Times New Roman"/>
                <w:b/>
                <w:bCs/>
              </w:rPr>
              <w:t>MBR</w:t>
            </w:r>
            <w:r>
              <w:rPr>
                <w:rFonts w:hint="eastAsia" w:cs="Times New Roman"/>
                <w:b/>
                <w:bCs/>
              </w:rPr>
              <w:t>一体化设备</w:t>
            </w:r>
            <w:r>
              <w:rPr>
                <w:rFonts w:hint="eastAsia"/>
                <w:b/>
                <w:bCs/>
              </w:rPr>
              <w:t>是本项目主要恶臭来源。</w:t>
            </w:r>
          </w:p>
          <w:p>
            <w:pPr>
              <w:pStyle w:val="190"/>
              <w:spacing w:line="360" w:lineRule="auto"/>
              <w:ind w:firstLine="480"/>
            </w:pPr>
            <w:r>
              <w:t>（2）臭气的成份</w:t>
            </w:r>
          </w:p>
          <w:p>
            <w:pPr>
              <w:pStyle w:val="190"/>
              <w:spacing w:line="360" w:lineRule="auto"/>
              <w:ind w:firstLine="480"/>
            </w:pPr>
            <w:r>
              <w:t>几种主要臭气的成份如下表所示。</w:t>
            </w:r>
          </w:p>
          <w:p>
            <w:pPr>
              <w:pStyle w:val="192"/>
              <w:spacing w:before="0" w:line="240" w:lineRule="auto"/>
              <w:ind w:firstLine="482"/>
              <w:rPr>
                <w:rFonts w:cs="Times New Roman"/>
                <w:szCs w:val="24"/>
              </w:rPr>
            </w:pPr>
            <w:r>
              <w:rPr>
                <w:rFonts w:cs="Times New Roman"/>
                <w:szCs w:val="24"/>
              </w:rPr>
              <w:t>表5-6 主要臭气成份表</w:t>
            </w:r>
          </w:p>
          <w:tbl>
            <w:tblPr>
              <w:tblStyle w:val="30"/>
              <w:tblW w:w="8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1775"/>
              <w:gridCol w:w="3632"/>
              <w:gridCol w:w="2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1775" w:type="dxa"/>
                  <w:vAlign w:val="center"/>
                </w:tcPr>
                <w:p>
                  <w:pPr>
                    <w:jc w:val="center"/>
                    <w:rPr>
                      <w:rFonts w:hAnsi="宋体"/>
                      <w:sz w:val="21"/>
                      <w:szCs w:val="21"/>
                    </w:rPr>
                  </w:pPr>
                  <w:r>
                    <w:rPr>
                      <w:rFonts w:hAnsi="宋体"/>
                      <w:sz w:val="21"/>
                      <w:szCs w:val="21"/>
                    </w:rPr>
                    <w:t>化合物</w:t>
                  </w:r>
                </w:p>
              </w:tc>
              <w:tc>
                <w:tcPr>
                  <w:tcW w:w="3632" w:type="dxa"/>
                  <w:vAlign w:val="center"/>
                </w:tcPr>
                <w:p>
                  <w:pPr>
                    <w:jc w:val="center"/>
                    <w:rPr>
                      <w:rFonts w:hAnsi="宋体"/>
                      <w:sz w:val="21"/>
                      <w:szCs w:val="21"/>
                    </w:rPr>
                  </w:pPr>
                  <w:r>
                    <w:rPr>
                      <w:rFonts w:hAnsi="宋体"/>
                      <w:sz w:val="21"/>
                      <w:szCs w:val="21"/>
                    </w:rPr>
                    <w:t>典型分子式</w:t>
                  </w:r>
                </w:p>
              </w:tc>
              <w:tc>
                <w:tcPr>
                  <w:tcW w:w="2736" w:type="dxa"/>
                  <w:vAlign w:val="center"/>
                </w:tcPr>
                <w:p>
                  <w:pPr>
                    <w:jc w:val="center"/>
                    <w:rPr>
                      <w:rFonts w:hAnsi="宋体"/>
                      <w:sz w:val="21"/>
                      <w:szCs w:val="21"/>
                    </w:rPr>
                  </w:pPr>
                  <w:r>
                    <w:rPr>
                      <w:rFonts w:hAnsi="宋体"/>
                      <w:sz w:val="21"/>
                      <w:szCs w:val="21"/>
                    </w:rPr>
                    <w:t>特  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1775" w:type="dxa"/>
                  <w:vAlign w:val="center"/>
                </w:tcPr>
                <w:p>
                  <w:pPr>
                    <w:jc w:val="center"/>
                    <w:rPr>
                      <w:rFonts w:hAnsi="宋体"/>
                      <w:sz w:val="21"/>
                      <w:szCs w:val="21"/>
                    </w:rPr>
                  </w:pPr>
                  <w:r>
                    <w:rPr>
                      <w:rFonts w:hAnsi="宋体"/>
                      <w:sz w:val="21"/>
                      <w:szCs w:val="21"/>
                    </w:rPr>
                    <w:t>胺类</w:t>
                  </w:r>
                </w:p>
              </w:tc>
              <w:tc>
                <w:tcPr>
                  <w:tcW w:w="3632" w:type="dxa"/>
                  <w:vAlign w:val="center"/>
                </w:tcPr>
                <w:p>
                  <w:pPr>
                    <w:jc w:val="center"/>
                    <w:rPr>
                      <w:rFonts w:hAnsi="宋体"/>
                      <w:sz w:val="21"/>
                      <w:szCs w:val="21"/>
                    </w:rPr>
                  </w:pPr>
                  <w:r>
                    <w:rPr>
                      <w:rFonts w:hAnsi="宋体"/>
                      <w:sz w:val="21"/>
                      <w:szCs w:val="21"/>
                    </w:rPr>
                    <w:t>CH</w:t>
                  </w:r>
                  <w:r>
                    <w:rPr>
                      <w:rFonts w:hAnsi="宋体"/>
                      <w:sz w:val="21"/>
                      <w:szCs w:val="21"/>
                      <w:vertAlign w:val="subscript"/>
                    </w:rPr>
                    <w:t>3</w:t>
                  </w:r>
                  <w:r>
                    <w:rPr>
                      <w:rFonts w:hAnsi="宋体"/>
                      <w:sz w:val="21"/>
                      <w:szCs w:val="21"/>
                    </w:rPr>
                    <w:t>NH</w:t>
                  </w:r>
                  <w:r>
                    <w:rPr>
                      <w:rFonts w:hAnsi="宋体"/>
                      <w:sz w:val="21"/>
                      <w:szCs w:val="21"/>
                      <w:vertAlign w:val="subscript"/>
                    </w:rPr>
                    <w:t>2</w:t>
                  </w:r>
                  <w:r>
                    <w:rPr>
                      <w:rFonts w:hAnsi="宋体"/>
                      <w:sz w:val="21"/>
                      <w:szCs w:val="21"/>
                    </w:rPr>
                    <w:t xml:space="preserve"> (CH</w:t>
                  </w:r>
                  <w:r>
                    <w:rPr>
                      <w:rFonts w:hAnsi="宋体"/>
                      <w:sz w:val="21"/>
                      <w:szCs w:val="21"/>
                      <w:vertAlign w:val="subscript"/>
                    </w:rPr>
                    <w:t>3</w:t>
                  </w:r>
                  <w:r>
                    <w:rPr>
                      <w:rFonts w:hAnsi="宋体"/>
                      <w:sz w:val="21"/>
                      <w:szCs w:val="21"/>
                    </w:rPr>
                    <w:t>)</w:t>
                  </w:r>
                  <w:r>
                    <w:rPr>
                      <w:rFonts w:hAnsi="宋体"/>
                      <w:sz w:val="21"/>
                      <w:szCs w:val="21"/>
                      <w:vertAlign w:val="subscript"/>
                    </w:rPr>
                    <w:t>3</w:t>
                  </w:r>
                  <w:r>
                    <w:rPr>
                      <w:rFonts w:hAnsi="宋体"/>
                      <w:sz w:val="21"/>
                      <w:szCs w:val="21"/>
                    </w:rPr>
                    <w:t>N</w:t>
                  </w:r>
                </w:p>
              </w:tc>
              <w:tc>
                <w:tcPr>
                  <w:tcW w:w="2736" w:type="dxa"/>
                  <w:vAlign w:val="center"/>
                </w:tcPr>
                <w:p>
                  <w:pPr>
                    <w:jc w:val="center"/>
                    <w:rPr>
                      <w:rFonts w:hAnsi="宋体"/>
                      <w:sz w:val="21"/>
                      <w:szCs w:val="21"/>
                    </w:rPr>
                  </w:pPr>
                  <w:r>
                    <w:rPr>
                      <w:rFonts w:hAnsi="宋体"/>
                      <w:sz w:val="21"/>
                      <w:szCs w:val="21"/>
                    </w:rPr>
                    <w:t>鱼腥味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1775" w:type="dxa"/>
                  <w:vAlign w:val="center"/>
                </w:tcPr>
                <w:p>
                  <w:pPr>
                    <w:jc w:val="center"/>
                    <w:rPr>
                      <w:rFonts w:hAnsi="宋体"/>
                      <w:sz w:val="21"/>
                      <w:szCs w:val="21"/>
                    </w:rPr>
                  </w:pPr>
                  <w:r>
                    <w:rPr>
                      <w:rFonts w:hAnsi="宋体"/>
                      <w:sz w:val="21"/>
                      <w:szCs w:val="21"/>
                    </w:rPr>
                    <w:t>氨</w:t>
                  </w:r>
                </w:p>
              </w:tc>
              <w:tc>
                <w:tcPr>
                  <w:tcW w:w="3632" w:type="dxa"/>
                  <w:vAlign w:val="center"/>
                </w:tcPr>
                <w:p>
                  <w:pPr>
                    <w:jc w:val="center"/>
                    <w:rPr>
                      <w:rFonts w:hAnsi="宋体"/>
                      <w:sz w:val="21"/>
                      <w:szCs w:val="21"/>
                    </w:rPr>
                  </w:pPr>
                  <w:r>
                    <w:rPr>
                      <w:rFonts w:hAnsi="宋体"/>
                      <w:sz w:val="21"/>
                      <w:szCs w:val="21"/>
                    </w:rPr>
                    <w:t>NH</w:t>
                  </w:r>
                  <w:r>
                    <w:rPr>
                      <w:rFonts w:hAnsi="宋体"/>
                      <w:sz w:val="21"/>
                      <w:szCs w:val="21"/>
                      <w:vertAlign w:val="subscript"/>
                    </w:rPr>
                    <w:t>3</w:t>
                  </w:r>
                </w:p>
              </w:tc>
              <w:tc>
                <w:tcPr>
                  <w:tcW w:w="2736" w:type="dxa"/>
                  <w:vAlign w:val="center"/>
                </w:tcPr>
                <w:p>
                  <w:pPr>
                    <w:jc w:val="center"/>
                    <w:rPr>
                      <w:rFonts w:hAnsi="宋体"/>
                      <w:sz w:val="21"/>
                      <w:szCs w:val="21"/>
                    </w:rPr>
                  </w:pPr>
                  <w:r>
                    <w:rPr>
                      <w:rFonts w:hAnsi="宋体"/>
                      <w:sz w:val="21"/>
                      <w:szCs w:val="21"/>
                    </w:rPr>
                    <w:t>氨  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1775" w:type="dxa"/>
                  <w:vAlign w:val="center"/>
                </w:tcPr>
                <w:p>
                  <w:pPr>
                    <w:jc w:val="center"/>
                    <w:rPr>
                      <w:rFonts w:hAnsi="宋体"/>
                      <w:sz w:val="21"/>
                      <w:szCs w:val="21"/>
                    </w:rPr>
                  </w:pPr>
                  <w:r>
                    <w:rPr>
                      <w:rFonts w:hAnsi="宋体"/>
                      <w:sz w:val="21"/>
                      <w:szCs w:val="21"/>
                    </w:rPr>
                    <w:t>二胺</w:t>
                  </w:r>
                </w:p>
              </w:tc>
              <w:tc>
                <w:tcPr>
                  <w:tcW w:w="3632" w:type="dxa"/>
                  <w:vAlign w:val="center"/>
                </w:tcPr>
                <w:p>
                  <w:pPr>
                    <w:jc w:val="center"/>
                    <w:rPr>
                      <w:rFonts w:hAnsi="宋体"/>
                      <w:sz w:val="21"/>
                      <w:szCs w:val="21"/>
                    </w:rPr>
                  </w:pPr>
                  <w:r>
                    <w:rPr>
                      <w:rFonts w:hAnsi="宋体"/>
                      <w:sz w:val="21"/>
                      <w:szCs w:val="21"/>
                    </w:rPr>
                    <w:t>NH</w:t>
                  </w:r>
                  <w:r>
                    <w:rPr>
                      <w:rFonts w:hAnsi="宋体"/>
                      <w:sz w:val="21"/>
                      <w:szCs w:val="21"/>
                      <w:vertAlign w:val="subscript"/>
                    </w:rPr>
                    <w:t>2</w:t>
                  </w:r>
                  <w:r>
                    <w:rPr>
                      <w:rFonts w:hAnsi="宋体"/>
                      <w:sz w:val="21"/>
                      <w:szCs w:val="21"/>
                    </w:rPr>
                    <w:t xml:space="preserve"> (CH</w:t>
                  </w:r>
                  <w:r>
                    <w:rPr>
                      <w:rFonts w:hAnsi="宋体"/>
                      <w:sz w:val="21"/>
                      <w:szCs w:val="21"/>
                      <w:vertAlign w:val="subscript"/>
                    </w:rPr>
                    <w:t>2</w:t>
                  </w:r>
                  <w:r>
                    <w:rPr>
                      <w:rFonts w:hAnsi="宋体"/>
                      <w:sz w:val="21"/>
                      <w:szCs w:val="21"/>
                    </w:rPr>
                    <w:t>)</w:t>
                  </w:r>
                  <w:r>
                    <w:rPr>
                      <w:rFonts w:hAnsi="宋体"/>
                      <w:sz w:val="21"/>
                      <w:szCs w:val="21"/>
                      <w:vertAlign w:val="subscript"/>
                    </w:rPr>
                    <w:t>4</w:t>
                  </w:r>
                  <w:r>
                    <w:rPr>
                      <w:rFonts w:hAnsi="宋体"/>
                      <w:sz w:val="21"/>
                      <w:szCs w:val="21"/>
                    </w:rPr>
                    <w:t>NH</w:t>
                  </w:r>
                  <w:r>
                    <w:rPr>
                      <w:rFonts w:hAnsi="宋体"/>
                      <w:sz w:val="21"/>
                      <w:szCs w:val="21"/>
                      <w:vertAlign w:val="subscript"/>
                    </w:rPr>
                    <w:t>2</w:t>
                  </w:r>
                  <w:r>
                    <w:rPr>
                      <w:rFonts w:hAnsi="宋体"/>
                      <w:sz w:val="21"/>
                      <w:szCs w:val="21"/>
                    </w:rPr>
                    <w:t>NH</w:t>
                  </w:r>
                  <w:r>
                    <w:rPr>
                      <w:rFonts w:hAnsi="宋体"/>
                      <w:sz w:val="21"/>
                      <w:szCs w:val="21"/>
                      <w:vertAlign w:val="subscript"/>
                    </w:rPr>
                    <w:t>2</w:t>
                  </w:r>
                  <w:r>
                    <w:rPr>
                      <w:rFonts w:hAnsi="宋体"/>
                      <w:sz w:val="21"/>
                      <w:szCs w:val="21"/>
                    </w:rPr>
                    <w:t xml:space="preserve"> (CH</w:t>
                  </w:r>
                  <w:r>
                    <w:rPr>
                      <w:rFonts w:hAnsi="宋体"/>
                      <w:sz w:val="21"/>
                      <w:szCs w:val="21"/>
                      <w:vertAlign w:val="subscript"/>
                    </w:rPr>
                    <w:t>2</w:t>
                  </w:r>
                  <w:r>
                    <w:rPr>
                      <w:rFonts w:hAnsi="宋体"/>
                      <w:sz w:val="21"/>
                      <w:szCs w:val="21"/>
                    </w:rPr>
                    <w:t>)</w:t>
                  </w:r>
                  <w:r>
                    <w:rPr>
                      <w:rFonts w:hAnsi="宋体"/>
                      <w:sz w:val="21"/>
                      <w:szCs w:val="21"/>
                      <w:vertAlign w:val="subscript"/>
                    </w:rPr>
                    <w:t>5</w:t>
                  </w:r>
                  <w:r>
                    <w:rPr>
                      <w:rFonts w:hAnsi="宋体"/>
                      <w:sz w:val="21"/>
                      <w:szCs w:val="21"/>
                    </w:rPr>
                    <w:t>NH</w:t>
                  </w:r>
                  <w:r>
                    <w:rPr>
                      <w:rFonts w:hAnsi="宋体"/>
                      <w:sz w:val="21"/>
                      <w:szCs w:val="21"/>
                      <w:vertAlign w:val="subscript"/>
                    </w:rPr>
                    <w:t>2</w:t>
                  </w:r>
                </w:p>
              </w:tc>
              <w:tc>
                <w:tcPr>
                  <w:tcW w:w="2736" w:type="dxa"/>
                  <w:vAlign w:val="center"/>
                </w:tcPr>
                <w:p>
                  <w:pPr>
                    <w:jc w:val="center"/>
                    <w:rPr>
                      <w:rFonts w:hAnsi="宋体"/>
                      <w:sz w:val="21"/>
                      <w:szCs w:val="21"/>
                    </w:rPr>
                  </w:pPr>
                  <w:r>
                    <w:rPr>
                      <w:rFonts w:hAnsi="宋体"/>
                      <w:sz w:val="21"/>
                      <w:szCs w:val="21"/>
                    </w:rPr>
                    <w:t>腐肉味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1775" w:type="dxa"/>
                  <w:vAlign w:val="center"/>
                </w:tcPr>
                <w:p>
                  <w:pPr>
                    <w:jc w:val="center"/>
                    <w:rPr>
                      <w:rFonts w:hAnsi="宋体"/>
                      <w:sz w:val="21"/>
                      <w:szCs w:val="21"/>
                    </w:rPr>
                  </w:pPr>
                  <w:r>
                    <w:rPr>
                      <w:rFonts w:hAnsi="宋体"/>
                      <w:sz w:val="21"/>
                      <w:szCs w:val="21"/>
                    </w:rPr>
                    <w:t>硫化氢</w:t>
                  </w:r>
                </w:p>
              </w:tc>
              <w:tc>
                <w:tcPr>
                  <w:tcW w:w="3632" w:type="dxa"/>
                  <w:vAlign w:val="center"/>
                </w:tcPr>
                <w:p>
                  <w:pPr>
                    <w:jc w:val="center"/>
                    <w:rPr>
                      <w:rFonts w:hAnsi="宋体"/>
                      <w:sz w:val="21"/>
                      <w:szCs w:val="21"/>
                    </w:rPr>
                  </w:pPr>
                  <w:r>
                    <w:rPr>
                      <w:rFonts w:hAnsi="宋体"/>
                      <w:sz w:val="21"/>
                      <w:szCs w:val="21"/>
                    </w:rPr>
                    <w:t>H</w:t>
                  </w:r>
                  <w:r>
                    <w:rPr>
                      <w:rFonts w:hAnsi="宋体"/>
                      <w:sz w:val="21"/>
                      <w:szCs w:val="21"/>
                      <w:vertAlign w:val="subscript"/>
                    </w:rPr>
                    <w:t>2</w:t>
                  </w:r>
                  <w:r>
                    <w:rPr>
                      <w:rFonts w:hAnsi="宋体"/>
                      <w:sz w:val="21"/>
                      <w:szCs w:val="21"/>
                    </w:rPr>
                    <w:t>S</w:t>
                  </w:r>
                </w:p>
              </w:tc>
              <w:tc>
                <w:tcPr>
                  <w:tcW w:w="2736" w:type="dxa"/>
                  <w:vAlign w:val="center"/>
                </w:tcPr>
                <w:p>
                  <w:pPr>
                    <w:jc w:val="center"/>
                    <w:rPr>
                      <w:rFonts w:hAnsi="宋体"/>
                      <w:sz w:val="21"/>
                      <w:szCs w:val="21"/>
                    </w:rPr>
                  </w:pPr>
                  <w:r>
                    <w:rPr>
                      <w:rFonts w:hAnsi="宋体"/>
                      <w:sz w:val="21"/>
                      <w:szCs w:val="21"/>
                    </w:rPr>
                    <w:t>臭鸡蛋味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1775" w:type="dxa"/>
                  <w:vAlign w:val="center"/>
                </w:tcPr>
                <w:p>
                  <w:pPr>
                    <w:jc w:val="center"/>
                    <w:rPr>
                      <w:rFonts w:hAnsi="宋体"/>
                      <w:sz w:val="21"/>
                      <w:szCs w:val="21"/>
                    </w:rPr>
                  </w:pPr>
                  <w:r>
                    <w:rPr>
                      <w:rFonts w:hAnsi="宋体"/>
                      <w:sz w:val="21"/>
                      <w:szCs w:val="21"/>
                    </w:rPr>
                    <w:t>硫醇</w:t>
                  </w:r>
                </w:p>
              </w:tc>
              <w:tc>
                <w:tcPr>
                  <w:tcW w:w="3632" w:type="dxa"/>
                  <w:vAlign w:val="center"/>
                </w:tcPr>
                <w:p>
                  <w:pPr>
                    <w:jc w:val="center"/>
                    <w:rPr>
                      <w:rFonts w:hAnsi="宋体"/>
                      <w:sz w:val="21"/>
                      <w:szCs w:val="21"/>
                    </w:rPr>
                  </w:pPr>
                  <w:r>
                    <w:rPr>
                      <w:rFonts w:hAnsi="宋体"/>
                      <w:sz w:val="21"/>
                      <w:szCs w:val="21"/>
                    </w:rPr>
                    <w:t>CH</w:t>
                  </w:r>
                  <w:r>
                    <w:rPr>
                      <w:rFonts w:hAnsi="宋体"/>
                      <w:sz w:val="21"/>
                      <w:szCs w:val="21"/>
                      <w:vertAlign w:val="subscript"/>
                    </w:rPr>
                    <w:t>3</w:t>
                  </w:r>
                  <w:r>
                    <w:rPr>
                      <w:rFonts w:hAnsi="宋体"/>
                      <w:sz w:val="21"/>
                      <w:szCs w:val="21"/>
                    </w:rPr>
                    <w:t>SH CH</w:t>
                  </w:r>
                  <w:r>
                    <w:rPr>
                      <w:rFonts w:hAnsi="宋体"/>
                      <w:sz w:val="21"/>
                      <w:szCs w:val="21"/>
                      <w:vertAlign w:val="subscript"/>
                    </w:rPr>
                    <w:t>3</w:t>
                  </w:r>
                  <w:r>
                    <w:rPr>
                      <w:rFonts w:hAnsi="宋体"/>
                      <w:sz w:val="21"/>
                      <w:szCs w:val="21"/>
                    </w:rPr>
                    <w:t>SSCH</w:t>
                  </w:r>
                  <w:r>
                    <w:rPr>
                      <w:rFonts w:hAnsi="宋体"/>
                      <w:sz w:val="21"/>
                      <w:szCs w:val="21"/>
                      <w:vertAlign w:val="subscript"/>
                    </w:rPr>
                    <w:t>3</w:t>
                  </w:r>
                </w:p>
              </w:tc>
              <w:tc>
                <w:tcPr>
                  <w:tcW w:w="2736" w:type="dxa"/>
                  <w:vAlign w:val="center"/>
                </w:tcPr>
                <w:p>
                  <w:pPr>
                    <w:jc w:val="center"/>
                    <w:rPr>
                      <w:rFonts w:hAnsi="宋体"/>
                      <w:sz w:val="21"/>
                      <w:szCs w:val="21"/>
                    </w:rPr>
                  </w:pPr>
                  <w:r>
                    <w:rPr>
                      <w:rFonts w:hAnsi="宋体"/>
                      <w:sz w:val="21"/>
                      <w:szCs w:val="21"/>
                    </w:rPr>
                    <w:t>烂洋葱味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jc w:val="center"/>
              </w:trPr>
              <w:tc>
                <w:tcPr>
                  <w:tcW w:w="1775" w:type="dxa"/>
                  <w:vAlign w:val="center"/>
                </w:tcPr>
                <w:p>
                  <w:pPr>
                    <w:jc w:val="center"/>
                    <w:rPr>
                      <w:rFonts w:hAnsi="宋体"/>
                      <w:sz w:val="21"/>
                      <w:szCs w:val="21"/>
                    </w:rPr>
                  </w:pPr>
                  <w:r>
                    <w:rPr>
                      <w:rFonts w:hAnsi="宋体"/>
                      <w:sz w:val="21"/>
                      <w:szCs w:val="21"/>
                    </w:rPr>
                    <w:t>粪臭素</w:t>
                  </w:r>
                </w:p>
              </w:tc>
              <w:tc>
                <w:tcPr>
                  <w:tcW w:w="3632" w:type="dxa"/>
                  <w:vAlign w:val="center"/>
                </w:tcPr>
                <w:p>
                  <w:pPr>
                    <w:jc w:val="center"/>
                    <w:rPr>
                      <w:rFonts w:hAnsi="宋体"/>
                      <w:sz w:val="21"/>
                      <w:szCs w:val="21"/>
                    </w:rPr>
                  </w:pPr>
                  <w:r>
                    <w:rPr>
                      <w:rFonts w:hAnsi="宋体"/>
                      <w:sz w:val="21"/>
                      <w:szCs w:val="21"/>
                    </w:rPr>
                    <w:t>C</w:t>
                  </w:r>
                  <w:r>
                    <w:rPr>
                      <w:rFonts w:hAnsi="宋体"/>
                      <w:sz w:val="21"/>
                      <w:szCs w:val="21"/>
                      <w:vertAlign w:val="subscript"/>
                    </w:rPr>
                    <w:t>8</w:t>
                  </w:r>
                  <w:r>
                    <w:rPr>
                      <w:rFonts w:hAnsi="宋体"/>
                      <w:sz w:val="21"/>
                      <w:szCs w:val="21"/>
                    </w:rPr>
                    <w:t>H</w:t>
                  </w:r>
                  <w:r>
                    <w:rPr>
                      <w:rFonts w:hAnsi="宋体"/>
                      <w:sz w:val="21"/>
                      <w:szCs w:val="21"/>
                      <w:vertAlign w:val="subscript"/>
                    </w:rPr>
                    <w:t>5</w:t>
                  </w:r>
                  <w:r>
                    <w:rPr>
                      <w:rFonts w:hAnsi="宋体"/>
                      <w:sz w:val="21"/>
                      <w:szCs w:val="21"/>
                    </w:rPr>
                    <w:t>NHCH</w:t>
                  </w:r>
                  <w:r>
                    <w:rPr>
                      <w:rFonts w:hAnsi="宋体"/>
                      <w:sz w:val="21"/>
                      <w:szCs w:val="21"/>
                      <w:vertAlign w:val="subscript"/>
                    </w:rPr>
                    <w:t>3</w:t>
                  </w:r>
                </w:p>
              </w:tc>
              <w:tc>
                <w:tcPr>
                  <w:tcW w:w="2736" w:type="dxa"/>
                  <w:vAlign w:val="center"/>
                </w:tcPr>
                <w:p>
                  <w:pPr>
                    <w:jc w:val="center"/>
                    <w:rPr>
                      <w:rFonts w:hAnsi="宋体"/>
                      <w:sz w:val="21"/>
                      <w:szCs w:val="21"/>
                    </w:rPr>
                  </w:pPr>
                  <w:r>
                    <w:rPr>
                      <w:rFonts w:hAnsi="宋体"/>
                      <w:sz w:val="21"/>
                      <w:szCs w:val="21"/>
                    </w:rPr>
                    <w:t>粪便味</w:t>
                  </w:r>
                </w:p>
              </w:tc>
            </w:tr>
          </w:tbl>
          <w:p>
            <w:pPr>
              <w:pStyle w:val="190"/>
              <w:spacing w:line="360" w:lineRule="auto"/>
              <w:ind w:firstLine="480"/>
            </w:pPr>
            <w:r>
              <w:t>（3）本项目臭气源强分析</w:t>
            </w:r>
          </w:p>
          <w:p>
            <w:pPr>
              <w:spacing w:line="360" w:lineRule="auto"/>
              <w:ind w:firstLine="480" w:firstLineChars="200"/>
            </w:pPr>
            <w:r>
              <w:t>在</w:t>
            </w:r>
            <w:r>
              <w:rPr>
                <w:bCs/>
              </w:rPr>
              <w:t>生活污水处理工程</w:t>
            </w:r>
            <w:r>
              <w:t>运行过程中，由于伴随微生物、原生动物、菌股团等生物的新陈代谢而产生恶臭污染物，其主要成分有H</w:t>
            </w:r>
            <w:r>
              <w:rPr>
                <w:vertAlign w:val="subscript"/>
              </w:rPr>
              <w:t>2</w:t>
            </w:r>
            <w:r>
              <w:t>S和NH</w:t>
            </w:r>
            <w:r>
              <w:rPr>
                <w:vertAlign w:val="subscript"/>
              </w:rPr>
              <w:t>3</w:t>
            </w:r>
            <w:r>
              <w:t>。恶臭的主要发生源是格栅、生物反应器和污泥</w:t>
            </w:r>
            <w:r>
              <w:rPr>
                <w:rFonts w:hint="eastAsia"/>
              </w:rPr>
              <w:t>干化池</w:t>
            </w:r>
            <w:r>
              <w:t>。由于恶臭污染物浓度及其影响与污水处理规模、处理工艺以及原污水水质、充氧、曝气、污水停留时间、以及污染气象等条件有关，恶臭物质的逸出和扩散机理复杂，废气源强难于计算，因此其排放源强采用类比资料确定。</w:t>
            </w:r>
          </w:p>
          <w:p>
            <w:pPr>
              <w:spacing w:line="360" w:lineRule="auto"/>
              <w:ind w:firstLine="480" w:firstLineChars="200"/>
            </w:pPr>
            <w:r>
              <w:t>项目建成投入运营后，废气主要来自污水处理过程中因在缺氧环境或生化过程中由于微生物分解有机物而产生的少量恶臭气体，</w:t>
            </w:r>
            <w:r>
              <w:rPr>
                <w:b/>
              </w:rPr>
              <w:t>其产生部位主要为格栅</w:t>
            </w:r>
            <w:r>
              <w:rPr>
                <w:rFonts w:hint="eastAsia"/>
                <w:b/>
              </w:rPr>
              <w:t>调节池、MBR一体化设备等</w:t>
            </w:r>
            <w:r>
              <w:t>，主要以NH</w:t>
            </w:r>
            <w:r>
              <w:rPr>
                <w:vertAlign w:val="subscript"/>
              </w:rPr>
              <w:t>3</w:t>
            </w:r>
            <w:r>
              <w:t>和H</w:t>
            </w:r>
            <w:r>
              <w:rPr>
                <w:vertAlign w:val="subscript"/>
              </w:rPr>
              <w:t>2</w:t>
            </w:r>
            <w:r>
              <w:t>S气体为主，其产量受水温、pH值、构筑物设计参数等多种因素的影响。</w:t>
            </w:r>
          </w:p>
          <w:p>
            <w:pPr>
              <w:autoSpaceDE w:val="0"/>
              <w:adjustRightInd w:val="0"/>
              <w:snapToGrid w:val="0"/>
              <w:spacing w:line="360" w:lineRule="auto"/>
              <w:ind w:firstLine="480" w:firstLineChars="200"/>
              <w:rPr>
                <w:rFonts w:cs="Times New Roman"/>
                <w:kern w:val="0"/>
              </w:rPr>
            </w:pPr>
            <w:r>
              <w:rPr>
                <w:rFonts w:ascii="宋体" w:hAnsi="宋体"/>
                <w:kern w:val="0"/>
              </w:rPr>
              <w:t>本项目采用</w:t>
            </w:r>
            <w:r>
              <w:rPr>
                <w:kern w:val="0"/>
              </w:rPr>
              <w:t>NH</w:t>
            </w:r>
            <w:r>
              <w:rPr>
                <w:kern w:val="0"/>
                <w:vertAlign w:val="subscript"/>
              </w:rPr>
              <w:t>3</w:t>
            </w:r>
            <w:r>
              <w:rPr>
                <w:rFonts w:ascii="宋体" w:hAnsi="宋体"/>
                <w:kern w:val="0"/>
              </w:rPr>
              <w:t>和</w:t>
            </w:r>
            <w:r>
              <w:rPr>
                <w:kern w:val="0"/>
              </w:rPr>
              <w:t>H</w:t>
            </w:r>
            <w:r>
              <w:rPr>
                <w:kern w:val="0"/>
                <w:vertAlign w:val="subscript"/>
              </w:rPr>
              <w:t>2</w:t>
            </w:r>
            <w:r>
              <w:rPr>
                <w:kern w:val="0"/>
              </w:rPr>
              <w:t>S</w:t>
            </w:r>
            <w:r>
              <w:rPr>
                <w:rFonts w:ascii="宋体" w:hAnsi="宋体"/>
                <w:kern w:val="0"/>
              </w:rPr>
              <w:t>作为</w:t>
            </w:r>
            <w:r>
              <w:rPr>
                <w:rFonts w:hint="eastAsia" w:ascii="宋体" w:hAnsi="宋体"/>
                <w:kern w:val="0"/>
              </w:rPr>
              <w:t>本</w:t>
            </w:r>
            <w:r>
              <w:rPr>
                <w:rFonts w:ascii="宋体" w:hAnsi="宋体"/>
                <w:kern w:val="0"/>
              </w:rPr>
              <w:t>项目的特征恶臭污染物来评价</w:t>
            </w:r>
            <w:r>
              <w:rPr>
                <w:rFonts w:hint="eastAsia" w:ascii="宋体" w:hAnsi="宋体"/>
                <w:kern w:val="0"/>
              </w:rPr>
              <w:t>污水处理站</w:t>
            </w:r>
            <w:r>
              <w:rPr>
                <w:rFonts w:ascii="宋体" w:hAnsi="宋体"/>
                <w:kern w:val="0"/>
              </w:rPr>
              <w:t>恶臭的环境影响，恶臭污染源源强采用类比法确定，在各处理单元的排污系数一般可通过单位时间内单位面积散发量表征，类比数据见表</w:t>
            </w:r>
            <w:r>
              <w:rPr>
                <w:kern w:val="0"/>
              </w:rPr>
              <w:t>5-7</w:t>
            </w:r>
            <w:r>
              <w:rPr>
                <w:rFonts w:ascii="宋体" w:hAnsi="宋体"/>
                <w:kern w:val="0"/>
              </w:rPr>
              <w:t>。</w:t>
            </w:r>
          </w:p>
          <w:p>
            <w:pPr>
              <w:autoSpaceDE w:val="0"/>
              <w:adjustRightInd w:val="0"/>
              <w:snapToGrid w:val="0"/>
              <w:spacing w:line="360" w:lineRule="auto"/>
              <w:jc w:val="center"/>
              <w:rPr>
                <w:b/>
                <w:bCs/>
              </w:rPr>
            </w:pPr>
            <w:r>
              <w:rPr>
                <w:b/>
                <w:bCs/>
              </w:rPr>
              <w:t>表5-7  污水处理构筑物单位面积恶臭污染物排放源强</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8"/>
              <w:gridCol w:w="2806"/>
              <w:gridCol w:w="2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88"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bCs/>
                      <w:kern w:val="0"/>
                      <w:sz w:val="21"/>
                      <w:szCs w:val="21"/>
                    </w:rPr>
                  </w:pPr>
                  <w:r>
                    <w:rPr>
                      <w:rFonts w:cs="Times New Roman"/>
                      <w:b/>
                      <w:bCs/>
                      <w:kern w:val="0"/>
                      <w:sz w:val="21"/>
                      <w:szCs w:val="21"/>
                    </w:rPr>
                    <w:t>构筑物名称</w:t>
                  </w:r>
                </w:p>
              </w:tc>
              <w:tc>
                <w:tcPr>
                  <w:tcW w:w="2806" w:type="dxa"/>
                  <w:tcBorders>
                    <w:top w:val="single" w:color="auto" w:sz="4" w:space="0"/>
                    <w:left w:val="nil"/>
                    <w:bottom w:val="single" w:color="auto" w:sz="4" w:space="0"/>
                    <w:right w:val="single" w:color="auto" w:sz="4" w:space="0"/>
                  </w:tcBorders>
                  <w:vAlign w:val="center"/>
                </w:tcPr>
                <w:p>
                  <w:pPr>
                    <w:jc w:val="center"/>
                    <w:rPr>
                      <w:rFonts w:cs="Times New Roman"/>
                      <w:b/>
                      <w:bCs/>
                      <w:kern w:val="0"/>
                      <w:sz w:val="21"/>
                      <w:szCs w:val="21"/>
                    </w:rPr>
                  </w:pPr>
                  <w:r>
                    <w:rPr>
                      <w:rFonts w:hint="eastAsia" w:cs="Times New Roman"/>
                      <w:b/>
                      <w:bCs/>
                      <w:kern w:val="0"/>
                      <w:sz w:val="21"/>
                      <w:szCs w:val="21"/>
                    </w:rPr>
                    <w:t>NH</w:t>
                  </w:r>
                  <w:r>
                    <w:rPr>
                      <w:rFonts w:hint="eastAsia" w:cs="Times New Roman"/>
                      <w:b/>
                      <w:bCs/>
                      <w:kern w:val="0"/>
                      <w:sz w:val="21"/>
                      <w:szCs w:val="21"/>
                      <w:vertAlign w:val="subscript"/>
                    </w:rPr>
                    <w:t>3</w:t>
                  </w:r>
                  <w:r>
                    <w:rPr>
                      <w:rFonts w:cs="Times New Roman"/>
                      <w:b/>
                      <w:bCs/>
                      <w:kern w:val="0"/>
                      <w:sz w:val="21"/>
                      <w:szCs w:val="21"/>
                    </w:rPr>
                    <w:t>（mg/h•m</w:t>
                  </w:r>
                  <w:r>
                    <w:rPr>
                      <w:rFonts w:cs="Times New Roman"/>
                      <w:b/>
                      <w:bCs/>
                      <w:kern w:val="0"/>
                      <w:sz w:val="21"/>
                      <w:szCs w:val="21"/>
                      <w:vertAlign w:val="superscript"/>
                    </w:rPr>
                    <w:t>2</w:t>
                  </w:r>
                  <w:r>
                    <w:rPr>
                      <w:rFonts w:cs="Times New Roman"/>
                      <w:b/>
                      <w:bCs/>
                      <w:kern w:val="0"/>
                      <w:sz w:val="21"/>
                      <w:szCs w:val="21"/>
                    </w:rPr>
                    <w:t>）</w:t>
                  </w:r>
                </w:p>
              </w:tc>
              <w:tc>
                <w:tcPr>
                  <w:tcW w:w="2808" w:type="dxa"/>
                  <w:tcBorders>
                    <w:top w:val="single" w:color="auto" w:sz="4" w:space="0"/>
                    <w:left w:val="nil"/>
                    <w:bottom w:val="single" w:color="auto" w:sz="4" w:space="0"/>
                    <w:right w:val="single" w:color="auto" w:sz="4" w:space="0"/>
                  </w:tcBorders>
                  <w:vAlign w:val="center"/>
                </w:tcPr>
                <w:p>
                  <w:pPr>
                    <w:jc w:val="center"/>
                    <w:rPr>
                      <w:rFonts w:cs="Times New Roman"/>
                      <w:b/>
                      <w:bCs/>
                      <w:kern w:val="0"/>
                      <w:sz w:val="21"/>
                      <w:szCs w:val="21"/>
                    </w:rPr>
                  </w:pPr>
                  <w:r>
                    <w:rPr>
                      <w:rFonts w:hint="eastAsia" w:cs="Times New Roman"/>
                      <w:b/>
                      <w:bCs/>
                      <w:kern w:val="0"/>
                      <w:sz w:val="21"/>
                      <w:szCs w:val="21"/>
                    </w:rPr>
                    <w:t>H</w:t>
                  </w:r>
                  <w:r>
                    <w:rPr>
                      <w:rFonts w:hint="eastAsia" w:cs="Times New Roman"/>
                      <w:b/>
                      <w:bCs/>
                      <w:kern w:val="0"/>
                      <w:sz w:val="21"/>
                      <w:szCs w:val="21"/>
                      <w:vertAlign w:val="subscript"/>
                    </w:rPr>
                    <w:t>2</w:t>
                  </w:r>
                  <w:r>
                    <w:rPr>
                      <w:rFonts w:hint="eastAsia" w:cs="Times New Roman"/>
                      <w:b/>
                      <w:bCs/>
                      <w:kern w:val="0"/>
                      <w:sz w:val="21"/>
                      <w:szCs w:val="21"/>
                    </w:rPr>
                    <w:t>S</w:t>
                  </w:r>
                  <w:r>
                    <w:rPr>
                      <w:rFonts w:cs="Times New Roman"/>
                      <w:b/>
                      <w:bCs/>
                      <w:kern w:val="0"/>
                      <w:sz w:val="21"/>
                      <w:szCs w:val="21"/>
                    </w:rPr>
                    <w:t>（mg/h•m</w:t>
                  </w:r>
                  <w:r>
                    <w:rPr>
                      <w:rFonts w:cs="Times New Roman"/>
                      <w:b/>
                      <w:bCs/>
                      <w:kern w:val="0"/>
                      <w:sz w:val="21"/>
                      <w:szCs w:val="21"/>
                      <w:vertAlign w:val="superscript"/>
                    </w:rPr>
                    <w:t>2</w:t>
                  </w:r>
                  <w:r>
                    <w:rPr>
                      <w:rFonts w:cs="Times New Roman"/>
                      <w:b/>
                      <w:bCs/>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88" w:type="dxa"/>
                  <w:tcBorders>
                    <w:top w:val="single" w:color="auto" w:sz="4" w:space="0"/>
                    <w:left w:val="single" w:color="auto" w:sz="4" w:space="0"/>
                    <w:bottom w:val="single" w:color="auto" w:sz="4" w:space="0"/>
                    <w:right w:val="single" w:color="auto" w:sz="4" w:space="0"/>
                  </w:tcBorders>
                  <w:vAlign w:val="center"/>
                </w:tcPr>
                <w:p>
                  <w:pPr>
                    <w:jc w:val="center"/>
                    <w:rPr>
                      <w:rFonts w:cs="Times New Roman"/>
                      <w:kern w:val="0"/>
                      <w:sz w:val="21"/>
                      <w:szCs w:val="21"/>
                    </w:rPr>
                  </w:pPr>
                  <w:r>
                    <w:rPr>
                      <w:rFonts w:cs="Times New Roman"/>
                      <w:kern w:val="0"/>
                      <w:sz w:val="21"/>
                      <w:szCs w:val="21"/>
                    </w:rPr>
                    <w:t>预处理区</w:t>
                  </w:r>
                </w:p>
              </w:tc>
              <w:tc>
                <w:tcPr>
                  <w:tcW w:w="2806" w:type="dxa"/>
                  <w:tcBorders>
                    <w:top w:val="single" w:color="auto" w:sz="4" w:space="0"/>
                    <w:left w:val="nil"/>
                    <w:bottom w:val="single" w:color="auto" w:sz="4" w:space="0"/>
                    <w:right w:val="single" w:color="auto" w:sz="4" w:space="0"/>
                  </w:tcBorders>
                  <w:vAlign w:val="center"/>
                </w:tcPr>
                <w:p>
                  <w:pPr>
                    <w:jc w:val="center"/>
                    <w:rPr>
                      <w:rFonts w:cs="Times New Roman"/>
                      <w:kern w:val="0"/>
                      <w:sz w:val="21"/>
                      <w:szCs w:val="21"/>
                    </w:rPr>
                  </w:pPr>
                  <w:r>
                    <w:rPr>
                      <w:rFonts w:cs="Times New Roman"/>
                      <w:kern w:val="0"/>
                      <w:sz w:val="21"/>
                      <w:szCs w:val="21"/>
                    </w:rPr>
                    <w:t>40.97</w:t>
                  </w:r>
                </w:p>
              </w:tc>
              <w:tc>
                <w:tcPr>
                  <w:tcW w:w="2808" w:type="dxa"/>
                  <w:tcBorders>
                    <w:top w:val="single" w:color="auto" w:sz="4" w:space="0"/>
                    <w:left w:val="nil"/>
                    <w:bottom w:val="single" w:color="auto" w:sz="4" w:space="0"/>
                    <w:right w:val="single" w:color="auto" w:sz="4" w:space="0"/>
                  </w:tcBorders>
                  <w:vAlign w:val="center"/>
                </w:tcPr>
                <w:p>
                  <w:pPr>
                    <w:jc w:val="center"/>
                    <w:rPr>
                      <w:rFonts w:cs="Times New Roman"/>
                      <w:kern w:val="0"/>
                      <w:sz w:val="21"/>
                      <w:szCs w:val="21"/>
                    </w:rPr>
                  </w:pPr>
                  <w:r>
                    <w:rPr>
                      <w:rFonts w:cs="Times New Roman"/>
                      <w:kern w:val="0"/>
                      <w:sz w:val="21"/>
                      <w:szCs w:val="21"/>
                    </w:rPr>
                    <w:t>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88" w:type="dxa"/>
                  <w:tcBorders>
                    <w:top w:val="single" w:color="auto" w:sz="4" w:space="0"/>
                    <w:left w:val="single" w:color="auto" w:sz="4" w:space="0"/>
                    <w:bottom w:val="single" w:color="auto" w:sz="4" w:space="0"/>
                    <w:right w:val="single" w:color="auto" w:sz="4" w:space="0"/>
                  </w:tcBorders>
                  <w:vAlign w:val="center"/>
                </w:tcPr>
                <w:p>
                  <w:pPr>
                    <w:jc w:val="center"/>
                    <w:rPr>
                      <w:rFonts w:cs="Times New Roman"/>
                      <w:kern w:val="0"/>
                      <w:sz w:val="21"/>
                      <w:szCs w:val="21"/>
                    </w:rPr>
                  </w:pPr>
                  <w:r>
                    <w:rPr>
                      <w:rFonts w:cs="Times New Roman"/>
                      <w:kern w:val="0"/>
                      <w:sz w:val="21"/>
                      <w:szCs w:val="21"/>
                    </w:rPr>
                    <w:t>生化处理区</w:t>
                  </w:r>
                </w:p>
              </w:tc>
              <w:tc>
                <w:tcPr>
                  <w:tcW w:w="2806" w:type="dxa"/>
                  <w:tcBorders>
                    <w:top w:val="single" w:color="auto" w:sz="4" w:space="0"/>
                    <w:left w:val="nil"/>
                    <w:bottom w:val="single" w:color="auto" w:sz="4" w:space="0"/>
                    <w:right w:val="single" w:color="auto" w:sz="4" w:space="0"/>
                  </w:tcBorders>
                  <w:vAlign w:val="center"/>
                </w:tcPr>
                <w:p>
                  <w:pPr>
                    <w:jc w:val="center"/>
                    <w:rPr>
                      <w:rFonts w:cs="Times New Roman"/>
                      <w:kern w:val="0"/>
                      <w:sz w:val="21"/>
                      <w:szCs w:val="21"/>
                    </w:rPr>
                  </w:pPr>
                  <w:r>
                    <w:rPr>
                      <w:rFonts w:cs="Times New Roman"/>
                      <w:kern w:val="0"/>
                      <w:sz w:val="21"/>
                      <w:szCs w:val="21"/>
                    </w:rPr>
                    <w:t>1.19</w:t>
                  </w:r>
                </w:p>
              </w:tc>
              <w:tc>
                <w:tcPr>
                  <w:tcW w:w="2808" w:type="dxa"/>
                  <w:tcBorders>
                    <w:top w:val="single" w:color="auto" w:sz="4" w:space="0"/>
                    <w:left w:val="nil"/>
                    <w:bottom w:val="single" w:color="auto" w:sz="4" w:space="0"/>
                    <w:right w:val="single" w:color="auto" w:sz="4" w:space="0"/>
                  </w:tcBorders>
                  <w:vAlign w:val="center"/>
                </w:tcPr>
                <w:p>
                  <w:pPr>
                    <w:jc w:val="center"/>
                    <w:rPr>
                      <w:rFonts w:cs="Times New Roman"/>
                      <w:kern w:val="0"/>
                      <w:sz w:val="21"/>
                      <w:szCs w:val="21"/>
                    </w:rPr>
                  </w:pPr>
                  <w:r>
                    <w:rPr>
                      <w:rFonts w:cs="Times New Roman"/>
                      <w:kern w:val="0"/>
                      <w:sz w:val="21"/>
                      <w:szCs w:val="21"/>
                    </w:rPr>
                    <w:t>0.12</w:t>
                  </w:r>
                </w:p>
              </w:tc>
            </w:tr>
          </w:tbl>
          <w:p>
            <w:pPr>
              <w:autoSpaceDE w:val="0"/>
              <w:adjustRightInd w:val="0"/>
              <w:snapToGrid w:val="0"/>
              <w:spacing w:line="360" w:lineRule="auto"/>
              <w:jc w:val="center"/>
              <w:rPr>
                <w:b/>
                <w:bCs/>
              </w:rPr>
            </w:pPr>
            <w:r>
              <w:rPr>
                <w:b/>
                <w:bCs/>
              </w:rPr>
              <w:t>表5-8  污水处理构筑物恶臭污染源强一览表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0"/>
              <w:gridCol w:w="1108"/>
              <w:gridCol w:w="2551"/>
              <w:gridCol w:w="2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40" w:type="dxa"/>
                  <w:vMerge w:val="restart"/>
                  <w:tcBorders>
                    <w:top w:val="single" w:color="auto" w:sz="4" w:space="0"/>
                    <w:left w:val="single" w:color="auto" w:sz="4" w:space="0"/>
                    <w:bottom w:val="single" w:color="auto" w:sz="4" w:space="0"/>
                    <w:right w:val="single" w:color="auto" w:sz="4" w:space="0"/>
                  </w:tcBorders>
                  <w:vAlign w:val="center"/>
                </w:tcPr>
                <w:p>
                  <w:pPr>
                    <w:jc w:val="center"/>
                    <w:rPr>
                      <w:b/>
                      <w:bCs/>
                      <w:kern w:val="0"/>
                      <w:sz w:val="21"/>
                      <w:szCs w:val="21"/>
                    </w:rPr>
                  </w:pPr>
                  <w:r>
                    <w:rPr>
                      <w:b/>
                      <w:bCs/>
                      <w:kern w:val="0"/>
                      <w:sz w:val="21"/>
                      <w:szCs w:val="21"/>
                    </w:rPr>
                    <w:t>构筑物名称</w:t>
                  </w:r>
                </w:p>
              </w:tc>
              <w:tc>
                <w:tcPr>
                  <w:tcW w:w="1108" w:type="dxa"/>
                  <w:vMerge w:val="restart"/>
                  <w:tcBorders>
                    <w:top w:val="single" w:color="auto" w:sz="4" w:space="0"/>
                    <w:left w:val="nil"/>
                    <w:bottom w:val="single" w:color="auto" w:sz="4" w:space="0"/>
                    <w:right w:val="single" w:color="auto" w:sz="4" w:space="0"/>
                  </w:tcBorders>
                  <w:vAlign w:val="center"/>
                </w:tcPr>
                <w:p>
                  <w:pPr>
                    <w:jc w:val="center"/>
                    <w:rPr>
                      <w:b/>
                      <w:bCs/>
                      <w:kern w:val="0"/>
                      <w:sz w:val="21"/>
                      <w:szCs w:val="21"/>
                    </w:rPr>
                  </w:pPr>
                  <w:r>
                    <w:rPr>
                      <w:b/>
                      <w:bCs/>
                      <w:kern w:val="0"/>
                      <w:sz w:val="21"/>
                      <w:szCs w:val="21"/>
                    </w:rPr>
                    <w:t>面积</w:t>
                  </w:r>
                  <w:r>
                    <w:rPr>
                      <w:rFonts w:hint="eastAsia"/>
                      <w:b/>
                      <w:bCs/>
                      <w:kern w:val="0"/>
                      <w:sz w:val="21"/>
                      <w:szCs w:val="21"/>
                    </w:rPr>
                    <w:t>（</w:t>
                  </w:r>
                  <w:r>
                    <w:rPr>
                      <w:b/>
                      <w:bCs/>
                      <w:kern w:val="0"/>
                      <w:sz w:val="21"/>
                      <w:szCs w:val="21"/>
                    </w:rPr>
                    <w:t>m</w:t>
                  </w:r>
                  <w:r>
                    <w:rPr>
                      <w:b/>
                      <w:bCs/>
                      <w:kern w:val="0"/>
                      <w:sz w:val="21"/>
                      <w:szCs w:val="21"/>
                      <w:vertAlign w:val="superscript"/>
                    </w:rPr>
                    <w:t>2</w:t>
                  </w:r>
                  <w:r>
                    <w:rPr>
                      <w:rFonts w:hint="eastAsia"/>
                      <w:b/>
                      <w:bCs/>
                      <w:kern w:val="0"/>
                      <w:sz w:val="21"/>
                      <w:szCs w:val="21"/>
                    </w:rPr>
                    <w:t>）</w:t>
                  </w:r>
                </w:p>
              </w:tc>
              <w:tc>
                <w:tcPr>
                  <w:tcW w:w="5154" w:type="dxa"/>
                  <w:gridSpan w:val="2"/>
                  <w:tcBorders>
                    <w:top w:val="single" w:color="auto" w:sz="4" w:space="0"/>
                    <w:left w:val="nil"/>
                    <w:bottom w:val="single" w:color="auto" w:sz="4" w:space="0"/>
                    <w:right w:val="single" w:color="auto" w:sz="4" w:space="0"/>
                  </w:tcBorders>
                  <w:vAlign w:val="center"/>
                </w:tcPr>
                <w:p>
                  <w:pPr>
                    <w:jc w:val="center"/>
                    <w:rPr>
                      <w:b/>
                      <w:bCs/>
                      <w:kern w:val="0"/>
                      <w:sz w:val="21"/>
                      <w:szCs w:val="21"/>
                    </w:rPr>
                  </w:pPr>
                  <w:r>
                    <w:rPr>
                      <w:b/>
                      <w:bCs/>
                      <w:kern w:val="0"/>
                      <w:sz w:val="21"/>
                      <w:szCs w:val="21"/>
                    </w:rPr>
                    <w:t>恶臭污染物源强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1"/>
                      <w:szCs w:val="21"/>
                    </w:rPr>
                  </w:pPr>
                </w:p>
              </w:tc>
              <w:tc>
                <w:tcPr>
                  <w:tcW w:w="1108" w:type="dxa"/>
                  <w:vMerge w:val="continue"/>
                  <w:tcBorders>
                    <w:top w:val="single" w:color="auto" w:sz="4" w:space="0"/>
                    <w:left w:val="nil"/>
                    <w:bottom w:val="single" w:color="auto" w:sz="4" w:space="0"/>
                    <w:right w:val="single" w:color="auto" w:sz="4" w:space="0"/>
                  </w:tcBorders>
                  <w:vAlign w:val="center"/>
                </w:tcPr>
                <w:p>
                  <w:pPr>
                    <w:widowControl/>
                    <w:jc w:val="left"/>
                    <w:rPr>
                      <w:b/>
                      <w:bCs/>
                      <w:kern w:val="0"/>
                      <w:sz w:val="21"/>
                      <w:szCs w:val="21"/>
                    </w:rPr>
                  </w:pPr>
                </w:p>
              </w:tc>
              <w:tc>
                <w:tcPr>
                  <w:tcW w:w="2551" w:type="dxa"/>
                  <w:tcBorders>
                    <w:top w:val="single" w:color="auto" w:sz="4" w:space="0"/>
                    <w:left w:val="nil"/>
                    <w:bottom w:val="single" w:color="auto" w:sz="4" w:space="0"/>
                    <w:right w:val="single" w:color="auto" w:sz="4" w:space="0"/>
                  </w:tcBorders>
                  <w:vAlign w:val="center"/>
                </w:tcPr>
                <w:p>
                  <w:pPr>
                    <w:jc w:val="center"/>
                    <w:rPr>
                      <w:b/>
                      <w:bCs/>
                      <w:kern w:val="0"/>
                      <w:sz w:val="21"/>
                      <w:szCs w:val="21"/>
                    </w:rPr>
                  </w:pPr>
                  <w:r>
                    <w:rPr>
                      <w:b/>
                      <w:bCs/>
                      <w:kern w:val="0"/>
                      <w:sz w:val="21"/>
                      <w:szCs w:val="21"/>
                    </w:rPr>
                    <w:t>NH</w:t>
                  </w:r>
                  <w:r>
                    <w:rPr>
                      <w:b/>
                      <w:bCs/>
                      <w:kern w:val="0"/>
                      <w:sz w:val="21"/>
                      <w:szCs w:val="21"/>
                      <w:vertAlign w:val="subscript"/>
                    </w:rPr>
                    <w:t>3</w:t>
                  </w:r>
                  <w:r>
                    <w:rPr>
                      <w:b/>
                      <w:bCs/>
                      <w:kern w:val="0"/>
                      <w:sz w:val="21"/>
                      <w:szCs w:val="21"/>
                    </w:rPr>
                    <w:t>（</w:t>
                  </w:r>
                  <w:r>
                    <w:rPr>
                      <w:rFonts w:cs="Times New Roman"/>
                      <w:b/>
                      <w:bCs/>
                      <w:kern w:val="0"/>
                      <w:sz w:val="21"/>
                      <w:szCs w:val="21"/>
                    </w:rPr>
                    <w:t>mg/h</w:t>
                  </w:r>
                  <w:r>
                    <w:rPr>
                      <w:rFonts w:ascii="宋体" w:hAnsi="宋体"/>
                      <w:b/>
                      <w:bCs/>
                      <w:kern w:val="0"/>
                      <w:sz w:val="21"/>
                      <w:szCs w:val="21"/>
                    </w:rPr>
                    <w:t>）</w:t>
                  </w:r>
                </w:p>
              </w:tc>
              <w:tc>
                <w:tcPr>
                  <w:tcW w:w="2603" w:type="dxa"/>
                  <w:tcBorders>
                    <w:top w:val="single" w:color="auto" w:sz="4" w:space="0"/>
                    <w:left w:val="nil"/>
                    <w:bottom w:val="single" w:color="auto" w:sz="4" w:space="0"/>
                    <w:right w:val="single" w:color="auto" w:sz="4" w:space="0"/>
                  </w:tcBorders>
                  <w:vAlign w:val="center"/>
                </w:tcPr>
                <w:p>
                  <w:pPr>
                    <w:jc w:val="center"/>
                    <w:rPr>
                      <w:b/>
                      <w:bCs/>
                      <w:kern w:val="0"/>
                      <w:sz w:val="21"/>
                      <w:szCs w:val="21"/>
                    </w:rPr>
                  </w:pPr>
                  <w:r>
                    <w:rPr>
                      <w:b/>
                      <w:bCs/>
                      <w:kern w:val="0"/>
                      <w:sz w:val="21"/>
                      <w:szCs w:val="21"/>
                    </w:rPr>
                    <w:t>H</w:t>
                  </w:r>
                  <w:r>
                    <w:rPr>
                      <w:b/>
                      <w:bCs/>
                      <w:kern w:val="0"/>
                      <w:sz w:val="21"/>
                      <w:szCs w:val="21"/>
                      <w:vertAlign w:val="subscript"/>
                    </w:rPr>
                    <w:t>2</w:t>
                  </w:r>
                  <w:r>
                    <w:rPr>
                      <w:b/>
                      <w:bCs/>
                      <w:kern w:val="0"/>
                      <w:sz w:val="21"/>
                      <w:szCs w:val="21"/>
                    </w:rPr>
                    <w:t>S</w:t>
                  </w:r>
                  <w:r>
                    <w:rPr>
                      <w:rFonts w:ascii="宋体" w:hAnsi="宋体"/>
                      <w:b/>
                      <w:bCs/>
                      <w:kern w:val="0"/>
                      <w:sz w:val="21"/>
                      <w:szCs w:val="21"/>
                    </w:rPr>
                    <w:t>（</w:t>
                  </w:r>
                  <w:r>
                    <w:rPr>
                      <w:rFonts w:cs="Times New Roman"/>
                      <w:b/>
                      <w:bCs/>
                      <w:kern w:val="0"/>
                      <w:sz w:val="21"/>
                      <w:szCs w:val="21"/>
                    </w:rPr>
                    <w:t>mg/h</w:t>
                  </w:r>
                  <w:r>
                    <w:rPr>
                      <w:rFonts w:ascii="宋体" w:hAnsi="宋体"/>
                      <w:b/>
                      <w:bCs/>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cs="Times New Roman"/>
                      <w:kern w:val="0"/>
                      <w:sz w:val="21"/>
                      <w:szCs w:val="21"/>
                    </w:rPr>
                  </w:pPr>
                  <w:r>
                    <w:rPr>
                      <w:rFonts w:cs="Times New Roman"/>
                      <w:kern w:val="0"/>
                      <w:sz w:val="21"/>
                      <w:szCs w:val="21"/>
                    </w:rPr>
                    <w:t>格栅</w:t>
                  </w:r>
                  <w:r>
                    <w:rPr>
                      <w:rFonts w:hint="eastAsia" w:cs="Times New Roman"/>
                      <w:kern w:val="0"/>
                      <w:sz w:val="21"/>
                      <w:szCs w:val="21"/>
                    </w:rPr>
                    <w:t>调节池</w:t>
                  </w:r>
                </w:p>
              </w:tc>
              <w:tc>
                <w:tcPr>
                  <w:tcW w:w="1108" w:type="dxa"/>
                  <w:tcBorders>
                    <w:top w:val="single" w:color="auto" w:sz="4" w:space="0"/>
                    <w:left w:val="nil"/>
                    <w:bottom w:val="single" w:color="auto" w:sz="4" w:space="0"/>
                    <w:right w:val="single" w:color="auto" w:sz="4" w:space="0"/>
                  </w:tcBorders>
                  <w:vAlign w:val="center"/>
                </w:tcPr>
                <w:p>
                  <w:pPr>
                    <w:jc w:val="center"/>
                    <w:rPr>
                      <w:kern w:val="0"/>
                      <w:sz w:val="21"/>
                      <w:szCs w:val="21"/>
                    </w:rPr>
                  </w:pPr>
                  <w:r>
                    <w:rPr>
                      <w:kern w:val="0"/>
                      <w:sz w:val="21"/>
                      <w:szCs w:val="21"/>
                    </w:rPr>
                    <w:t>12</w:t>
                  </w:r>
                </w:p>
              </w:tc>
              <w:tc>
                <w:tcPr>
                  <w:tcW w:w="2551" w:type="dxa"/>
                  <w:tcBorders>
                    <w:top w:val="single" w:color="auto" w:sz="4" w:space="0"/>
                    <w:left w:val="nil"/>
                    <w:bottom w:val="single" w:color="auto" w:sz="4" w:space="0"/>
                    <w:right w:val="single" w:color="auto" w:sz="4" w:space="0"/>
                  </w:tcBorders>
                  <w:vAlign w:val="center"/>
                </w:tcPr>
                <w:p>
                  <w:pPr>
                    <w:jc w:val="center"/>
                    <w:rPr>
                      <w:kern w:val="0"/>
                      <w:sz w:val="21"/>
                      <w:szCs w:val="21"/>
                    </w:rPr>
                  </w:pPr>
                  <w:r>
                    <w:rPr>
                      <w:rFonts w:hint="eastAsia"/>
                      <w:kern w:val="0"/>
                      <w:sz w:val="21"/>
                      <w:szCs w:val="21"/>
                    </w:rPr>
                    <w:t>4</w:t>
                  </w:r>
                  <w:r>
                    <w:rPr>
                      <w:kern w:val="0"/>
                      <w:sz w:val="21"/>
                      <w:szCs w:val="21"/>
                    </w:rPr>
                    <w:t>91.64</w:t>
                  </w:r>
                </w:p>
              </w:tc>
              <w:tc>
                <w:tcPr>
                  <w:tcW w:w="2603" w:type="dxa"/>
                  <w:tcBorders>
                    <w:top w:val="single" w:color="auto" w:sz="4" w:space="0"/>
                    <w:left w:val="nil"/>
                    <w:bottom w:val="single" w:color="auto" w:sz="4" w:space="0"/>
                    <w:right w:val="single" w:color="auto" w:sz="4" w:space="0"/>
                  </w:tcBorders>
                  <w:vAlign w:val="center"/>
                </w:tcPr>
                <w:p>
                  <w:pPr>
                    <w:jc w:val="center"/>
                    <w:rPr>
                      <w:kern w:val="0"/>
                      <w:sz w:val="21"/>
                      <w:szCs w:val="21"/>
                    </w:rPr>
                  </w:pPr>
                  <w:r>
                    <w:rPr>
                      <w:rFonts w:hint="eastAsia"/>
                      <w:kern w:val="0"/>
                      <w:sz w:val="21"/>
                      <w:szCs w:val="21"/>
                    </w:rPr>
                    <w:t>4</w:t>
                  </w:r>
                  <w:r>
                    <w:rPr>
                      <w:kern w:val="0"/>
                      <w:sz w:val="21"/>
                      <w:szCs w:val="21"/>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cs="Times New Roman"/>
                      <w:kern w:val="0"/>
                      <w:sz w:val="21"/>
                      <w:szCs w:val="21"/>
                    </w:rPr>
                  </w:pPr>
                  <w:r>
                    <w:rPr>
                      <w:rFonts w:hint="eastAsia" w:cs="Times New Roman"/>
                      <w:kern w:val="0"/>
                      <w:sz w:val="21"/>
                      <w:szCs w:val="21"/>
                    </w:rPr>
                    <w:t>MBR一体化设备</w:t>
                  </w:r>
                </w:p>
              </w:tc>
              <w:tc>
                <w:tcPr>
                  <w:tcW w:w="1108" w:type="dxa"/>
                  <w:tcBorders>
                    <w:top w:val="single" w:color="auto" w:sz="4" w:space="0"/>
                    <w:left w:val="nil"/>
                    <w:bottom w:val="single" w:color="auto" w:sz="4" w:space="0"/>
                    <w:right w:val="single" w:color="auto" w:sz="4" w:space="0"/>
                  </w:tcBorders>
                  <w:vAlign w:val="center"/>
                </w:tcPr>
                <w:p>
                  <w:pPr>
                    <w:jc w:val="center"/>
                    <w:rPr>
                      <w:kern w:val="0"/>
                      <w:sz w:val="21"/>
                      <w:szCs w:val="21"/>
                    </w:rPr>
                  </w:pPr>
                  <w:r>
                    <w:rPr>
                      <w:kern w:val="0"/>
                      <w:sz w:val="21"/>
                      <w:szCs w:val="21"/>
                    </w:rPr>
                    <w:t>36</w:t>
                  </w:r>
                </w:p>
              </w:tc>
              <w:tc>
                <w:tcPr>
                  <w:tcW w:w="2551" w:type="dxa"/>
                  <w:tcBorders>
                    <w:top w:val="single" w:color="auto" w:sz="4" w:space="0"/>
                    <w:left w:val="nil"/>
                    <w:bottom w:val="single" w:color="auto" w:sz="4" w:space="0"/>
                    <w:right w:val="single" w:color="auto" w:sz="4" w:space="0"/>
                  </w:tcBorders>
                  <w:vAlign w:val="center"/>
                </w:tcPr>
                <w:p>
                  <w:pPr>
                    <w:jc w:val="center"/>
                    <w:rPr>
                      <w:kern w:val="0"/>
                      <w:sz w:val="21"/>
                      <w:szCs w:val="21"/>
                    </w:rPr>
                  </w:pPr>
                  <w:r>
                    <w:rPr>
                      <w:rFonts w:hint="eastAsia"/>
                      <w:kern w:val="0"/>
                      <w:sz w:val="21"/>
                      <w:szCs w:val="21"/>
                    </w:rPr>
                    <w:t>4</w:t>
                  </w:r>
                  <w:r>
                    <w:rPr>
                      <w:kern w:val="0"/>
                      <w:sz w:val="21"/>
                      <w:szCs w:val="21"/>
                    </w:rPr>
                    <w:t>2.84</w:t>
                  </w:r>
                </w:p>
              </w:tc>
              <w:tc>
                <w:tcPr>
                  <w:tcW w:w="2603" w:type="dxa"/>
                  <w:tcBorders>
                    <w:top w:val="single" w:color="auto" w:sz="4" w:space="0"/>
                    <w:left w:val="nil"/>
                    <w:bottom w:val="single" w:color="auto" w:sz="4" w:space="0"/>
                    <w:right w:val="single" w:color="auto" w:sz="4" w:space="0"/>
                  </w:tcBorders>
                  <w:vAlign w:val="center"/>
                </w:tcPr>
                <w:p>
                  <w:pPr>
                    <w:jc w:val="center"/>
                    <w:rPr>
                      <w:kern w:val="0"/>
                      <w:sz w:val="21"/>
                      <w:szCs w:val="21"/>
                    </w:rPr>
                  </w:pPr>
                  <w:r>
                    <w:rPr>
                      <w:rFonts w:hint="eastAsia"/>
                      <w:kern w:val="0"/>
                      <w:sz w:val="21"/>
                      <w:szCs w:val="21"/>
                    </w:rPr>
                    <w:t>4</w:t>
                  </w:r>
                  <w:r>
                    <w:rPr>
                      <w:kern w:val="0"/>
                      <w:sz w:val="21"/>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cs="Times New Roman"/>
                      <w:kern w:val="0"/>
                      <w:sz w:val="21"/>
                      <w:szCs w:val="21"/>
                    </w:rPr>
                  </w:pPr>
                  <w:r>
                    <w:rPr>
                      <w:rFonts w:cs="Times New Roman"/>
                      <w:kern w:val="0"/>
                      <w:sz w:val="21"/>
                      <w:szCs w:val="21"/>
                    </w:rPr>
                    <w:t>合计</w:t>
                  </w:r>
                </w:p>
              </w:tc>
              <w:tc>
                <w:tcPr>
                  <w:tcW w:w="1108" w:type="dxa"/>
                  <w:tcBorders>
                    <w:top w:val="single" w:color="auto" w:sz="4" w:space="0"/>
                    <w:left w:val="nil"/>
                    <w:bottom w:val="single" w:color="auto" w:sz="4" w:space="0"/>
                    <w:right w:val="single" w:color="auto" w:sz="4" w:space="0"/>
                  </w:tcBorders>
                  <w:vAlign w:val="center"/>
                </w:tcPr>
                <w:p>
                  <w:pPr>
                    <w:jc w:val="center"/>
                    <w:rPr>
                      <w:kern w:val="0"/>
                      <w:sz w:val="21"/>
                      <w:szCs w:val="21"/>
                    </w:rPr>
                  </w:pPr>
                  <w:r>
                    <w:rPr>
                      <w:rFonts w:hint="eastAsia"/>
                      <w:kern w:val="0"/>
                      <w:sz w:val="21"/>
                      <w:szCs w:val="21"/>
                    </w:rPr>
                    <w:t>4</w:t>
                  </w:r>
                  <w:r>
                    <w:rPr>
                      <w:kern w:val="0"/>
                      <w:sz w:val="21"/>
                      <w:szCs w:val="21"/>
                    </w:rPr>
                    <w:t>8</w:t>
                  </w:r>
                </w:p>
              </w:tc>
              <w:tc>
                <w:tcPr>
                  <w:tcW w:w="2551" w:type="dxa"/>
                  <w:tcBorders>
                    <w:top w:val="single" w:color="auto" w:sz="4" w:space="0"/>
                    <w:left w:val="nil"/>
                    <w:bottom w:val="single" w:color="auto" w:sz="4" w:space="0"/>
                    <w:right w:val="single" w:color="auto" w:sz="4" w:space="0"/>
                  </w:tcBorders>
                  <w:vAlign w:val="center"/>
                </w:tcPr>
                <w:p>
                  <w:pPr>
                    <w:jc w:val="center"/>
                    <w:rPr>
                      <w:kern w:val="0"/>
                      <w:sz w:val="21"/>
                      <w:szCs w:val="21"/>
                    </w:rPr>
                  </w:pPr>
                  <w:r>
                    <w:rPr>
                      <w:rFonts w:hint="eastAsia"/>
                      <w:kern w:val="0"/>
                      <w:sz w:val="21"/>
                      <w:szCs w:val="21"/>
                    </w:rPr>
                    <w:t>5</w:t>
                  </w:r>
                  <w:r>
                    <w:rPr>
                      <w:kern w:val="0"/>
                      <w:sz w:val="21"/>
                      <w:szCs w:val="21"/>
                    </w:rPr>
                    <w:t>34.48</w:t>
                  </w:r>
                </w:p>
              </w:tc>
              <w:tc>
                <w:tcPr>
                  <w:tcW w:w="2603" w:type="dxa"/>
                  <w:tcBorders>
                    <w:top w:val="single" w:color="auto" w:sz="4" w:space="0"/>
                    <w:left w:val="nil"/>
                    <w:bottom w:val="single" w:color="auto" w:sz="4" w:space="0"/>
                    <w:right w:val="single" w:color="auto" w:sz="4" w:space="0"/>
                  </w:tcBorders>
                  <w:vAlign w:val="center"/>
                </w:tcPr>
                <w:p>
                  <w:pPr>
                    <w:jc w:val="center"/>
                    <w:rPr>
                      <w:kern w:val="0"/>
                      <w:sz w:val="21"/>
                      <w:szCs w:val="21"/>
                    </w:rPr>
                  </w:pPr>
                  <w:r>
                    <w:rPr>
                      <w:rFonts w:hint="eastAsia"/>
                      <w:kern w:val="0"/>
                      <w:sz w:val="21"/>
                      <w:szCs w:val="21"/>
                    </w:rPr>
                    <w:t>4</w:t>
                  </w:r>
                  <w:r>
                    <w:rPr>
                      <w:kern w:val="0"/>
                      <w:sz w:val="21"/>
                      <w:szCs w:val="21"/>
                    </w:rPr>
                    <w:t>8.36</w:t>
                  </w:r>
                </w:p>
              </w:tc>
            </w:tr>
          </w:tbl>
          <w:p>
            <w:pPr>
              <w:spacing w:line="360" w:lineRule="auto"/>
              <w:ind w:firstLine="480" w:firstLineChars="200"/>
            </w:pPr>
            <w:r>
              <w:rPr>
                <w:rFonts w:cs="Times New Roman"/>
              </w:rPr>
              <w:t>本项目厂内预处理区、</w:t>
            </w:r>
            <w:r>
              <w:rPr>
                <w:rFonts w:hint="eastAsia" w:cs="Times New Roman"/>
              </w:rPr>
              <w:t>M</w:t>
            </w:r>
            <w:r>
              <w:rPr>
                <w:rFonts w:cs="Times New Roman"/>
              </w:rPr>
              <w:t>BR</w:t>
            </w:r>
            <w:r>
              <w:rPr>
                <w:rFonts w:hint="eastAsia" w:cs="Times New Roman"/>
              </w:rPr>
              <w:t>一体化设备未</w:t>
            </w:r>
            <w:r>
              <w:rPr>
                <w:rFonts w:cs="Times New Roman"/>
              </w:rPr>
              <w:t>收集的恶臭气体直接无组织排放，氨气排放速率为0.0005kg/h，硫化氢排放速率为0.00005kg/h。因此环评要求采取下列措施控制</w:t>
            </w:r>
            <w:r>
              <w:rPr>
                <w:rFonts w:hint="eastAsia" w:cs="Times New Roman"/>
              </w:rPr>
              <w:t>恶臭</w:t>
            </w:r>
            <w:r>
              <w:rPr>
                <w:rFonts w:cs="Times New Roman"/>
              </w:rPr>
              <w:t>：</w:t>
            </w:r>
          </w:p>
          <w:p>
            <w:pPr>
              <w:spacing w:line="360" w:lineRule="auto"/>
              <w:ind w:firstLine="480" w:firstLineChars="200"/>
            </w:pPr>
            <w:r>
              <w:rPr>
                <w:rFonts w:cs="Times New Roman"/>
              </w:rPr>
              <w:t>A合理布置格栅间、一体化设备的位置，使其尽量设置在远离农户的地方。</w:t>
            </w:r>
          </w:p>
          <w:p>
            <w:pPr>
              <w:spacing w:line="360" w:lineRule="auto"/>
              <w:ind w:firstLine="480" w:firstLineChars="200"/>
              <w:rPr>
                <w:rFonts w:cs="Times New Roman"/>
              </w:rPr>
            </w:pPr>
            <w:r>
              <w:rPr>
                <w:rFonts w:hint="eastAsia" w:cs="Times New Roman"/>
              </w:rPr>
              <w:t>B对格栅调节池进行加盖密闭处理。</w:t>
            </w:r>
          </w:p>
          <w:p>
            <w:pPr>
              <w:spacing w:line="360" w:lineRule="auto"/>
              <w:ind w:firstLine="480" w:firstLineChars="200"/>
            </w:pPr>
            <w:r>
              <w:rPr>
                <w:rFonts w:cs="Times New Roman"/>
              </w:rPr>
              <w:t>C厂区内尽可能利用空隙进行绿化，种植树木，也可减轻恶臭和噪声对周围的影响。</w:t>
            </w:r>
          </w:p>
          <w:p>
            <w:pPr>
              <w:pStyle w:val="190"/>
              <w:spacing w:line="360" w:lineRule="auto"/>
              <w:ind w:firstLine="480"/>
            </w:pPr>
            <w:r>
              <w:t>（三）噪声</w:t>
            </w:r>
          </w:p>
          <w:p>
            <w:pPr>
              <w:adjustRightInd w:val="0"/>
              <w:snapToGrid w:val="0"/>
              <w:spacing w:line="360" w:lineRule="auto"/>
              <w:ind w:firstLine="480" w:firstLineChars="200"/>
            </w:pPr>
            <w:r>
              <w:t>本项目主要噪声来源于传动机械工作时产生的噪声，本项目主要噪声源有鼓风机、污水提升泵等。根据类似设备噪声强度调查，主要的机械设备噪声值见表5-9。</w:t>
            </w:r>
          </w:p>
          <w:p>
            <w:pPr>
              <w:spacing w:line="360" w:lineRule="auto"/>
              <w:jc w:val="center"/>
              <w:rPr>
                <w:b/>
                <w:bCs/>
              </w:rPr>
            </w:pPr>
            <w:r>
              <w:rPr>
                <w:b/>
                <w:bCs/>
              </w:rPr>
              <w:t>表5-9  主要产噪设备源强一览表</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7"/>
              <w:gridCol w:w="1770"/>
              <w:gridCol w:w="1911"/>
              <w:gridCol w:w="1911"/>
              <w:gridCol w:w="15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673" w:type="pct"/>
                  <w:tcBorders>
                    <w:bottom w:val="single" w:color="000000" w:sz="4" w:space="0"/>
                  </w:tcBorders>
                  <w:vAlign w:val="center"/>
                </w:tcPr>
                <w:p>
                  <w:pPr>
                    <w:jc w:val="center"/>
                    <w:rPr>
                      <w:b/>
                      <w:sz w:val="21"/>
                      <w:szCs w:val="21"/>
                    </w:rPr>
                  </w:pPr>
                  <w:r>
                    <w:rPr>
                      <w:b/>
                      <w:sz w:val="21"/>
                      <w:szCs w:val="21"/>
                    </w:rPr>
                    <w:t>序号</w:t>
                  </w:r>
                </w:p>
              </w:tc>
              <w:tc>
                <w:tcPr>
                  <w:tcW w:w="1066" w:type="pct"/>
                  <w:tcBorders>
                    <w:bottom w:val="single" w:color="000000" w:sz="4" w:space="0"/>
                  </w:tcBorders>
                  <w:vAlign w:val="center"/>
                </w:tcPr>
                <w:p>
                  <w:pPr>
                    <w:jc w:val="center"/>
                    <w:rPr>
                      <w:b/>
                      <w:sz w:val="21"/>
                      <w:szCs w:val="21"/>
                    </w:rPr>
                  </w:pPr>
                  <w:r>
                    <w:rPr>
                      <w:b/>
                      <w:sz w:val="21"/>
                      <w:szCs w:val="21"/>
                    </w:rPr>
                    <w:t>设备名称</w:t>
                  </w:r>
                </w:p>
              </w:tc>
              <w:tc>
                <w:tcPr>
                  <w:tcW w:w="1151" w:type="pct"/>
                  <w:tcBorders>
                    <w:bottom w:val="single" w:color="000000" w:sz="4" w:space="0"/>
                  </w:tcBorders>
                  <w:vAlign w:val="center"/>
                </w:tcPr>
                <w:p>
                  <w:pPr>
                    <w:jc w:val="center"/>
                    <w:rPr>
                      <w:b/>
                      <w:sz w:val="21"/>
                      <w:szCs w:val="21"/>
                    </w:rPr>
                  </w:pPr>
                  <w:r>
                    <w:rPr>
                      <w:b/>
                      <w:sz w:val="21"/>
                      <w:szCs w:val="21"/>
                    </w:rPr>
                    <w:t>数量（台）</w:t>
                  </w:r>
                </w:p>
              </w:tc>
              <w:tc>
                <w:tcPr>
                  <w:tcW w:w="1151" w:type="pct"/>
                  <w:tcBorders>
                    <w:bottom w:val="single" w:color="000000" w:sz="4" w:space="0"/>
                  </w:tcBorders>
                  <w:vAlign w:val="center"/>
                </w:tcPr>
                <w:p>
                  <w:pPr>
                    <w:jc w:val="center"/>
                    <w:rPr>
                      <w:b/>
                      <w:sz w:val="21"/>
                      <w:szCs w:val="21"/>
                    </w:rPr>
                  </w:pPr>
                  <w:r>
                    <w:rPr>
                      <w:b/>
                      <w:sz w:val="21"/>
                      <w:szCs w:val="21"/>
                    </w:rPr>
                    <w:t>源强（dB（A））</w:t>
                  </w:r>
                </w:p>
              </w:tc>
              <w:tc>
                <w:tcPr>
                  <w:tcW w:w="959" w:type="pct"/>
                  <w:tcBorders>
                    <w:bottom w:val="single" w:color="000000" w:sz="4" w:space="0"/>
                  </w:tcBorders>
                  <w:vAlign w:val="center"/>
                </w:tcPr>
                <w:p>
                  <w:pPr>
                    <w:jc w:val="center"/>
                    <w:rPr>
                      <w:b/>
                      <w:sz w:val="21"/>
                      <w:szCs w:val="21"/>
                    </w:rPr>
                  </w:pPr>
                  <w:r>
                    <w:rPr>
                      <w:b/>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673" w:type="pct"/>
                  <w:tcBorders>
                    <w:top w:val="single" w:color="000000" w:sz="4" w:space="0"/>
                    <w:bottom w:val="single" w:color="000000" w:sz="4" w:space="0"/>
                  </w:tcBorders>
                  <w:vAlign w:val="center"/>
                </w:tcPr>
                <w:p>
                  <w:pPr>
                    <w:jc w:val="center"/>
                    <w:rPr>
                      <w:bCs/>
                      <w:sz w:val="21"/>
                      <w:szCs w:val="21"/>
                    </w:rPr>
                  </w:pPr>
                  <w:r>
                    <w:rPr>
                      <w:rFonts w:hint="eastAsia"/>
                      <w:bCs/>
                      <w:sz w:val="21"/>
                      <w:szCs w:val="21"/>
                    </w:rPr>
                    <w:t>1</w:t>
                  </w:r>
                </w:p>
              </w:tc>
              <w:tc>
                <w:tcPr>
                  <w:tcW w:w="1066" w:type="pct"/>
                  <w:tcBorders>
                    <w:top w:val="single" w:color="000000" w:sz="4" w:space="0"/>
                    <w:bottom w:val="single" w:color="000000" w:sz="4" w:space="0"/>
                  </w:tcBorders>
                  <w:vAlign w:val="center"/>
                </w:tcPr>
                <w:p>
                  <w:pPr>
                    <w:jc w:val="center"/>
                    <w:rPr>
                      <w:bCs/>
                      <w:sz w:val="21"/>
                      <w:szCs w:val="21"/>
                    </w:rPr>
                  </w:pPr>
                  <w:r>
                    <w:rPr>
                      <w:bCs/>
                      <w:sz w:val="21"/>
                      <w:szCs w:val="21"/>
                    </w:rPr>
                    <w:t>污水提升泵</w:t>
                  </w:r>
                </w:p>
              </w:tc>
              <w:tc>
                <w:tcPr>
                  <w:tcW w:w="1151" w:type="pct"/>
                  <w:tcBorders>
                    <w:top w:val="single" w:color="000000" w:sz="4" w:space="0"/>
                    <w:bottom w:val="single" w:color="000000" w:sz="4" w:space="0"/>
                  </w:tcBorders>
                  <w:vAlign w:val="center"/>
                </w:tcPr>
                <w:p>
                  <w:pPr>
                    <w:jc w:val="center"/>
                    <w:rPr>
                      <w:bCs/>
                      <w:sz w:val="21"/>
                      <w:szCs w:val="21"/>
                    </w:rPr>
                  </w:pPr>
                  <w:r>
                    <w:rPr>
                      <w:bCs/>
                      <w:sz w:val="21"/>
                      <w:szCs w:val="21"/>
                    </w:rPr>
                    <w:t>2（1用1备）</w:t>
                  </w:r>
                </w:p>
              </w:tc>
              <w:tc>
                <w:tcPr>
                  <w:tcW w:w="1151" w:type="pct"/>
                  <w:tcBorders>
                    <w:top w:val="single" w:color="000000" w:sz="4" w:space="0"/>
                    <w:bottom w:val="single" w:color="000000" w:sz="4" w:space="0"/>
                  </w:tcBorders>
                  <w:vAlign w:val="center"/>
                </w:tcPr>
                <w:p>
                  <w:pPr>
                    <w:jc w:val="center"/>
                    <w:rPr>
                      <w:bCs/>
                      <w:sz w:val="21"/>
                      <w:szCs w:val="21"/>
                    </w:rPr>
                  </w:pPr>
                  <w:r>
                    <w:rPr>
                      <w:rFonts w:hint="eastAsia"/>
                      <w:bCs/>
                      <w:sz w:val="21"/>
                      <w:szCs w:val="21"/>
                    </w:rPr>
                    <w:t>65</w:t>
                  </w:r>
                </w:p>
              </w:tc>
              <w:tc>
                <w:tcPr>
                  <w:tcW w:w="959" w:type="pct"/>
                  <w:tcBorders>
                    <w:top w:val="single" w:color="000000" w:sz="4" w:space="0"/>
                    <w:bottom w:val="single" w:color="000000" w:sz="4" w:space="0"/>
                  </w:tcBorders>
                  <w:vAlign w:val="center"/>
                </w:tcPr>
                <w:p>
                  <w:pPr>
                    <w:jc w:val="center"/>
                    <w:rPr>
                      <w:bCs/>
                      <w:sz w:val="21"/>
                      <w:szCs w:val="21"/>
                    </w:rPr>
                  </w:pPr>
                  <w:r>
                    <w:rPr>
                      <w:bCs/>
                      <w:sz w:val="21"/>
                      <w:szCs w:val="21"/>
                    </w:rPr>
                    <w:t>连续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673" w:type="pct"/>
                  <w:tcBorders>
                    <w:top w:val="single" w:color="000000" w:sz="4" w:space="0"/>
                    <w:bottom w:val="single" w:color="000000" w:sz="4" w:space="0"/>
                  </w:tcBorders>
                  <w:vAlign w:val="center"/>
                </w:tcPr>
                <w:p>
                  <w:pPr>
                    <w:jc w:val="center"/>
                    <w:rPr>
                      <w:bCs/>
                      <w:sz w:val="21"/>
                      <w:szCs w:val="21"/>
                    </w:rPr>
                  </w:pPr>
                  <w:r>
                    <w:rPr>
                      <w:rFonts w:hint="eastAsia"/>
                      <w:bCs/>
                      <w:sz w:val="21"/>
                      <w:szCs w:val="21"/>
                    </w:rPr>
                    <w:t>2</w:t>
                  </w:r>
                </w:p>
              </w:tc>
              <w:tc>
                <w:tcPr>
                  <w:tcW w:w="1066" w:type="pct"/>
                  <w:tcBorders>
                    <w:top w:val="single" w:color="000000" w:sz="4" w:space="0"/>
                    <w:bottom w:val="single" w:color="000000" w:sz="4" w:space="0"/>
                  </w:tcBorders>
                  <w:vAlign w:val="center"/>
                </w:tcPr>
                <w:p>
                  <w:pPr>
                    <w:jc w:val="center"/>
                    <w:rPr>
                      <w:sz w:val="21"/>
                      <w:szCs w:val="21"/>
                    </w:rPr>
                  </w:pPr>
                  <w:r>
                    <w:rPr>
                      <w:sz w:val="21"/>
                      <w:szCs w:val="21"/>
                    </w:rPr>
                    <w:t>鼓风机</w:t>
                  </w:r>
                </w:p>
              </w:tc>
              <w:tc>
                <w:tcPr>
                  <w:tcW w:w="1151" w:type="pct"/>
                  <w:tcBorders>
                    <w:top w:val="single" w:color="000000" w:sz="4" w:space="0"/>
                    <w:bottom w:val="single" w:color="000000" w:sz="4" w:space="0"/>
                  </w:tcBorders>
                  <w:vAlign w:val="center"/>
                </w:tcPr>
                <w:p>
                  <w:pPr>
                    <w:jc w:val="center"/>
                    <w:rPr>
                      <w:bCs/>
                      <w:sz w:val="21"/>
                      <w:szCs w:val="21"/>
                    </w:rPr>
                  </w:pPr>
                  <w:r>
                    <w:rPr>
                      <w:bCs/>
                      <w:sz w:val="21"/>
                      <w:szCs w:val="21"/>
                    </w:rPr>
                    <w:t>2（1用1备）</w:t>
                  </w:r>
                </w:p>
              </w:tc>
              <w:tc>
                <w:tcPr>
                  <w:tcW w:w="1151" w:type="pct"/>
                  <w:tcBorders>
                    <w:top w:val="single" w:color="000000" w:sz="4" w:space="0"/>
                    <w:bottom w:val="single" w:color="000000" w:sz="4" w:space="0"/>
                  </w:tcBorders>
                  <w:vAlign w:val="center"/>
                </w:tcPr>
                <w:p>
                  <w:pPr>
                    <w:jc w:val="center"/>
                    <w:rPr>
                      <w:bCs/>
                      <w:sz w:val="21"/>
                      <w:szCs w:val="21"/>
                    </w:rPr>
                  </w:pPr>
                  <w:r>
                    <w:rPr>
                      <w:rFonts w:hint="eastAsia"/>
                      <w:bCs/>
                      <w:sz w:val="21"/>
                      <w:szCs w:val="21"/>
                    </w:rPr>
                    <w:t>85</w:t>
                  </w:r>
                </w:p>
              </w:tc>
              <w:tc>
                <w:tcPr>
                  <w:tcW w:w="959" w:type="pct"/>
                  <w:tcBorders>
                    <w:top w:val="single" w:color="000000" w:sz="4" w:space="0"/>
                    <w:bottom w:val="single" w:color="000000" w:sz="4" w:space="0"/>
                  </w:tcBorders>
                  <w:vAlign w:val="center"/>
                </w:tcPr>
                <w:p>
                  <w:pPr>
                    <w:jc w:val="center"/>
                    <w:rPr>
                      <w:bCs/>
                      <w:sz w:val="21"/>
                      <w:szCs w:val="21"/>
                    </w:rPr>
                  </w:pPr>
                  <w:r>
                    <w:rPr>
                      <w:bCs/>
                      <w:sz w:val="21"/>
                      <w:szCs w:val="21"/>
                    </w:rPr>
                    <w:t>连续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673" w:type="pct"/>
                  <w:tcBorders>
                    <w:top w:val="single" w:color="000000" w:sz="4" w:space="0"/>
                    <w:bottom w:val="single" w:color="000000" w:sz="4" w:space="0"/>
                  </w:tcBorders>
                  <w:vAlign w:val="center"/>
                </w:tcPr>
                <w:p>
                  <w:pPr>
                    <w:jc w:val="center"/>
                    <w:rPr>
                      <w:bCs/>
                      <w:sz w:val="21"/>
                      <w:szCs w:val="21"/>
                    </w:rPr>
                  </w:pPr>
                  <w:r>
                    <w:rPr>
                      <w:bCs/>
                      <w:sz w:val="21"/>
                      <w:szCs w:val="21"/>
                    </w:rPr>
                    <w:t>3</w:t>
                  </w:r>
                </w:p>
              </w:tc>
              <w:tc>
                <w:tcPr>
                  <w:tcW w:w="1066" w:type="pct"/>
                  <w:tcBorders>
                    <w:top w:val="single" w:color="000000" w:sz="4" w:space="0"/>
                    <w:bottom w:val="single" w:color="000000" w:sz="4" w:space="0"/>
                  </w:tcBorders>
                  <w:vAlign w:val="center"/>
                </w:tcPr>
                <w:p>
                  <w:pPr>
                    <w:jc w:val="center"/>
                    <w:rPr>
                      <w:sz w:val="21"/>
                      <w:szCs w:val="21"/>
                    </w:rPr>
                  </w:pPr>
                  <w:r>
                    <w:rPr>
                      <w:rFonts w:hint="eastAsia"/>
                      <w:sz w:val="21"/>
                      <w:szCs w:val="21"/>
                    </w:rPr>
                    <w:t>污泥回流泵</w:t>
                  </w:r>
                </w:p>
              </w:tc>
              <w:tc>
                <w:tcPr>
                  <w:tcW w:w="1151" w:type="pct"/>
                  <w:tcBorders>
                    <w:top w:val="single" w:color="000000" w:sz="4" w:space="0"/>
                    <w:bottom w:val="single" w:color="000000" w:sz="4" w:space="0"/>
                  </w:tcBorders>
                  <w:vAlign w:val="center"/>
                </w:tcPr>
                <w:p>
                  <w:pPr>
                    <w:jc w:val="center"/>
                    <w:rPr>
                      <w:bCs/>
                      <w:sz w:val="21"/>
                      <w:szCs w:val="21"/>
                    </w:rPr>
                  </w:pPr>
                  <w:r>
                    <w:rPr>
                      <w:bCs/>
                      <w:sz w:val="21"/>
                      <w:szCs w:val="21"/>
                    </w:rPr>
                    <w:t>2（1用1备）</w:t>
                  </w:r>
                </w:p>
              </w:tc>
              <w:tc>
                <w:tcPr>
                  <w:tcW w:w="1151" w:type="pct"/>
                  <w:tcBorders>
                    <w:top w:val="single" w:color="000000" w:sz="4" w:space="0"/>
                    <w:bottom w:val="single" w:color="000000" w:sz="4" w:space="0"/>
                  </w:tcBorders>
                  <w:vAlign w:val="center"/>
                </w:tcPr>
                <w:p>
                  <w:pPr>
                    <w:jc w:val="center"/>
                    <w:rPr>
                      <w:bCs/>
                      <w:sz w:val="21"/>
                      <w:szCs w:val="21"/>
                    </w:rPr>
                  </w:pPr>
                  <w:r>
                    <w:rPr>
                      <w:rFonts w:hint="eastAsia"/>
                      <w:bCs/>
                      <w:sz w:val="21"/>
                      <w:szCs w:val="21"/>
                    </w:rPr>
                    <w:t>65</w:t>
                  </w:r>
                </w:p>
              </w:tc>
              <w:tc>
                <w:tcPr>
                  <w:tcW w:w="959" w:type="pct"/>
                  <w:tcBorders>
                    <w:top w:val="single" w:color="000000" w:sz="4" w:space="0"/>
                    <w:bottom w:val="single" w:color="000000" w:sz="4" w:space="0"/>
                  </w:tcBorders>
                  <w:vAlign w:val="center"/>
                </w:tcPr>
                <w:p>
                  <w:pPr>
                    <w:jc w:val="center"/>
                    <w:rPr>
                      <w:bCs/>
                      <w:sz w:val="21"/>
                      <w:szCs w:val="21"/>
                    </w:rPr>
                  </w:pPr>
                  <w:r>
                    <w:rPr>
                      <w:bCs/>
                      <w:sz w:val="21"/>
                      <w:szCs w:val="21"/>
                    </w:rPr>
                    <w:t>连续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673" w:type="pct"/>
                  <w:tcBorders>
                    <w:top w:val="single" w:color="000000" w:sz="4" w:space="0"/>
                    <w:bottom w:val="single" w:color="000000" w:sz="4" w:space="0"/>
                  </w:tcBorders>
                  <w:vAlign w:val="center"/>
                </w:tcPr>
                <w:p>
                  <w:pPr>
                    <w:jc w:val="center"/>
                    <w:rPr>
                      <w:bCs/>
                      <w:sz w:val="21"/>
                      <w:szCs w:val="21"/>
                    </w:rPr>
                  </w:pPr>
                  <w:r>
                    <w:rPr>
                      <w:rFonts w:hint="eastAsia"/>
                      <w:bCs/>
                      <w:sz w:val="21"/>
                      <w:szCs w:val="21"/>
                    </w:rPr>
                    <w:t>4</w:t>
                  </w:r>
                </w:p>
              </w:tc>
              <w:tc>
                <w:tcPr>
                  <w:tcW w:w="1066" w:type="pct"/>
                  <w:tcBorders>
                    <w:top w:val="single" w:color="000000" w:sz="4" w:space="0"/>
                    <w:bottom w:val="single" w:color="000000" w:sz="4" w:space="0"/>
                  </w:tcBorders>
                  <w:vAlign w:val="center"/>
                </w:tcPr>
                <w:p>
                  <w:pPr>
                    <w:jc w:val="center"/>
                    <w:rPr>
                      <w:sz w:val="21"/>
                      <w:szCs w:val="21"/>
                    </w:rPr>
                  </w:pPr>
                  <w:r>
                    <w:rPr>
                      <w:rFonts w:hint="eastAsia"/>
                      <w:sz w:val="21"/>
                      <w:szCs w:val="21"/>
                    </w:rPr>
                    <w:t>反冲洗泵</w:t>
                  </w:r>
                </w:p>
              </w:tc>
              <w:tc>
                <w:tcPr>
                  <w:tcW w:w="1151" w:type="pct"/>
                  <w:tcBorders>
                    <w:top w:val="single" w:color="000000" w:sz="4" w:space="0"/>
                    <w:bottom w:val="single" w:color="000000" w:sz="4" w:space="0"/>
                  </w:tcBorders>
                  <w:vAlign w:val="center"/>
                </w:tcPr>
                <w:p>
                  <w:pPr>
                    <w:jc w:val="center"/>
                    <w:rPr>
                      <w:bCs/>
                      <w:sz w:val="21"/>
                      <w:szCs w:val="21"/>
                    </w:rPr>
                  </w:pPr>
                  <w:r>
                    <w:rPr>
                      <w:bCs/>
                      <w:sz w:val="21"/>
                      <w:szCs w:val="21"/>
                    </w:rPr>
                    <w:t>2（1用1备）</w:t>
                  </w:r>
                </w:p>
              </w:tc>
              <w:tc>
                <w:tcPr>
                  <w:tcW w:w="1151" w:type="pct"/>
                  <w:tcBorders>
                    <w:top w:val="single" w:color="000000" w:sz="4" w:space="0"/>
                    <w:bottom w:val="single" w:color="000000" w:sz="4" w:space="0"/>
                  </w:tcBorders>
                  <w:vAlign w:val="center"/>
                </w:tcPr>
                <w:p>
                  <w:pPr>
                    <w:jc w:val="center"/>
                    <w:rPr>
                      <w:bCs/>
                      <w:sz w:val="21"/>
                      <w:szCs w:val="21"/>
                    </w:rPr>
                  </w:pPr>
                  <w:r>
                    <w:rPr>
                      <w:bCs/>
                      <w:sz w:val="21"/>
                      <w:szCs w:val="21"/>
                    </w:rPr>
                    <w:t>65</w:t>
                  </w:r>
                </w:p>
              </w:tc>
              <w:tc>
                <w:tcPr>
                  <w:tcW w:w="959" w:type="pct"/>
                  <w:tcBorders>
                    <w:top w:val="single" w:color="000000" w:sz="4" w:space="0"/>
                    <w:bottom w:val="single" w:color="000000" w:sz="4" w:space="0"/>
                  </w:tcBorders>
                  <w:vAlign w:val="center"/>
                </w:tcPr>
                <w:p>
                  <w:pPr>
                    <w:jc w:val="center"/>
                    <w:rPr>
                      <w:bCs/>
                      <w:sz w:val="21"/>
                      <w:szCs w:val="21"/>
                    </w:rPr>
                  </w:pPr>
                  <w:r>
                    <w:rPr>
                      <w:bCs/>
                      <w:sz w:val="21"/>
                      <w:szCs w:val="21"/>
                    </w:rPr>
                    <w:t>连续</w:t>
                  </w:r>
                </w:p>
              </w:tc>
            </w:tr>
          </w:tbl>
          <w:p>
            <w:pPr>
              <w:spacing w:line="360" w:lineRule="auto"/>
              <w:ind w:firstLine="480" w:firstLineChars="200"/>
              <w:rPr>
                <w:b/>
                <w:bCs/>
              </w:rPr>
            </w:pPr>
            <w:r>
              <w:t>污水厂内功率较大的潜污泵等，大部分位于水面以下，环评要求将风机等位于地上的高噪声设备设置在</w:t>
            </w:r>
            <w:r>
              <w:rPr>
                <w:rFonts w:hint="eastAsia"/>
              </w:rPr>
              <w:t>设备间，设备间密闭</w:t>
            </w:r>
            <w:r>
              <w:t>。机泵类设备还应加装防振垫片，以减少震动引起的噪声。同时，项目运行期间应定期对设备进行检查维修，以避免设备因故障运行而产生高分贝噪声。</w:t>
            </w:r>
          </w:p>
          <w:p>
            <w:pPr>
              <w:pStyle w:val="190"/>
              <w:spacing w:line="360" w:lineRule="auto"/>
              <w:ind w:firstLine="480"/>
            </w:pPr>
            <w:r>
              <w:rPr>
                <w:rFonts w:hint="eastAsia"/>
              </w:rPr>
              <w:t>（四）固废</w:t>
            </w:r>
          </w:p>
          <w:p>
            <w:pPr>
              <w:spacing w:line="360" w:lineRule="auto"/>
              <w:ind w:firstLine="480" w:firstLineChars="200"/>
              <w:rPr>
                <w:snapToGrid w:val="0"/>
                <w:kern w:val="0"/>
              </w:rPr>
            </w:pPr>
            <w:r>
              <w:rPr>
                <w:snapToGrid w:val="0"/>
                <w:kern w:val="0"/>
              </w:rPr>
              <w:t>本项目固体废物主要为格栅栅渣、污泥</w:t>
            </w:r>
            <w:r>
              <w:rPr>
                <w:rFonts w:hint="eastAsia"/>
                <w:snapToGrid w:val="0"/>
                <w:kern w:val="0"/>
              </w:rPr>
              <w:t>、</w:t>
            </w:r>
            <w:r>
              <w:rPr>
                <w:rFonts w:hint="eastAsia"/>
              </w:rPr>
              <w:t>废旧填料</w:t>
            </w:r>
            <w:r>
              <w:rPr>
                <w:snapToGrid w:val="0"/>
                <w:kern w:val="0"/>
              </w:rPr>
              <w:t>以及员工产生的生活垃圾等。污水处理站产生的污泥量较少，根据设计方案本项目</w:t>
            </w:r>
            <w:r>
              <w:rPr>
                <w:kern w:val="0"/>
              </w:rPr>
              <w:t>污泥</w:t>
            </w:r>
            <w:r>
              <w:rPr>
                <w:rFonts w:hint="eastAsia"/>
                <w:kern w:val="0"/>
              </w:rPr>
              <w:t>采用吸粪车定期外运峨边县城市污水处理厂进行处理</w:t>
            </w:r>
            <w:r>
              <w:rPr>
                <w:kern w:val="0"/>
              </w:rPr>
              <w:t>，</w:t>
            </w:r>
            <w:r>
              <w:rPr>
                <w:snapToGrid w:val="0"/>
                <w:kern w:val="0"/>
              </w:rPr>
              <w:t>格栅栅渣和生活垃圾由环卫部门统一清运。</w:t>
            </w:r>
          </w:p>
          <w:p>
            <w:pPr>
              <w:spacing w:line="360" w:lineRule="auto"/>
              <w:ind w:firstLine="480"/>
              <w:rPr>
                <w:snapToGrid w:val="0"/>
                <w:kern w:val="0"/>
              </w:rPr>
            </w:pPr>
            <w:r>
              <w:rPr>
                <w:snapToGrid w:val="0"/>
                <w:kern w:val="0"/>
              </w:rPr>
              <w:t>根据同类污水处理站处理工艺类比，栅渣产生量按照20g/m</w:t>
            </w:r>
            <w:r>
              <w:rPr>
                <w:snapToGrid w:val="0"/>
                <w:kern w:val="0"/>
                <w:vertAlign w:val="superscript"/>
              </w:rPr>
              <w:t>3</w:t>
            </w:r>
            <w:r>
              <w:rPr>
                <w:snapToGrid w:val="0"/>
                <w:kern w:val="0"/>
              </w:rPr>
              <w:t>水进行估算，则本项目格栅栅渣量为0.002t/d，年产生栅渣量约为0.73t/a。根据</w:t>
            </w:r>
            <w:r>
              <w:rPr>
                <w:rFonts w:hint="eastAsia"/>
                <w:snapToGrid w:val="0"/>
                <w:kern w:val="0"/>
              </w:rPr>
              <w:t>本项目可研，项目日产污泥量为9</w:t>
            </w:r>
            <w:r>
              <w:rPr>
                <w:snapToGrid w:val="0"/>
                <w:kern w:val="0"/>
              </w:rPr>
              <w:t>.6kg</w:t>
            </w:r>
            <w:r>
              <w:rPr>
                <w:rFonts w:hint="eastAsia"/>
                <w:snapToGrid w:val="0"/>
                <w:kern w:val="0"/>
              </w:rPr>
              <w:t>（绝干污泥），</w:t>
            </w:r>
            <w:r>
              <w:rPr>
                <w:snapToGrid w:val="0"/>
                <w:kern w:val="0"/>
              </w:rPr>
              <w:t>年产生</w:t>
            </w:r>
            <w:r>
              <w:rPr>
                <w:rFonts w:hint="eastAsia"/>
                <w:snapToGrid w:val="0"/>
                <w:kern w:val="0"/>
              </w:rPr>
              <w:t>污泥量约为3</w:t>
            </w:r>
            <w:r>
              <w:rPr>
                <w:snapToGrid w:val="0"/>
                <w:kern w:val="0"/>
              </w:rPr>
              <w:t>.504 t/a。生活垃圾产生量按每人每天0.5kg计，则产生量为0.18t/a，厂区定点垃圾桶收集后，由环卫部门统一清运。</w:t>
            </w:r>
            <w:r>
              <w:rPr>
                <w:rFonts w:hint="eastAsia"/>
                <w:snapToGrid w:val="0"/>
                <w:kern w:val="0"/>
              </w:rPr>
              <w:t>一体化设备</w:t>
            </w:r>
            <w:r>
              <w:rPr>
                <w:snapToGrid w:val="0"/>
                <w:kern w:val="0"/>
              </w:rPr>
              <w:t>填料</w:t>
            </w:r>
            <w:r>
              <w:rPr>
                <w:rFonts w:hint="eastAsia"/>
                <w:snapToGrid w:val="0"/>
                <w:kern w:val="0"/>
              </w:rPr>
              <w:t>更换</w:t>
            </w:r>
            <w:r>
              <w:rPr>
                <w:snapToGrid w:val="0"/>
                <w:kern w:val="0"/>
              </w:rPr>
              <w:t>产生约0.</w:t>
            </w:r>
            <w:r>
              <w:rPr>
                <w:rFonts w:hint="eastAsia"/>
                <w:snapToGrid w:val="0"/>
                <w:kern w:val="0"/>
              </w:rPr>
              <w:t>0</w:t>
            </w:r>
            <w:r>
              <w:rPr>
                <w:snapToGrid w:val="0"/>
                <w:kern w:val="0"/>
              </w:rPr>
              <w:t>5t/a，</w:t>
            </w:r>
            <w:r>
              <w:t>废弃填料经统一收集后交由厂家回收利用。</w:t>
            </w:r>
          </w:p>
          <w:p>
            <w:pPr>
              <w:spacing w:line="360" w:lineRule="auto"/>
              <w:jc w:val="center"/>
              <w:rPr>
                <w:rFonts w:cs="Times New Roman"/>
                <w:b/>
                <w:szCs w:val="24"/>
              </w:rPr>
            </w:pPr>
            <w:r>
              <w:rPr>
                <w:rFonts w:cs="Times New Roman"/>
                <w:b/>
                <w:szCs w:val="24"/>
              </w:rPr>
              <w:t>表5-10  固废产生情况一览表</w:t>
            </w:r>
          </w:p>
          <w:tbl>
            <w:tblPr>
              <w:tblStyle w:val="30"/>
              <w:tblW w:w="83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57"/>
              <w:gridCol w:w="2215"/>
              <w:gridCol w:w="42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857" w:type="dxa"/>
                  <w:vAlign w:val="center"/>
                </w:tcPr>
                <w:p>
                  <w:pPr>
                    <w:jc w:val="center"/>
                    <w:rPr>
                      <w:b/>
                      <w:sz w:val="21"/>
                      <w:szCs w:val="21"/>
                    </w:rPr>
                  </w:pPr>
                  <w:r>
                    <w:rPr>
                      <w:b/>
                      <w:sz w:val="21"/>
                      <w:szCs w:val="21"/>
                    </w:rPr>
                    <w:t>污染物种类</w:t>
                  </w:r>
                </w:p>
              </w:tc>
              <w:tc>
                <w:tcPr>
                  <w:tcW w:w="2215" w:type="dxa"/>
                  <w:vAlign w:val="center"/>
                </w:tcPr>
                <w:p>
                  <w:pPr>
                    <w:jc w:val="center"/>
                    <w:rPr>
                      <w:b/>
                      <w:sz w:val="21"/>
                      <w:szCs w:val="21"/>
                    </w:rPr>
                  </w:pPr>
                  <w:r>
                    <w:rPr>
                      <w:b/>
                      <w:sz w:val="21"/>
                      <w:szCs w:val="21"/>
                    </w:rPr>
                    <w:t>产生量</w:t>
                  </w:r>
                </w:p>
              </w:tc>
              <w:tc>
                <w:tcPr>
                  <w:tcW w:w="4230" w:type="dxa"/>
                  <w:vAlign w:val="center"/>
                </w:tcPr>
                <w:p>
                  <w:pPr>
                    <w:jc w:val="center"/>
                    <w:rPr>
                      <w:b/>
                      <w:sz w:val="21"/>
                      <w:szCs w:val="21"/>
                    </w:rPr>
                  </w:pPr>
                  <w:r>
                    <w:rPr>
                      <w:b/>
                      <w:sz w:val="21"/>
                      <w:szCs w:val="21"/>
                    </w:rPr>
                    <w:t>处理方式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857" w:type="dxa"/>
                  <w:vAlign w:val="center"/>
                </w:tcPr>
                <w:p>
                  <w:pPr>
                    <w:jc w:val="center"/>
                    <w:rPr>
                      <w:bCs/>
                      <w:sz w:val="21"/>
                      <w:szCs w:val="21"/>
                    </w:rPr>
                  </w:pPr>
                  <w:r>
                    <w:rPr>
                      <w:bCs/>
                      <w:sz w:val="21"/>
                      <w:szCs w:val="21"/>
                    </w:rPr>
                    <w:t>格栅渣</w:t>
                  </w:r>
                </w:p>
              </w:tc>
              <w:tc>
                <w:tcPr>
                  <w:tcW w:w="2215" w:type="dxa"/>
                  <w:vAlign w:val="center"/>
                </w:tcPr>
                <w:p>
                  <w:pPr>
                    <w:jc w:val="center"/>
                    <w:rPr>
                      <w:bCs/>
                      <w:sz w:val="21"/>
                      <w:szCs w:val="21"/>
                    </w:rPr>
                  </w:pPr>
                  <w:r>
                    <w:rPr>
                      <w:bCs/>
                      <w:sz w:val="21"/>
                      <w:szCs w:val="21"/>
                    </w:rPr>
                    <w:t>0.73t/a</w:t>
                  </w:r>
                </w:p>
              </w:tc>
              <w:tc>
                <w:tcPr>
                  <w:tcW w:w="4230" w:type="dxa"/>
                  <w:vAlign w:val="center"/>
                </w:tcPr>
                <w:p>
                  <w:pPr>
                    <w:jc w:val="center"/>
                    <w:rPr>
                      <w:bCs/>
                      <w:sz w:val="21"/>
                      <w:szCs w:val="21"/>
                    </w:rPr>
                  </w:pPr>
                  <w:r>
                    <w:rPr>
                      <w:bCs/>
                      <w:sz w:val="21"/>
                      <w:szCs w:val="21"/>
                    </w:rPr>
                    <w:t>交由环卫部门统一清运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857" w:type="dxa"/>
                  <w:vAlign w:val="center"/>
                </w:tcPr>
                <w:p>
                  <w:pPr>
                    <w:jc w:val="center"/>
                    <w:rPr>
                      <w:bCs/>
                      <w:sz w:val="21"/>
                      <w:szCs w:val="21"/>
                    </w:rPr>
                  </w:pPr>
                  <w:r>
                    <w:rPr>
                      <w:bCs/>
                      <w:sz w:val="21"/>
                      <w:szCs w:val="21"/>
                    </w:rPr>
                    <w:t>污泥</w:t>
                  </w:r>
                </w:p>
              </w:tc>
              <w:tc>
                <w:tcPr>
                  <w:tcW w:w="2215" w:type="dxa"/>
                  <w:vAlign w:val="center"/>
                </w:tcPr>
                <w:p>
                  <w:pPr>
                    <w:jc w:val="center"/>
                    <w:rPr>
                      <w:bCs/>
                      <w:sz w:val="21"/>
                      <w:szCs w:val="21"/>
                    </w:rPr>
                  </w:pPr>
                  <w:r>
                    <w:rPr>
                      <w:bCs/>
                      <w:sz w:val="21"/>
                      <w:szCs w:val="21"/>
                    </w:rPr>
                    <w:t>3.054t/a</w:t>
                  </w:r>
                  <w:r>
                    <w:rPr>
                      <w:rFonts w:hint="eastAsia"/>
                      <w:snapToGrid w:val="0"/>
                      <w:kern w:val="0"/>
                      <w:sz w:val="21"/>
                      <w:szCs w:val="16"/>
                    </w:rPr>
                    <w:t>（绝干污泥）</w:t>
                  </w:r>
                </w:p>
              </w:tc>
              <w:tc>
                <w:tcPr>
                  <w:tcW w:w="4230" w:type="dxa"/>
                  <w:vAlign w:val="center"/>
                </w:tcPr>
                <w:p>
                  <w:pPr>
                    <w:jc w:val="center"/>
                    <w:rPr>
                      <w:bCs/>
                      <w:sz w:val="21"/>
                      <w:szCs w:val="21"/>
                    </w:rPr>
                  </w:pPr>
                  <w:r>
                    <w:rPr>
                      <w:rFonts w:hint="eastAsia"/>
                      <w:bCs/>
                      <w:sz w:val="21"/>
                      <w:szCs w:val="21"/>
                    </w:rPr>
                    <w:t>采用</w:t>
                  </w:r>
                  <w:r>
                    <w:rPr>
                      <w:bCs/>
                      <w:sz w:val="21"/>
                      <w:szCs w:val="21"/>
                    </w:rPr>
                    <w:t>吸粪车</w:t>
                  </w:r>
                  <w:r>
                    <w:rPr>
                      <w:rFonts w:hint="eastAsia"/>
                      <w:bCs/>
                      <w:sz w:val="21"/>
                      <w:szCs w:val="21"/>
                    </w:rPr>
                    <w:t>定期外运至</w:t>
                  </w:r>
                  <w:r>
                    <w:rPr>
                      <w:bCs/>
                      <w:sz w:val="21"/>
                      <w:szCs w:val="21"/>
                    </w:rPr>
                    <w:t>峨边县城市生活污水处理厂</w:t>
                  </w:r>
                  <w:r>
                    <w:rPr>
                      <w:rFonts w:hint="eastAsia"/>
                      <w:bCs/>
                      <w:sz w:val="21"/>
                      <w:szCs w:val="21"/>
                    </w:rPr>
                    <w:t>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857" w:type="dxa"/>
                  <w:vAlign w:val="center"/>
                </w:tcPr>
                <w:p>
                  <w:pPr>
                    <w:jc w:val="center"/>
                    <w:rPr>
                      <w:bCs/>
                      <w:sz w:val="21"/>
                      <w:szCs w:val="21"/>
                    </w:rPr>
                  </w:pPr>
                  <w:r>
                    <w:rPr>
                      <w:bCs/>
                      <w:sz w:val="21"/>
                      <w:szCs w:val="21"/>
                    </w:rPr>
                    <w:t>生活垃圾</w:t>
                  </w:r>
                </w:p>
              </w:tc>
              <w:tc>
                <w:tcPr>
                  <w:tcW w:w="2215" w:type="dxa"/>
                  <w:vAlign w:val="center"/>
                </w:tcPr>
                <w:p>
                  <w:pPr>
                    <w:jc w:val="center"/>
                    <w:rPr>
                      <w:bCs/>
                      <w:sz w:val="21"/>
                      <w:szCs w:val="21"/>
                    </w:rPr>
                  </w:pPr>
                  <w:r>
                    <w:rPr>
                      <w:bCs/>
                      <w:sz w:val="21"/>
                      <w:szCs w:val="21"/>
                    </w:rPr>
                    <w:t>0.18t/a</w:t>
                  </w:r>
                </w:p>
              </w:tc>
              <w:tc>
                <w:tcPr>
                  <w:tcW w:w="4230" w:type="dxa"/>
                  <w:vAlign w:val="center"/>
                </w:tcPr>
                <w:p>
                  <w:pPr>
                    <w:jc w:val="center"/>
                    <w:rPr>
                      <w:bCs/>
                      <w:sz w:val="21"/>
                      <w:szCs w:val="21"/>
                    </w:rPr>
                  </w:pPr>
                  <w:r>
                    <w:rPr>
                      <w:bCs/>
                      <w:sz w:val="21"/>
                      <w:szCs w:val="21"/>
                    </w:rPr>
                    <w:t>交由环卫部门统一清运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857" w:type="dxa"/>
                  <w:vAlign w:val="center"/>
                </w:tcPr>
                <w:p>
                  <w:pPr>
                    <w:jc w:val="center"/>
                    <w:rPr>
                      <w:bCs/>
                      <w:sz w:val="21"/>
                      <w:szCs w:val="21"/>
                    </w:rPr>
                  </w:pPr>
                  <w:r>
                    <w:rPr>
                      <w:bCs/>
                      <w:sz w:val="21"/>
                      <w:szCs w:val="21"/>
                    </w:rPr>
                    <w:t>废填料</w:t>
                  </w:r>
                </w:p>
              </w:tc>
              <w:tc>
                <w:tcPr>
                  <w:tcW w:w="2215" w:type="dxa"/>
                  <w:vAlign w:val="center"/>
                </w:tcPr>
                <w:p>
                  <w:pPr>
                    <w:jc w:val="center"/>
                    <w:rPr>
                      <w:bCs/>
                      <w:sz w:val="21"/>
                      <w:szCs w:val="21"/>
                    </w:rPr>
                  </w:pPr>
                  <w:r>
                    <w:rPr>
                      <w:bCs/>
                      <w:sz w:val="21"/>
                      <w:szCs w:val="21"/>
                    </w:rPr>
                    <w:t>0.</w:t>
                  </w:r>
                  <w:r>
                    <w:rPr>
                      <w:rFonts w:hint="eastAsia"/>
                      <w:bCs/>
                      <w:sz w:val="21"/>
                      <w:szCs w:val="21"/>
                    </w:rPr>
                    <w:t>0</w:t>
                  </w:r>
                  <w:r>
                    <w:rPr>
                      <w:bCs/>
                      <w:sz w:val="21"/>
                      <w:szCs w:val="21"/>
                    </w:rPr>
                    <w:t>5</w:t>
                  </w:r>
                  <w:r>
                    <w:rPr>
                      <w:snapToGrid w:val="0"/>
                      <w:kern w:val="0"/>
                      <w:sz w:val="21"/>
                      <w:szCs w:val="21"/>
                    </w:rPr>
                    <w:t>t/a</w:t>
                  </w:r>
                </w:p>
              </w:tc>
              <w:tc>
                <w:tcPr>
                  <w:tcW w:w="4230" w:type="dxa"/>
                  <w:vAlign w:val="center"/>
                </w:tcPr>
                <w:p>
                  <w:pPr>
                    <w:jc w:val="center"/>
                    <w:rPr>
                      <w:bCs/>
                      <w:sz w:val="21"/>
                      <w:szCs w:val="21"/>
                    </w:rPr>
                  </w:pPr>
                  <w:r>
                    <w:rPr>
                      <w:sz w:val="21"/>
                      <w:szCs w:val="21"/>
                    </w:rPr>
                    <w:t>统一收集后</w:t>
                  </w:r>
                  <w:r>
                    <w:rPr>
                      <w:snapToGrid w:val="0"/>
                      <w:kern w:val="0"/>
                      <w:sz w:val="21"/>
                      <w:szCs w:val="21"/>
                    </w:rPr>
                    <w:t>交由厂家回收利用</w:t>
                  </w:r>
                </w:p>
              </w:tc>
            </w:tr>
          </w:tbl>
          <w:p>
            <w:pPr>
              <w:pStyle w:val="190"/>
              <w:spacing w:line="360" w:lineRule="auto"/>
              <w:ind w:firstLine="480"/>
            </w:pPr>
            <w:r>
              <w:rPr>
                <w:rFonts w:hint="eastAsia"/>
              </w:rPr>
              <w:t>（五）</w:t>
            </w:r>
            <w:r>
              <w:t>地下水污染源分析</w:t>
            </w:r>
          </w:p>
          <w:p>
            <w:pPr>
              <w:widowControl/>
              <w:adjustRightInd w:val="0"/>
              <w:snapToGrid w:val="0"/>
              <w:spacing w:line="360" w:lineRule="auto"/>
              <w:ind w:firstLine="480" w:firstLineChars="200"/>
              <w:rPr>
                <w:kern w:val="0"/>
                <w:lang w:bidi="ar"/>
              </w:rPr>
            </w:pPr>
            <w:r>
              <w:rPr>
                <w:kern w:val="0"/>
                <w:lang w:bidi="ar"/>
              </w:rPr>
              <w:t>本项目污水处理站属于《环境影响评价技术导则-地下水环境》（HJ610-2016）中的Ⅲ类项目，跟据现场调查，本项目周围无集中式饮用水源地，不在集中式饮用水源地补给区，</w:t>
            </w:r>
            <w:r>
              <w:rPr>
                <w:rFonts w:hint="eastAsia"/>
                <w:kern w:val="0"/>
                <w:lang w:bidi="ar"/>
              </w:rPr>
              <w:t>项目附近居民的水井无饮用功能，主要用于洗衣服，居民饮用水来自市政供水。</w:t>
            </w:r>
            <w:r>
              <w:rPr>
                <w:kern w:val="0"/>
                <w:lang w:bidi="ar"/>
              </w:rPr>
              <w:t>本项目所在区域为不敏感区域，故本项目地下水评价等级为三级。</w:t>
            </w:r>
          </w:p>
          <w:p>
            <w:pPr>
              <w:widowControl/>
              <w:adjustRightInd w:val="0"/>
              <w:snapToGrid w:val="0"/>
              <w:spacing w:line="360" w:lineRule="auto"/>
              <w:ind w:firstLine="480" w:firstLineChars="200"/>
            </w:pPr>
            <w:r>
              <w:rPr>
                <w:kern w:val="0"/>
                <w:lang w:bidi="ar"/>
              </w:rPr>
              <w:t>根据调查，项目范围内地下水类型为浅层地下水，但因峨边彝族自治县属山丘地区，河流切割较深，浅层地下水主要从河川排泄，地表径流基本上包括了浅层地下水。为降低营运期对地下水的影响，建设单位采取如下措施：</w:t>
            </w:r>
          </w:p>
          <w:p>
            <w:pPr>
              <w:widowControl/>
              <w:adjustRightInd w:val="0"/>
              <w:snapToGrid w:val="0"/>
              <w:spacing w:line="360" w:lineRule="auto"/>
              <w:ind w:firstLine="480" w:firstLineChars="200"/>
            </w:pPr>
            <w:r>
              <w:rPr>
                <w:kern w:val="0"/>
                <w:lang w:bidi="ar"/>
              </w:rPr>
              <w:t>（1）正常工况</w:t>
            </w:r>
          </w:p>
          <w:p>
            <w:pPr>
              <w:widowControl/>
              <w:adjustRightInd w:val="0"/>
              <w:snapToGrid w:val="0"/>
              <w:spacing w:line="360" w:lineRule="auto"/>
              <w:ind w:firstLine="480" w:firstLineChars="200"/>
            </w:pPr>
            <w:r>
              <w:rPr>
                <w:kern w:val="0"/>
                <w:lang w:bidi="ar"/>
              </w:rPr>
              <w:t>本工程废水排放实行完全分流制。正常工况下，污水处理设施、污水处理站保持正常运行，污水处理站收集的废水经污水处理站处理达标后排入</w:t>
            </w:r>
            <w:r>
              <w:rPr>
                <w:rFonts w:hint="eastAsia"/>
                <w:kern w:val="0"/>
                <w:lang w:bidi="ar"/>
              </w:rPr>
              <w:t>大渡河</w:t>
            </w:r>
            <w:r>
              <w:rPr>
                <w:kern w:val="0"/>
                <w:lang w:bidi="ar"/>
              </w:rPr>
              <w:t>。因此，正常工况下对厂区地下水水质的影响较小，可不予考虑。</w:t>
            </w:r>
          </w:p>
          <w:p>
            <w:pPr>
              <w:widowControl/>
              <w:adjustRightInd w:val="0"/>
              <w:snapToGrid w:val="0"/>
              <w:spacing w:line="360" w:lineRule="auto"/>
              <w:ind w:firstLine="480" w:firstLineChars="200"/>
            </w:pPr>
            <w:r>
              <w:rPr>
                <w:kern w:val="0"/>
                <w:lang w:bidi="ar"/>
              </w:rPr>
              <w:t>（2）事故状态由于生产工艺及生产过程的复杂性，导致废水处理过程中有发生“跑、冒、滴、漏”事故可能，一旦发生事故，尤其是在污水管网埋地部位，污废水一旦泄漏难以被发现且浓度较高，污水将会通过包气带渗入至地下水中，从而造成地下水污染，使地下水水质恶化。</w:t>
            </w:r>
          </w:p>
          <w:p>
            <w:pPr>
              <w:widowControl/>
              <w:adjustRightInd w:val="0"/>
              <w:snapToGrid w:val="0"/>
              <w:spacing w:line="360" w:lineRule="auto"/>
              <w:ind w:firstLine="480" w:firstLineChars="200"/>
            </w:pPr>
            <w:r>
              <w:rPr>
                <w:kern w:val="0"/>
                <w:lang w:bidi="ar"/>
              </w:rPr>
              <w:t>本项目应编制应急预案，当发生污染物泄露事故后，必须立即启动应急预案，分析污染事故的发展趋势，并提出下一步预防和防治措施，迅速控制或切断事件灾害链，对污水进行截流，抽出污水送污水处理站集中处理，使污染地下水扩散得到有效抑制，最大限度地保护下游地下水水质安全，将损失降到最低限度。此外，污水管网的破裂及时发现，也不会造成长时间的连续泄露。所以在本项目投产后，对站内污水处理设施和排水管道仍必须采取可靠的防渗防漏措施，防止重大事故或者事故处理不及时污水泄漏对地下水环境造成污染。</w:t>
            </w:r>
          </w:p>
          <w:p>
            <w:pPr>
              <w:widowControl/>
              <w:adjustRightInd w:val="0"/>
              <w:snapToGrid w:val="0"/>
              <w:spacing w:line="360" w:lineRule="auto"/>
              <w:ind w:firstLine="480" w:firstLineChars="200"/>
            </w:pPr>
            <w:r>
              <w:rPr>
                <w:kern w:val="0"/>
                <w:lang w:bidi="ar"/>
              </w:rPr>
              <w:t>①地下水环境保护措施</w:t>
            </w:r>
          </w:p>
          <w:p>
            <w:pPr>
              <w:widowControl/>
              <w:adjustRightInd w:val="0"/>
              <w:snapToGrid w:val="0"/>
              <w:spacing w:line="360" w:lineRule="auto"/>
              <w:ind w:firstLine="480" w:firstLineChars="200"/>
            </w:pPr>
            <w:r>
              <w:rPr>
                <w:kern w:val="0"/>
                <w:lang w:bidi="ar"/>
              </w:rPr>
              <w:t>针对项目可能发生的地下水污染，地下水污染防治措施按照“源头控制、末端防治、污染监控、应急响应”相结合的原则，从污染物的产生、入渗、扩散、应急响应全阶段进行控制。</w:t>
            </w:r>
          </w:p>
          <w:p>
            <w:pPr>
              <w:widowControl/>
              <w:adjustRightInd w:val="0"/>
              <w:snapToGrid w:val="0"/>
              <w:spacing w:line="360" w:lineRule="auto"/>
              <w:ind w:firstLine="480" w:firstLineChars="200"/>
            </w:pPr>
            <w:r>
              <w:rPr>
                <w:kern w:val="0"/>
                <w:lang w:bidi="ar"/>
              </w:rPr>
              <w:t>A.源头控制措施：主要包括在工艺、管道、设备、污水储存及处理构筑物采取相应措施，防止和降低污染物跑、冒、滴、漏，将污染物泄漏的环境风险事故降到最低程度；管线敷设尽量采用“可视化”原则，即管道尽可能地上敷设，做到污染物“早发现、早处理”，减少由于埋地管道泄漏而造成的地下水污染。</w:t>
            </w:r>
          </w:p>
          <w:p>
            <w:pPr>
              <w:widowControl/>
              <w:adjustRightInd w:val="0"/>
              <w:snapToGrid w:val="0"/>
              <w:spacing w:line="360" w:lineRule="auto"/>
              <w:ind w:firstLine="480" w:firstLineChars="200"/>
            </w:pPr>
            <w:r>
              <w:rPr>
                <w:kern w:val="0"/>
                <w:lang w:bidi="ar"/>
              </w:rPr>
              <w:t>B.末端控制措施：主要包括厂内污染区地面的防渗措施和泄漏、渗漏污染物收集措施，即在污染区地面进行防渗处理，防止洒落地面的污染物渗入地下，并把滞留在地面的污染物收集起来，集中送至污水处理站处理；末端控制采取分区防渗，重点污染防治区、一般污染防治区和简单污染区防渗措施有区别的防渗原则。</w:t>
            </w:r>
          </w:p>
          <w:p>
            <w:pPr>
              <w:widowControl/>
              <w:adjustRightInd w:val="0"/>
              <w:snapToGrid w:val="0"/>
              <w:spacing w:line="360" w:lineRule="auto"/>
              <w:ind w:firstLine="480" w:firstLineChars="200"/>
            </w:pPr>
            <w:r>
              <w:rPr>
                <w:kern w:val="0"/>
                <w:lang w:bidi="ar"/>
              </w:rPr>
              <w:t>C.污染监控体系：实施覆盖生产区的地下水污染监控系统，包括建立完善的检测制度、配备先进的检测仪器和设备、科学、合理设置地下水污染监控井，及时发现污染、及时控制。</w:t>
            </w:r>
          </w:p>
          <w:p>
            <w:pPr>
              <w:widowControl/>
              <w:adjustRightInd w:val="0"/>
              <w:snapToGrid w:val="0"/>
              <w:spacing w:line="360" w:lineRule="auto"/>
              <w:ind w:firstLine="480" w:firstLineChars="200"/>
            </w:pPr>
            <w:r>
              <w:rPr>
                <w:kern w:val="0"/>
                <w:lang w:bidi="ar"/>
              </w:rPr>
              <w:t>D.应急响应措施：包括一旦发现地下水污染事故，立即启动应急预案、采取应急措施控制地下水污染，并使污染得到治理。</w:t>
            </w:r>
          </w:p>
          <w:p>
            <w:pPr>
              <w:widowControl/>
              <w:adjustRightInd w:val="0"/>
              <w:snapToGrid w:val="0"/>
              <w:spacing w:line="360" w:lineRule="auto"/>
              <w:ind w:firstLine="480" w:firstLineChars="200"/>
              <w:rPr>
                <w:kern w:val="0"/>
                <w:lang w:bidi="ar"/>
              </w:rPr>
            </w:pPr>
            <w:r>
              <w:rPr>
                <w:kern w:val="0"/>
                <w:lang w:bidi="ar"/>
              </w:rPr>
              <w:t>②防治措施</w:t>
            </w:r>
          </w:p>
          <w:p>
            <w:pPr>
              <w:widowControl/>
              <w:adjustRightInd w:val="0"/>
              <w:snapToGrid w:val="0"/>
              <w:spacing w:line="360" w:lineRule="auto"/>
              <w:ind w:firstLine="480" w:firstLineChars="200"/>
            </w:pPr>
            <w:r>
              <w:rPr>
                <w:kern w:val="0"/>
                <w:lang w:bidi="ar"/>
              </w:rPr>
              <w:t>A.污水处理站防渗措施</w:t>
            </w:r>
          </w:p>
          <w:p>
            <w:pPr>
              <w:widowControl/>
              <w:adjustRightInd w:val="0"/>
              <w:snapToGrid w:val="0"/>
              <w:spacing w:line="360" w:lineRule="auto"/>
              <w:ind w:firstLine="480" w:firstLineChars="200"/>
            </w:pPr>
            <w:r>
              <w:rPr>
                <w:kern w:val="0"/>
                <w:lang w:bidi="ar"/>
              </w:rPr>
              <w:t>结构措施：水池均采用现浇防渗砼。砼中掺加抗裂防渗外加剂，用以补偿砼的收缩，避免砼温度、干缩引起的开裂，同时提高砼的密实度和抗渗性能，以防水为主。对于大型水池，由于砼量较大，要求连续浇注，尽量少设或不设施工缝。</w:t>
            </w:r>
          </w:p>
          <w:p>
            <w:pPr>
              <w:widowControl/>
              <w:adjustRightInd w:val="0"/>
              <w:snapToGrid w:val="0"/>
              <w:spacing w:line="360" w:lineRule="auto"/>
              <w:ind w:firstLine="480" w:firstLineChars="200"/>
            </w:pPr>
            <w:r>
              <w:rPr>
                <w:kern w:val="0"/>
                <w:lang w:bidi="ar"/>
              </w:rPr>
              <w:t>混凝土的选择：混凝土包括普通砼和防水砼。普通砼指建筑物及构筑物的上部结构使用的砼，其强度等级为C30；防水砼指与水接触的贮水构筑物以及建(构)筑物地面以下的现浇钢筋混凝土，其强度等级为C30，抗渗等级为P8。管道支墩、设备基础以及构筑物内的二次浇筑的素混凝土均采用C20普通混凝土。基础及底板垫层采用C15普通混凝土。</w:t>
            </w:r>
          </w:p>
          <w:p>
            <w:pPr>
              <w:widowControl/>
              <w:adjustRightInd w:val="0"/>
              <w:snapToGrid w:val="0"/>
              <w:spacing w:line="360" w:lineRule="auto"/>
              <w:ind w:firstLine="480" w:firstLineChars="200"/>
              <w:rPr>
                <w:kern w:val="0"/>
                <w:lang w:bidi="ar"/>
              </w:rPr>
            </w:pPr>
            <w:r>
              <w:rPr>
                <w:kern w:val="0"/>
                <w:lang w:bidi="ar"/>
              </w:rPr>
              <w:t>分区防渗措施：根据各厂区可能泄漏至地面区域污染物的性质和生产单元的构筑方式，结合本项目总平面布置情况，将本厂区分为重点防治区、一般防治区。</w:t>
            </w:r>
          </w:p>
          <w:p>
            <w:pPr>
              <w:widowControl/>
              <w:adjustRightInd w:val="0"/>
              <w:snapToGrid w:val="0"/>
              <w:spacing w:line="360" w:lineRule="auto"/>
              <w:ind w:firstLine="480" w:firstLineChars="200"/>
              <w:rPr>
                <w:kern w:val="0"/>
                <w:lang w:bidi="ar"/>
              </w:rPr>
            </w:pPr>
            <w:r>
              <w:rPr>
                <w:kern w:val="0"/>
                <w:lang w:bidi="ar"/>
              </w:rPr>
              <w:t>重点防渗区：</w:t>
            </w:r>
            <w:r>
              <w:rPr>
                <w:rFonts w:hint="eastAsia"/>
                <w:kern w:val="0"/>
                <w:lang w:bidi="ar"/>
              </w:rPr>
              <w:t>格栅调节池、MBR一体化设备</w:t>
            </w:r>
            <w:r>
              <w:rPr>
                <w:kern w:val="0"/>
                <w:lang w:bidi="ar"/>
              </w:rPr>
              <w:t>做防腐</w:t>
            </w:r>
            <w:r>
              <w:rPr>
                <w:rFonts w:hint="eastAsia"/>
                <w:kern w:val="0"/>
                <w:lang w:bidi="ar"/>
              </w:rPr>
              <w:t>、防渗</w:t>
            </w:r>
            <w:r>
              <w:rPr>
                <w:kern w:val="0"/>
                <w:lang w:bidi="ar"/>
              </w:rPr>
              <w:t>处理</w:t>
            </w:r>
            <w:r>
              <w:rPr>
                <w:rFonts w:hint="eastAsia"/>
                <w:kern w:val="0"/>
                <w:lang w:bidi="ar"/>
              </w:rPr>
              <w:t>，</w:t>
            </w:r>
            <w:r>
              <w:rPr>
                <w:kern w:val="0"/>
                <w:lang w:bidi="ar"/>
              </w:rPr>
              <w:t>等效粘土防渗层Mb≥6.0m，K≤1×10</w:t>
            </w:r>
            <w:r>
              <w:rPr>
                <w:kern w:val="0"/>
                <w:vertAlign w:val="superscript"/>
                <w:lang w:bidi="ar"/>
              </w:rPr>
              <w:t>-7</w:t>
            </w:r>
            <w:r>
              <w:rPr>
                <w:kern w:val="0"/>
                <w:lang w:bidi="ar"/>
              </w:rPr>
              <w:t>cm/s。</w:t>
            </w:r>
          </w:p>
          <w:p>
            <w:pPr>
              <w:widowControl/>
              <w:adjustRightInd w:val="0"/>
              <w:snapToGrid w:val="0"/>
              <w:spacing w:line="360" w:lineRule="auto"/>
              <w:ind w:firstLine="480" w:firstLineChars="200"/>
            </w:pPr>
            <w:r>
              <w:rPr>
                <w:kern w:val="0"/>
                <w:lang w:bidi="ar"/>
              </w:rPr>
              <w:t>一般防渗区：</w:t>
            </w:r>
            <w:r>
              <w:rPr>
                <w:rFonts w:hint="eastAsia"/>
                <w:kern w:val="0"/>
                <w:lang w:bidi="ar"/>
              </w:rPr>
              <w:t>厂区道路</w:t>
            </w:r>
            <w:r>
              <w:rPr>
                <w:kern w:val="0"/>
                <w:lang w:bidi="ar"/>
              </w:rPr>
              <w:t>主要采用P6抗渗混凝土进行防渗处理。等效粘土防渗层Mb≥1.5m，K≤1×10</w:t>
            </w:r>
            <w:r>
              <w:rPr>
                <w:kern w:val="0"/>
                <w:vertAlign w:val="superscript"/>
                <w:lang w:bidi="ar"/>
              </w:rPr>
              <w:t>-7</w:t>
            </w:r>
            <w:r>
              <w:rPr>
                <w:kern w:val="0"/>
                <w:lang w:bidi="ar"/>
              </w:rPr>
              <w:t>cm/s。</w:t>
            </w:r>
          </w:p>
          <w:p>
            <w:pPr>
              <w:widowControl/>
              <w:adjustRightInd w:val="0"/>
              <w:snapToGrid w:val="0"/>
              <w:spacing w:line="360" w:lineRule="auto"/>
              <w:ind w:firstLine="480" w:firstLineChars="200"/>
            </w:pPr>
            <w:r>
              <w:rPr>
                <w:kern w:val="0"/>
                <w:lang w:bidi="ar"/>
              </w:rPr>
              <w:t>B.厂外污水管网防渗</w:t>
            </w:r>
          </w:p>
          <w:p>
            <w:pPr>
              <w:widowControl/>
              <w:adjustRightInd w:val="0"/>
              <w:snapToGrid w:val="0"/>
              <w:spacing w:line="360" w:lineRule="auto"/>
              <w:ind w:firstLine="480" w:firstLineChars="200"/>
            </w:pPr>
            <w:r>
              <w:rPr>
                <w:kern w:val="0"/>
                <w:lang w:bidi="ar"/>
              </w:rPr>
              <w:t>配套污水管网以检查井作为防渗重点，按照重点防治区进行防渗处理，可采取P8抗渗混凝土并涂刷防渗涂料。</w:t>
            </w:r>
          </w:p>
          <w:p>
            <w:pPr>
              <w:spacing w:line="360" w:lineRule="auto"/>
              <w:jc w:val="center"/>
              <w:rPr>
                <w:rFonts w:cs="Times New Roman"/>
                <w:b/>
                <w:szCs w:val="24"/>
              </w:rPr>
            </w:pPr>
            <w:r>
              <w:rPr>
                <w:rFonts w:cs="Times New Roman"/>
                <w:b/>
                <w:szCs w:val="24"/>
              </w:rPr>
              <w:t>表5-11  污水处理站分区防渗区域</w:t>
            </w:r>
          </w:p>
          <w:tbl>
            <w:tblPr>
              <w:tblStyle w:val="30"/>
              <w:tblW w:w="83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70"/>
              <w:gridCol w:w="53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970" w:type="dxa"/>
                  <w:vAlign w:val="center"/>
                </w:tcPr>
                <w:p>
                  <w:pPr>
                    <w:jc w:val="center"/>
                    <w:rPr>
                      <w:b/>
                      <w:sz w:val="21"/>
                      <w:szCs w:val="21"/>
                    </w:rPr>
                  </w:pPr>
                  <w:r>
                    <w:rPr>
                      <w:b/>
                      <w:sz w:val="21"/>
                      <w:szCs w:val="21"/>
                    </w:rPr>
                    <w:t>防渗等级</w:t>
                  </w:r>
                </w:p>
              </w:tc>
              <w:tc>
                <w:tcPr>
                  <w:tcW w:w="5332" w:type="dxa"/>
                  <w:vAlign w:val="center"/>
                </w:tcPr>
                <w:p>
                  <w:pPr>
                    <w:jc w:val="center"/>
                    <w:rPr>
                      <w:b/>
                      <w:sz w:val="21"/>
                      <w:szCs w:val="21"/>
                    </w:rPr>
                  </w:pPr>
                  <w:r>
                    <w:rPr>
                      <w:b/>
                      <w:sz w:val="21"/>
                      <w:szCs w:val="21"/>
                    </w:rPr>
                    <w:t>防渗区域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970" w:type="dxa"/>
                  <w:vAlign w:val="center"/>
                </w:tcPr>
                <w:p>
                  <w:pPr>
                    <w:jc w:val="center"/>
                    <w:rPr>
                      <w:bCs/>
                      <w:sz w:val="21"/>
                      <w:szCs w:val="21"/>
                    </w:rPr>
                  </w:pPr>
                  <w:r>
                    <w:rPr>
                      <w:bCs/>
                      <w:sz w:val="21"/>
                      <w:szCs w:val="21"/>
                    </w:rPr>
                    <w:t>重点防渗区</w:t>
                  </w:r>
                </w:p>
              </w:tc>
              <w:tc>
                <w:tcPr>
                  <w:tcW w:w="5332" w:type="dxa"/>
                  <w:vAlign w:val="center"/>
                </w:tcPr>
                <w:p>
                  <w:pPr>
                    <w:jc w:val="center"/>
                    <w:rPr>
                      <w:bCs/>
                      <w:sz w:val="21"/>
                      <w:szCs w:val="21"/>
                    </w:rPr>
                  </w:pPr>
                  <w:r>
                    <w:rPr>
                      <w:bCs/>
                      <w:sz w:val="21"/>
                      <w:szCs w:val="21"/>
                    </w:rPr>
                    <w:t>格栅</w:t>
                  </w:r>
                  <w:r>
                    <w:rPr>
                      <w:rFonts w:hint="eastAsia"/>
                      <w:bCs/>
                      <w:sz w:val="21"/>
                      <w:szCs w:val="21"/>
                    </w:rPr>
                    <w:t>调节池、</w:t>
                  </w:r>
                  <w:r>
                    <w:rPr>
                      <w:bCs/>
                      <w:sz w:val="21"/>
                      <w:szCs w:val="21"/>
                    </w:rPr>
                    <w:t>MBR一体化设备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970" w:type="dxa"/>
                  <w:vAlign w:val="center"/>
                </w:tcPr>
                <w:p>
                  <w:pPr>
                    <w:jc w:val="center"/>
                    <w:rPr>
                      <w:bCs/>
                      <w:sz w:val="21"/>
                      <w:szCs w:val="21"/>
                    </w:rPr>
                  </w:pPr>
                  <w:r>
                    <w:rPr>
                      <w:bCs/>
                      <w:sz w:val="21"/>
                      <w:szCs w:val="21"/>
                    </w:rPr>
                    <w:t>一般防渗区</w:t>
                  </w:r>
                </w:p>
              </w:tc>
              <w:tc>
                <w:tcPr>
                  <w:tcW w:w="5332" w:type="dxa"/>
                  <w:vAlign w:val="center"/>
                </w:tcPr>
                <w:p>
                  <w:pPr>
                    <w:jc w:val="center"/>
                    <w:rPr>
                      <w:bCs/>
                      <w:sz w:val="21"/>
                      <w:szCs w:val="21"/>
                    </w:rPr>
                  </w:pPr>
                  <w:r>
                    <w:rPr>
                      <w:bCs/>
                      <w:sz w:val="21"/>
                      <w:szCs w:val="21"/>
                    </w:rPr>
                    <w:t>厂区道路</w:t>
                  </w:r>
                </w:p>
              </w:tc>
            </w:tr>
          </w:tbl>
          <w:p>
            <w:pPr>
              <w:widowControl/>
              <w:adjustRightInd w:val="0"/>
              <w:snapToGrid w:val="0"/>
              <w:spacing w:line="480" w:lineRule="exact"/>
              <w:ind w:right="106" w:rightChars="44"/>
              <w:rPr>
                <w:rFonts w:cs="Times New Roman"/>
              </w:rPr>
            </w:pPr>
          </w:p>
          <w:p>
            <w:pPr>
              <w:widowControl/>
              <w:adjustRightInd w:val="0"/>
              <w:snapToGrid w:val="0"/>
              <w:spacing w:line="480" w:lineRule="exact"/>
              <w:ind w:right="106" w:rightChars="44"/>
              <w:rPr>
                <w:rFonts w:cs="Times New Roman"/>
              </w:rPr>
            </w:pPr>
          </w:p>
          <w:p>
            <w:pPr>
              <w:widowControl/>
              <w:adjustRightInd w:val="0"/>
              <w:snapToGrid w:val="0"/>
              <w:spacing w:line="480" w:lineRule="exact"/>
              <w:ind w:right="106" w:rightChars="44"/>
              <w:rPr>
                <w:rFonts w:cs="Times New Roman"/>
              </w:rPr>
            </w:pPr>
          </w:p>
        </w:tc>
      </w:tr>
    </w:tbl>
    <w:p>
      <w:pPr>
        <w:spacing w:line="20" w:lineRule="exact"/>
        <w:rPr>
          <w:rFonts w:cs="Times New Roman"/>
        </w:rPr>
      </w:pPr>
    </w:p>
    <w:p>
      <w:pPr>
        <w:spacing w:line="360" w:lineRule="auto"/>
        <w:outlineLvl w:val="0"/>
        <w:rPr>
          <w:rFonts w:cs="Times New Roman"/>
          <w:b/>
          <w:sz w:val="30"/>
          <w:szCs w:val="30"/>
        </w:rPr>
        <w:sectPr>
          <w:pgSz w:w="11906" w:h="16838"/>
          <w:pgMar w:top="1814" w:right="1673" w:bottom="1814" w:left="1673" w:header="851" w:footer="958" w:gutter="0"/>
          <w:cols w:space="720" w:num="1"/>
          <w:docGrid w:linePitch="312" w:charSpace="0"/>
        </w:sectPr>
      </w:pPr>
    </w:p>
    <w:p>
      <w:pPr>
        <w:spacing w:line="360" w:lineRule="auto"/>
        <w:outlineLvl w:val="0"/>
        <w:rPr>
          <w:rFonts w:cs="Times New Roman"/>
          <w:b/>
          <w:sz w:val="30"/>
          <w:szCs w:val="30"/>
        </w:rPr>
      </w:pPr>
      <w:r>
        <w:rPr>
          <w:rFonts w:cs="Times New Roman"/>
          <w:b/>
          <w:sz w:val="30"/>
          <w:szCs w:val="30"/>
        </w:rPr>
        <w:t>项目主要污染物产生及预计排放情况（表六）</w:t>
      </w:r>
    </w:p>
    <w:tbl>
      <w:tblPr>
        <w:tblStyle w:val="30"/>
        <w:tblW w:w="8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20"/>
        <w:gridCol w:w="978"/>
        <w:gridCol w:w="1741"/>
        <w:gridCol w:w="2160"/>
        <w:gridCol w:w="2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tcBorders>
              <w:tl2br w:val="single" w:color="auto" w:sz="4" w:space="0"/>
            </w:tcBorders>
          </w:tcPr>
          <w:p>
            <w:pPr>
              <w:jc w:val="right"/>
              <w:rPr>
                <w:rFonts w:cs="Times New Roman"/>
                <w:b/>
                <w:sz w:val="21"/>
                <w:szCs w:val="21"/>
              </w:rPr>
            </w:pPr>
            <w:r>
              <w:rPr>
                <w:rFonts w:cs="Times New Roman"/>
                <w:sz w:val="21"/>
                <w:szCs w:val="21"/>
              </w:rPr>
              <mc:AlternateContent>
                <mc:Choice Requires="wps">
                  <w:drawing>
                    <wp:anchor distT="0" distB="0" distL="114300" distR="114300" simplePos="0" relativeHeight="251659264" behindDoc="0" locked="0" layoutInCell="0" allowOverlap="1">
                      <wp:simplePos x="0" y="0"/>
                      <wp:positionH relativeFrom="column">
                        <wp:posOffset>-68580</wp:posOffset>
                      </wp:positionH>
                      <wp:positionV relativeFrom="paragraph">
                        <wp:posOffset>-6350</wp:posOffset>
                      </wp:positionV>
                      <wp:extent cx="635" cy="0"/>
                      <wp:effectExtent l="5715" t="12065" r="12700" b="6985"/>
                      <wp:wrapNone/>
                      <wp:docPr id="4" name="Line 4284"/>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4284" o:spid="_x0000_s1026" o:spt="20" style="position:absolute;left:0pt;margin-left:-5.4pt;margin-top:-0.5pt;height:0pt;width:0.05pt;z-index:251659264;mso-width-relative:page;mso-height-relative:page;" filled="f" stroked="t" coordsize="21600,21600" o:allowincell="f" o:gfxdata="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IN915LUAAAA&#10;CQEAAA8AAAAAAAAAAQAgAAAAIgAAAGRycy9kb3ducmV2LnhtbFBLAQIUABQAAAAIAIdO4kBxFpVw&#10;rwEAAFADAAAOAAAAAAAAAAEAIAAAACMBAABkcnMvZTJvRG9jLnhtbFBLBQYAAAAABgAGAFkBAABE&#10;BQAAAAA=&#10;">
                      <v:fill on="f" focussize="0,0"/>
                      <v:stroke color="#000000" joinstyle="round"/>
                      <v:imagedata o:title=""/>
                      <o:lock v:ext="edit" aspectratio="f"/>
                    </v:line>
                  </w:pict>
                </mc:Fallback>
              </mc:AlternateContent>
            </w:r>
            <w:r>
              <w:rPr>
                <w:rFonts w:cs="Times New Roman"/>
                <w:b/>
                <w:sz w:val="21"/>
                <w:szCs w:val="21"/>
              </w:rPr>
              <w:t>内容</w:t>
            </w:r>
          </w:p>
          <w:p>
            <w:pPr>
              <w:jc w:val="right"/>
              <w:rPr>
                <w:rFonts w:cs="Times New Roman"/>
                <w:b/>
                <w:sz w:val="21"/>
                <w:szCs w:val="21"/>
              </w:rPr>
            </w:pPr>
          </w:p>
          <w:p>
            <w:pPr>
              <w:jc w:val="left"/>
              <w:rPr>
                <w:rFonts w:cs="Times New Roman"/>
                <w:b/>
                <w:sz w:val="21"/>
                <w:szCs w:val="21"/>
              </w:rPr>
            </w:pPr>
            <w:r>
              <w:rPr>
                <w:rFonts w:cs="Times New Roman"/>
                <w:b/>
                <w:sz w:val="21"/>
                <w:szCs w:val="21"/>
              </w:rPr>
              <w:t>类型</w:t>
            </w:r>
          </w:p>
        </w:tc>
        <w:tc>
          <w:tcPr>
            <w:tcW w:w="978" w:type="dxa"/>
          </w:tcPr>
          <w:p>
            <w:pPr>
              <w:jc w:val="center"/>
              <w:rPr>
                <w:rFonts w:cs="Times New Roman"/>
                <w:b/>
                <w:sz w:val="21"/>
                <w:szCs w:val="21"/>
              </w:rPr>
            </w:pPr>
            <w:r>
              <w:rPr>
                <w:rFonts w:cs="Times New Roman"/>
                <w:b/>
                <w:sz w:val="21"/>
                <w:szCs w:val="21"/>
              </w:rPr>
              <w:t>排放源</w:t>
            </w:r>
          </w:p>
          <w:p>
            <w:pPr>
              <w:jc w:val="center"/>
              <w:rPr>
                <w:rFonts w:cs="Times New Roman"/>
                <w:b/>
                <w:sz w:val="21"/>
                <w:szCs w:val="21"/>
              </w:rPr>
            </w:pPr>
            <w:r>
              <w:rPr>
                <w:rFonts w:cs="Times New Roman"/>
                <w:b/>
                <w:sz w:val="21"/>
                <w:szCs w:val="21"/>
              </w:rPr>
              <w:t>(编号)</w:t>
            </w:r>
          </w:p>
        </w:tc>
        <w:tc>
          <w:tcPr>
            <w:tcW w:w="1741" w:type="dxa"/>
            <w:vAlign w:val="center"/>
          </w:tcPr>
          <w:p>
            <w:pPr>
              <w:jc w:val="center"/>
              <w:rPr>
                <w:rFonts w:cs="Times New Roman"/>
                <w:b/>
                <w:sz w:val="21"/>
                <w:szCs w:val="21"/>
              </w:rPr>
            </w:pPr>
            <w:r>
              <w:rPr>
                <w:rFonts w:cs="Times New Roman"/>
                <w:b/>
                <w:sz w:val="21"/>
                <w:szCs w:val="21"/>
              </w:rPr>
              <w:t>污染物名称</w:t>
            </w:r>
          </w:p>
        </w:tc>
        <w:tc>
          <w:tcPr>
            <w:tcW w:w="2160" w:type="dxa"/>
          </w:tcPr>
          <w:p>
            <w:pPr>
              <w:jc w:val="center"/>
              <w:rPr>
                <w:rFonts w:cs="Times New Roman"/>
                <w:b/>
                <w:sz w:val="21"/>
                <w:szCs w:val="21"/>
              </w:rPr>
            </w:pPr>
            <w:r>
              <w:rPr>
                <w:rFonts w:cs="Times New Roman"/>
                <w:b/>
                <w:sz w:val="21"/>
                <w:szCs w:val="21"/>
              </w:rPr>
              <w:t>处理前产生浓度及产生量(单位)</w:t>
            </w:r>
          </w:p>
        </w:tc>
        <w:tc>
          <w:tcPr>
            <w:tcW w:w="2851" w:type="dxa"/>
            <w:vAlign w:val="center"/>
          </w:tcPr>
          <w:p>
            <w:pPr>
              <w:jc w:val="center"/>
              <w:rPr>
                <w:rFonts w:cs="Times New Roman"/>
                <w:b/>
                <w:sz w:val="21"/>
                <w:szCs w:val="21"/>
              </w:rPr>
            </w:pPr>
            <w:r>
              <w:rPr>
                <w:rFonts w:cs="Times New Roman"/>
                <w:b/>
                <w:sz w:val="21"/>
                <w:szCs w:val="21"/>
              </w:rPr>
              <w:t>处理后排放浓度</w:t>
            </w:r>
          </w:p>
          <w:p>
            <w:pPr>
              <w:jc w:val="center"/>
              <w:rPr>
                <w:rFonts w:cs="Times New Roman"/>
                <w:b/>
                <w:sz w:val="21"/>
                <w:szCs w:val="21"/>
              </w:rPr>
            </w:pPr>
            <w:r>
              <w:rPr>
                <w:rFonts w:cs="Times New Roman"/>
                <w:b/>
                <w:sz w:val="21"/>
                <w:szCs w:val="21"/>
              </w:rPr>
              <w:t>及排放量(单位)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restart"/>
            <w:vAlign w:val="center"/>
          </w:tcPr>
          <w:p>
            <w:pPr>
              <w:jc w:val="center"/>
              <w:rPr>
                <w:rFonts w:cs="Times New Roman"/>
                <w:sz w:val="21"/>
                <w:szCs w:val="21"/>
              </w:rPr>
            </w:pPr>
            <w:r>
              <w:rPr>
                <w:rFonts w:cs="Times New Roman"/>
                <w:sz w:val="21"/>
                <w:szCs w:val="21"/>
              </w:rPr>
              <w:t>大气</w:t>
            </w:r>
          </w:p>
          <w:p>
            <w:pPr>
              <w:jc w:val="center"/>
              <w:rPr>
                <w:rFonts w:cs="Times New Roman"/>
                <w:sz w:val="21"/>
                <w:szCs w:val="21"/>
              </w:rPr>
            </w:pPr>
            <w:r>
              <w:rPr>
                <w:rFonts w:cs="Times New Roman"/>
                <w:sz w:val="21"/>
                <w:szCs w:val="21"/>
              </w:rPr>
              <w:t>污染物</w:t>
            </w:r>
          </w:p>
        </w:tc>
        <w:tc>
          <w:tcPr>
            <w:tcW w:w="978" w:type="dxa"/>
            <w:vMerge w:val="restart"/>
            <w:vAlign w:val="center"/>
          </w:tcPr>
          <w:p>
            <w:pPr>
              <w:jc w:val="center"/>
              <w:rPr>
                <w:rFonts w:cs="Times New Roman"/>
                <w:sz w:val="21"/>
                <w:szCs w:val="21"/>
              </w:rPr>
            </w:pPr>
            <w:r>
              <w:rPr>
                <w:rFonts w:cs="Times New Roman"/>
                <w:sz w:val="21"/>
                <w:szCs w:val="21"/>
              </w:rPr>
              <w:t>施工期</w:t>
            </w:r>
          </w:p>
        </w:tc>
        <w:tc>
          <w:tcPr>
            <w:tcW w:w="1741" w:type="dxa"/>
            <w:vAlign w:val="center"/>
          </w:tcPr>
          <w:p>
            <w:pPr>
              <w:jc w:val="center"/>
              <w:rPr>
                <w:rFonts w:cs="Times New Roman"/>
                <w:sz w:val="21"/>
                <w:szCs w:val="21"/>
              </w:rPr>
            </w:pPr>
            <w:r>
              <w:rPr>
                <w:rFonts w:cs="Times New Roman"/>
                <w:sz w:val="21"/>
                <w:szCs w:val="21"/>
              </w:rPr>
              <w:t>施工扬尘</w:t>
            </w:r>
          </w:p>
        </w:tc>
        <w:tc>
          <w:tcPr>
            <w:tcW w:w="2160" w:type="dxa"/>
            <w:vAlign w:val="center"/>
          </w:tcPr>
          <w:p>
            <w:pPr>
              <w:jc w:val="center"/>
              <w:rPr>
                <w:rFonts w:cs="Times New Roman"/>
                <w:sz w:val="21"/>
                <w:szCs w:val="21"/>
              </w:rPr>
            </w:pPr>
            <w:r>
              <w:rPr>
                <w:rFonts w:cs="Times New Roman"/>
                <w:sz w:val="21"/>
                <w:szCs w:val="21"/>
                <w:lang w:val="de-DE"/>
              </w:rPr>
              <w:t>产生量极少</w:t>
            </w:r>
          </w:p>
        </w:tc>
        <w:tc>
          <w:tcPr>
            <w:tcW w:w="2851" w:type="dxa"/>
            <w:vAlign w:val="center"/>
          </w:tcPr>
          <w:p>
            <w:pPr>
              <w:jc w:val="center"/>
              <w:rPr>
                <w:rFonts w:cs="Times New Roman"/>
                <w:sz w:val="21"/>
                <w:szCs w:val="21"/>
              </w:rPr>
            </w:pPr>
            <w:r>
              <w:rPr>
                <w:rFonts w:cs="Times New Roman"/>
                <w:sz w:val="21"/>
                <w:szCs w:val="21"/>
                <w:lang w:val="de-DE"/>
              </w:rPr>
              <w:t>呈无组织排放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continue"/>
            <w:vAlign w:val="center"/>
          </w:tcPr>
          <w:p>
            <w:pPr>
              <w:jc w:val="center"/>
              <w:rPr>
                <w:rFonts w:cs="Times New Roman"/>
                <w:sz w:val="21"/>
                <w:szCs w:val="21"/>
              </w:rPr>
            </w:pPr>
          </w:p>
        </w:tc>
        <w:tc>
          <w:tcPr>
            <w:tcW w:w="1741" w:type="dxa"/>
            <w:vAlign w:val="center"/>
          </w:tcPr>
          <w:p>
            <w:pPr>
              <w:jc w:val="center"/>
              <w:rPr>
                <w:rFonts w:cs="Times New Roman"/>
                <w:sz w:val="21"/>
                <w:szCs w:val="21"/>
              </w:rPr>
            </w:pPr>
            <w:r>
              <w:rPr>
                <w:rFonts w:cs="Times New Roman"/>
                <w:sz w:val="21"/>
                <w:szCs w:val="21"/>
              </w:rPr>
              <w:t>汽车尾气</w:t>
            </w:r>
          </w:p>
        </w:tc>
        <w:tc>
          <w:tcPr>
            <w:tcW w:w="2160" w:type="dxa"/>
            <w:vAlign w:val="center"/>
          </w:tcPr>
          <w:p>
            <w:pPr>
              <w:jc w:val="center"/>
              <w:rPr>
                <w:rFonts w:cs="Times New Roman"/>
                <w:sz w:val="21"/>
                <w:szCs w:val="21"/>
                <w:lang w:val="de-DE"/>
              </w:rPr>
            </w:pPr>
            <w:r>
              <w:rPr>
                <w:rFonts w:cs="Times New Roman"/>
                <w:sz w:val="21"/>
                <w:szCs w:val="21"/>
                <w:lang w:val="de-DE"/>
              </w:rPr>
              <w:t>产生量极少</w:t>
            </w:r>
          </w:p>
        </w:tc>
        <w:tc>
          <w:tcPr>
            <w:tcW w:w="2851" w:type="dxa"/>
            <w:vAlign w:val="center"/>
          </w:tcPr>
          <w:p>
            <w:pPr>
              <w:jc w:val="center"/>
              <w:rPr>
                <w:rFonts w:cs="Times New Roman"/>
                <w:sz w:val="21"/>
                <w:szCs w:val="21"/>
              </w:rPr>
            </w:pPr>
            <w:r>
              <w:rPr>
                <w:rFonts w:cs="Times New Roman"/>
                <w:sz w:val="21"/>
                <w:szCs w:val="21"/>
                <w:lang w:val="de-DE"/>
              </w:rPr>
              <w:t>呈无组织排放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restart"/>
            <w:vAlign w:val="center"/>
          </w:tcPr>
          <w:p>
            <w:pPr>
              <w:jc w:val="center"/>
              <w:rPr>
                <w:rFonts w:cs="Times New Roman"/>
                <w:sz w:val="21"/>
                <w:szCs w:val="21"/>
              </w:rPr>
            </w:pPr>
            <w:r>
              <w:rPr>
                <w:rFonts w:cs="Times New Roman"/>
                <w:sz w:val="21"/>
                <w:szCs w:val="21"/>
              </w:rPr>
              <w:t>运营期</w:t>
            </w:r>
          </w:p>
        </w:tc>
        <w:tc>
          <w:tcPr>
            <w:tcW w:w="1741" w:type="dxa"/>
            <w:vAlign w:val="center"/>
          </w:tcPr>
          <w:p>
            <w:pPr>
              <w:jc w:val="center"/>
              <w:rPr>
                <w:rFonts w:cs="Times New Roman"/>
                <w:sz w:val="21"/>
                <w:szCs w:val="21"/>
              </w:rPr>
            </w:pPr>
            <w:r>
              <w:rPr>
                <w:sz w:val="21"/>
                <w:szCs w:val="21"/>
              </w:rPr>
              <w:t>NH</w:t>
            </w:r>
            <w:r>
              <w:rPr>
                <w:sz w:val="21"/>
                <w:szCs w:val="21"/>
                <w:vertAlign w:val="subscript"/>
              </w:rPr>
              <w:t>3</w:t>
            </w:r>
          </w:p>
        </w:tc>
        <w:tc>
          <w:tcPr>
            <w:tcW w:w="2160" w:type="dxa"/>
            <w:vAlign w:val="center"/>
          </w:tcPr>
          <w:p>
            <w:pPr>
              <w:snapToGrid w:val="0"/>
              <w:jc w:val="center"/>
              <w:rPr>
                <w:rFonts w:cs="Times New Roman"/>
                <w:bCs/>
                <w:sz w:val="21"/>
                <w:szCs w:val="21"/>
                <w:highlight w:val="yellow"/>
              </w:rPr>
            </w:pPr>
            <w:r>
              <w:rPr>
                <w:rFonts w:hAnsi="宋体"/>
                <w:sz w:val="21"/>
                <w:szCs w:val="21"/>
              </w:rPr>
              <w:t>0.0005kg/h</w:t>
            </w:r>
            <w:r>
              <w:rPr>
                <w:rFonts w:hint="eastAsia" w:hAnsi="宋体"/>
                <w:sz w:val="21"/>
                <w:szCs w:val="21"/>
              </w:rPr>
              <w:t>；</w:t>
            </w:r>
            <w:r>
              <w:rPr>
                <w:rFonts w:hAnsi="宋体"/>
                <w:sz w:val="21"/>
                <w:szCs w:val="21"/>
              </w:rPr>
              <w:t>0.004t/a</w:t>
            </w:r>
          </w:p>
        </w:tc>
        <w:tc>
          <w:tcPr>
            <w:tcW w:w="2851" w:type="dxa"/>
            <w:vAlign w:val="center"/>
          </w:tcPr>
          <w:p>
            <w:pPr>
              <w:snapToGrid w:val="0"/>
              <w:jc w:val="center"/>
              <w:rPr>
                <w:rFonts w:cs="Times New Roman"/>
                <w:bCs/>
                <w:sz w:val="21"/>
                <w:szCs w:val="21"/>
                <w:highlight w:val="yellow"/>
              </w:rPr>
            </w:pPr>
            <w:r>
              <w:rPr>
                <w:rFonts w:hAnsi="宋体"/>
                <w:sz w:val="21"/>
                <w:szCs w:val="21"/>
              </w:rPr>
              <w:t>0.0005kg/h</w:t>
            </w:r>
            <w:r>
              <w:rPr>
                <w:rFonts w:hint="eastAsia" w:hAnsi="宋体"/>
                <w:sz w:val="21"/>
                <w:szCs w:val="21"/>
              </w:rPr>
              <w:t>；</w:t>
            </w:r>
            <w:r>
              <w:rPr>
                <w:rFonts w:hAnsi="宋体"/>
                <w:sz w:val="21"/>
                <w:szCs w:val="21"/>
              </w:rPr>
              <w:t>0.004t/a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continue"/>
            <w:vAlign w:val="center"/>
          </w:tcPr>
          <w:p>
            <w:pPr>
              <w:jc w:val="center"/>
              <w:rPr>
                <w:rFonts w:cs="Times New Roman"/>
                <w:sz w:val="21"/>
                <w:szCs w:val="21"/>
              </w:rPr>
            </w:pPr>
          </w:p>
        </w:tc>
        <w:tc>
          <w:tcPr>
            <w:tcW w:w="1741" w:type="dxa"/>
            <w:vAlign w:val="center"/>
          </w:tcPr>
          <w:p>
            <w:pPr>
              <w:jc w:val="center"/>
              <w:rPr>
                <w:rFonts w:cs="Times New Roman"/>
                <w:sz w:val="21"/>
                <w:szCs w:val="21"/>
              </w:rPr>
            </w:pPr>
            <w:r>
              <w:rPr>
                <w:sz w:val="21"/>
                <w:szCs w:val="21"/>
              </w:rPr>
              <w:t>H</w:t>
            </w:r>
            <w:r>
              <w:rPr>
                <w:sz w:val="21"/>
                <w:szCs w:val="21"/>
                <w:vertAlign w:val="subscript"/>
              </w:rPr>
              <w:t>2</w:t>
            </w:r>
            <w:r>
              <w:rPr>
                <w:sz w:val="21"/>
                <w:szCs w:val="21"/>
              </w:rPr>
              <w:t>S</w:t>
            </w:r>
          </w:p>
        </w:tc>
        <w:tc>
          <w:tcPr>
            <w:tcW w:w="2160" w:type="dxa"/>
            <w:vAlign w:val="center"/>
          </w:tcPr>
          <w:p>
            <w:pPr>
              <w:snapToGrid w:val="0"/>
              <w:jc w:val="center"/>
              <w:rPr>
                <w:rFonts w:cs="Times New Roman"/>
                <w:sz w:val="21"/>
                <w:szCs w:val="21"/>
                <w:highlight w:val="yellow"/>
                <w:lang w:val="de-DE"/>
              </w:rPr>
            </w:pPr>
            <w:r>
              <w:rPr>
                <w:rFonts w:hAnsi="宋体"/>
                <w:sz w:val="21"/>
                <w:szCs w:val="21"/>
              </w:rPr>
              <w:t>0.00005kg/h</w:t>
            </w:r>
            <w:r>
              <w:rPr>
                <w:rFonts w:hint="eastAsia" w:hAnsi="宋体"/>
                <w:sz w:val="21"/>
                <w:szCs w:val="21"/>
              </w:rPr>
              <w:t>；0.0</w:t>
            </w:r>
            <w:r>
              <w:rPr>
                <w:rFonts w:hAnsi="宋体"/>
                <w:sz w:val="21"/>
                <w:szCs w:val="21"/>
              </w:rPr>
              <w:t>004t/a</w:t>
            </w:r>
          </w:p>
        </w:tc>
        <w:tc>
          <w:tcPr>
            <w:tcW w:w="2851" w:type="dxa"/>
            <w:vAlign w:val="center"/>
          </w:tcPr>
          <w:p>
            <w:pPr>
              <w:snapToGrid w:val="0"/>
              <w:jc w:val="center"/>
              <w:rPr>
                <w:rFonts w:cs="Times New Roman"/>
                <w:sz w:val="21"/>
                <w:szCs w:val="21"/>
                <w:highlight w:val="yellow"/>
              </w:rPr>
            </w:pPr>
            <w:r>
              <w:rPr>
                <w:rFonts w:hAnsi="宋体"/>
                <w:sz w:val="21"/>
                <w:szCs w:val="21"/>
              </w:rPr>
              <w:t>0.00005kg/h</w:t>
            </w:r>
            <w:r>
              <w:rPr>
                <w:rFonts w:hint="eastAsia" w:hAnsi="宋体"/>
                <w:sz w:val="21"/>
                <w:szCs w:val="21"/>
              </w:rPr>
              <w:t>；0.0</w:t>
            </w:r>
            <w:r>
              <w:rPr>
                <w:rFonts w:hAnsi="宋体"/>
                <w:sz w:val="21"/>
                <w:szCs w:val="21"/>
              </w:rPr>
              <w:t>004t/a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restart"/>
            <w:vAlign w:val="center"/>
          </w:tcPr>
          <w:p>
            <w:pPr>
              <w:jc w:val="center"/>
              <w:rPr>
                <w:rFonts w:cs="Times New Roman"/>
                <w:sz w:val="21"/>
                <w:szCs w:val="21"/>
              </w:rPr>
            </w:pPr>
            <w:r>
              <w:rPr>
                <w:rFonts w:cs="Times New Roman"/>
                <w:sz w:val="21"/>
                <w:szCs w:val="21"/>
              </w:rPr>
              <w:t>水污染物</w:t>
            </w:r>
          </w:p>
        </w:tc>
        <w:tc>
          <w:tcPr>
            <w:tcW w:w="978" w:type="dxa"/>
            <w:vMerge w:val="restart"/>
            <w:vAlign w:val="center"/>
          </w:tcPr>
          <w:p>
            <w:pPr>
              <w:jc w:val="center"/>
              <w:rPr>
                <w:rFonts w:cs="Times New Roman"/>
                <w:sz w:val="21"/>
                <w:szCs w:val="21"/>
              </w:rPr>
            </w:pPr>
            <w:r>
              <w:rPr>
                <w:rFonts w:cs="Times New Roman"/>
                <w:sz w:val="21"/>
                <w:szCs w:val="21"/>
              </w:rPr>
              <w:t>施工期</w:t>
            </w:r>
          </w:p>
        </w:tc>
        <w:tc>
          <w:tcPr>
            <w:tcW w:w="1741" w:type="dxa"/>
            <w:vAlign w:val="center"/>
          </w:tcPr>
          <w:p>
            <w:pPr>
              <w:jc w:val="center"/>
              <w:rPr>
                <w:rFonts w:cs="Times New Roman"/>
                <w:sz w:val="21"/>
                <w:szCs w:val="21"/>
              </w:rPr>
            </w:pPr>
            <w:r>
              <w:rPr>
                <w:rFonts w:cs="Times New Roman"/>
                <w:sz w:val="21"/>
                <w:szCs w:val="21"/>
              </w:rPr>
              <w:t>施工人员生活污水</w:t>
            </w:r>
          </w:p>
        </w:tc>
        <w:tc>
          <w:tcPr>
            <w:tcW w:w="2160" w:type="dxa"/>
            <w:vAlign w:val="center"/>
          </w:tcPr>
          <w:p>
            <w:pPr>
              <w:jc w:val="center"/>
              <w:rPr>
                <w:rFonts w:cs="Times New Roman"/>
                <w:sz w:val="21"/>
                <w:szCs w:val="21"/>
              </w:rPr>
            </w:pPr>
            <w:r>
              <w:rPr>
                <w:rFonts w:cs="Times New Roman"/>
                <w:sz w:val="21"/>
                <w:szCs w:val="21"/>
              </w:rPr>
              <w:t>0.96m</w:t>
            </w:r>
            <w:r>
              <w:rPr>
                <w:rFonts w:cs="Times New Roman"/>
                <w:sz w:val="21"/>
                <w:szCs w:val="21"/>
                <w:vertAlign w:val="superscript"/>
              </w:rPr>
              <w:t>3</w:t>
            </w:r>
            <w:r>
              <w:rPr>
                <w:rFonts w:cs="Times New Roman"/>
                <w:sz w:val="21"/>
                <w:szCs w:val="21"/>
              </w:rPr>
              <w:t>/d</w:t>
            </w:r>
          </w:p>
        </w:tc>
        <w:tc>
          <w:tcPr>
            <w:tcW w:w="2851" w:type="dxa"/>
            <w:vAlign w:val="center"/>
          </w:tcPr>
          <w:p>
            <w:pPr>
              <w:jc w:val="center"/>
              <w:rPr>
                <w:rFonts w:cs="Times New Roman"/>
                <w:sz w:val="21"/>
                <w:szCs w:val="21"/>
              </w:rPr>
            </w:pPr>
            <w:r>
              <w:rPr>
                <w:kern w:val="0"/>
                <w:sz w:val="21"/>
                <w:szCs w:val="21"/>
              </w:rPr>
              <w:t>依托周边农户解决</w:t>
            </w:r>
            <w:r>
              <w:rPr>
                <w:sz w:val="21"/>
                <w:szCs w:val="21"/>
              </w:rPr>
              <w:t>，用于农田灌溉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continue"/>
            <w:vAlign w:val="center"/>
          </w:tcPr>
          <w:p>
            <w:pPr>
              <w:jc w:val="center"/>
              <w:rPr>
                <w:rFonts w:cs="Times New Roman"/>
                <w:sz w:val="21"/>
                <w:szCs w:val="21"/>
              </w:rPr>
            </w:pPr>
          </w:p>
        </w:tc>
        <w:tc>
          <w:tcPr>
            <w:tcW w:w="1741" w:type="dxa"/>
            <w:vAlign w:val="center"/>
          </w:tcPr>
          <w:p>
            <w:pPr>
              <w:jc w:val="center"/>
              <w:rPr>
                <w:rFonts w:cs="Times New Roman"/>
                <w:sz w:val="21"/>
                <w:szCs w:val="21"/>
              </w:rPr>
            </w:pPr>
            <w:r>
              <w:rPr>
                <w:rFonts w:cs="Times New Roman"/>
                <w:sz w:val="21"/>
                <w:szCs w:val="21"/>
              </w:rPr>
              <w:t>施工废水</w:t>
            </w:r>
          </w:p>
        </w:tc>
        <w:tc>
          <w:tcPr>
            <w:tcW w:w="2160" w:type="dxa"/>
            <w:vAlign w:val="center"/>
          </w:tcPr>
          <w:p>
            <w:pPr>
              <w:jc w:val="center"/>
              <w:rPr>
                <w:rFonts w:cs="Times New Roman"/>
                <w:sz w:val="21"/>
                <w:szCs w:val="21"/>
              </w:rPr>
            </w:pPr>
            <w:r>
              <w:rPr>
                <w:rFonts w:cs="Times New Roman"/>
                <w:sz w:val="21"/>
                <w:szCs w:val="21"/>
              </w:rPr>
              <w:t>1m</w:t>
            </w:r>
            <w:r>
              <w:rPr>
                <w:rFonts w:cs="Times New Roman"/>
                <w:sz w:val="21"/>
                <w:szCs w:val="21"/>
                <w:vertAlign w:val="superscript"/>
              </w:rPr>
              <w:t>3</w:t>
            </w:r>
            <w:r>
              <w:rPr>
                <w:rFonts w:cs="Times New Roman"/>
                <w:sz w:val="21"/>
                <w:szCs w:val="21"/>
              </w:rPr>
              <w:t>/d</w:t>
            </w:r>
          </w:p>
        </w:tc>
        <w:tc>
          <w:tcPr>
            <w:tcW w:w="2851" w:type="dxa"/>
            <w:vAlign w:val="center"/>
          </w:tcPr>
          <w:p>
            <w:pPr>
              <w:jc w:val="center"/>
              <w:rPr>
                <w:rFonts w:cs="Times New Roman"/>
                <w:sz w:val="21"/>
                <w:szCs w:val="21"/>
              </w:rPr>
            </w:pPr>
            <w:r>
              <w:rPr>
                <w:rFonts w:cs="Times New Roman"/>
                <w:sz w:val="21"/>
                <w:szCs w:val="21"/>
              </w:rPr>
              <w:t>沉淀池收集处理后回用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0" w:hRule="atLeast"/>
          <w:jc w:val="center"/>
        </w:trPr>
        <w:tc>
          <w:tcPr>
            <w:tcW w:w="820" w:type="dxa"/>
            <w:vMerge w:val="continue"/>
            <w:vAlign w:val="center"/>
          </w:tcPr>
          <w:p>
            <w:pPr>
              <w:jc w:val="center"/>
              <w:rPr>
                <w:rFonts w:cs="Times New Roman"/>
                <w:sz w:val="21"/>
                <w:szCs w:val="21"/>
              </w:rPr>
            </w:pPr>
          </w:p>
        </w:tc>
        <w:tc>
          <w:tcPr>
            <w:tcW w:w="978" w:type="dxa"/>
            <w:vAlign w:val="center"/>
          </w:tcPr>
          <w:p>
            <w:pPr>
              <w:jc w:val="center"/>
              <w:rPr>
                <w:rFonts w:cs="Times New Roman"/>
                <w:sz w:val="21"/>
                <w:szCs w:val="21"/>
              </w:rPr>
            </w:pPr>
            <w:r>
              <w:rPr>
                <w:rFonts w:cs="Times New Roman"/>
                <w:sz w:val="21"/>
                <w:szCs w:val="21"/>
              </w:rPr>
              <w:t>运营期</w:t>
            </w:r>
          </w:p>
        </w:tc>
        <w:tc>
          <w:tcPr>
            <w:tcW w:w="1741" w:type="dxa"/>
            <w:vAlign w:val="center"/>
          </w:tcPr>
          <w:p>
            <w:pPr>
              <w:jc w:val="center"/>
              <w:rPr>
                <w:rFonts w:cs="Times New Roman"/>
                <w:sz w:val="21"/>
                <w:szCs w:val="21"/>
              </w:rPr>
            </w:pPr>
            <w:r>
              <w:rPr>
                <w:rFonts w:hint="eastAsia"/>
                <w:sz w:val="21"/>
                <w:szCs w:val="21"/>
              </w:rPr>
              <w:t>设备、场地冲洗用水</w:t>
            </w:r>
          </w:p>
        </w:tc>
        <w:tc>
          <w:tcPr>
            <w:tcW w:w="2160" w:type="dxa"/>
            <w:vAlign w:val="center"/>
          </w:tcPr>
          <w:p>
            <w:pPr>
              <w:jc w:val="center"/>
              <w:rPr>
                <w:rFonts w:cs="Times New Roman"/>
                <w:sz w:val="21"/>
                <w:szCs w:val="21"/>
              </w:rPr>
            </w:pPr>
            <w:r>
              <w:rPr>
                <w:rFonts w:cs="Times New Roman"/>
                <w:sz w:val="21"/>
                <w:szCs w:val="21"/>
              </w:rPr>
              <w:t>0.8m</w:t>
            </w:r>
            <w:r>
              <w:rPr>
                <w:rFonts w:cs="Times New Roman"/>
                <w:sz w:val="21"/>
                <w:szCs w:val="21"/>
                <w:vertAlign w:val="superscript"/>
              </w:rPr>
              <w:t>3</w:t>
            </w:r>
            <w:r>
              <w:rPr>
                <w:rFonts w:cs="Times New Roman"/>
                <w:sz w:val="21"/>
                <w:szCs w:val="21"/>
              </w:rPr>
              <w:t>/d</w:t>
            </w:r>
          </w:p>
        </w:tc>
        <w:tc>
          <w:tcPr>
            <w:tcW w:w="2851" w:type="dxa"/>
            <w:vAlign w:val="center"/>
          </w:tcPr>
          <w:p>
            <w:pPr>
              <w:pStyle w:val="83"/>
              <w:spacing w:before="0" w:after="0"/>
              <w:jc w:val="center"/>
              <w:rPr>
                <w:rFonts w:cs="Times New Roman"/>
                <w:sz w:val="21"/>
                <w:szCs w:val="21"/>
                <w:lang w:val="zh-CN"/>
              </w:rPr>
            </w:pPr>
            <w:r>
              <w:rPr>
                <w:sz w:val="21"/>
                <w:szCs w:val="21"/>
              </w:rPr>
              <w:t>冲洗废水汇入污水处理站处理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restart"/>
            <w:vAlign w:val="center"/>
          </w:tcPr>
          <w:p>
            <w:pPr>
              <w:jc w:val="center"/>
              <w:rPr>
                <w:rFonts w:cs="Times New Roman"/>
                <w:sz w:val="21"/>
                <w:szCs w:val="21"/>
              </w:rPr>
            </w:pPr>
            <w:r>
              <w:rPr>
                <w:rFonts w:cs="Times New Roman"/>
                <w:sz w:val="21"/>
                <w:szCs w:val="21"/>
              </w:rPr>
              <w:t>固体</w:t>
            </w:r>
          </w:p>
          <w:p>
            <w:pPr>
              <w:jc w:val="center"/>
              <w:rPr>
                <w:rFonts w:cs="Times New Roman"/>
                <w:sz w:val="21"/>
                <w:szCs w:val="21"/>
              </w:rPr>
            </w:pPr>
            <w:r>
              <w:rPr>
                <w:rFonts w:cs="Times New Roman"/>
                <w:sz w:val="21"/>
                <w:szCs w:val="21"/>
              </w:rPr>
              <w:t>废弃物</w:t>
            </w:r>
          </w:p>
        </w:tc>
        <w:tc>
          <w:tcPr>
            <w:tcW w:w="978" w:type="dxa"/>
            <w:vMerge w:val="restart"/>
            <w:vAlign w:val="center"/>
          </w:tcPr>
          <w:p>
            <w:pPr>
              <w:jc w:val="center"/>
              <w:rPr>
                <w:rFonts w:cs="Times New Roman"/>
                <w:sz w:val="21"/>
                <w:szCs w:val="21"/>
              </w:rPr>
            </w:pPr>
            <w:r>
              <w:rPr>
                <w:rFonts w:cs="Times New Roman"/>
                <w:sz w:val="21"/>
                <w:szCs w:val="21"/>
              </w:rPr>
              <w:t>施工期</w:t>
            </w:r>
          </w:p>
        </w:tc>
        <w:tc>
          <w:tcPr>
            <w:tcW w:w="1741" w:type="dxa"/>
            <w:vAlign w:val="center"/>
          </w:tcPr>
          <w:p>
            <w:pPr>
              <w:jc w:val="center"/>
              <w:rPr>
                <w:rFonts w:cs="Times New Roman"/>
                <w:sz w:val="21"/>
                <w:szCs w:val="21"/>
              </w:rPr>
            </w:pPr>
            <w:r>
              <w:rPr>
                <w:rFonts w:cs="Times New Roman"/>
                <w:sz w:val="21"/>
                <w:szCs w:val="21"/>
              </w:rPr>
              <w:t>施工人员生活垃圾</w:t>
            </w:r>
          </w:p>
        </w:tc>
        <w:tc>
          <w:tcPr>
            <w:tcW w:w="2160" w:type="dxa"/>
            <w:vAlign w:val="center"/>
          </w:tcPr>
          <w:p>
            <w:pPr>
              <w:jc w:val="center"/>
              <w:rPr>
                <w:rFonts w:cs="Times New Roman"/>
                <w:sz w:val="21"/>
                <w:szCs w:val="21"/>
              </w:rPr>
            </w:pPr>
            <w:r>
              <w:rPr>
                <w:sz w:val="21"/>
                <w:szCs w:val="21"/>
              </w:rPr>
              <w:t>7.5kg/d</w:t>
            </w:r>
          </w:p>
        </w:tc>
        <w:tc>
          <w:tcPr>
            <w:tcW w:w="2851" w:type="dxa"/>
          </w:tcPr>
          <w:p>
            <w:pPr>
              <w:jc w:val="center"/>
              <w:rPr>
                <w:rFonts w:cs="Times New Roman"/>
                <w:sz w:val="21"/>
                <w:szCs w:val="21"/>
              </w:rPr>
            </w:pPr>
            <w:r>
              <w:rPr>
                <w:sz w:val="21"/>
                <w:szCs w:val="21"/>
              </w:rPr>
              <w:t>施工人员生活垃圾经集中收集后由环卫部门统一处理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continue"/>
            <w:vAlign w:val="center"/>
          </w:tcPr>
          <w:p>
            <w:pPr>
              <w:jc w:val="center"/>
              <w:rPr>
                <w:rFonts w:cs="Times New Roman"/>
                <w:sz w:val="21"/>
                <w:szCs w:val="21"/>
              </w:rPr>
            </w:pPr>
          </w:p>
        </w:tc>
        <w:tc>
          <w:tcPr>
            <w:tcW w:w="1741" w:type="dxa"/>
            <w:vAlign w:val="center"/>
          </w:tcPr>
          <w:p>
            <w:pPr>
              <w:jc w:val="center"/>
              <w:rPr>
                <w:bCs/>
                <w:sz w:val="21"/>
                <w:szCs w:val="21"/>
              </w:rPr>
            </w:pPr>
            <w:r>
              <w:rPr>
                <w:rFonts w:cs="Times New Roman"/>
                <w:sz w:val="21"/>
                <w:szCs w:val="21"/>
              </w:rPr>
              <w:t>建筑</w:t>
            </w:r>
            <w:r>
              <w:rPr>
                <w:rFonts w:hint="eastAsia" w:cs="Times New Roman"/>
                <w:sz w:val="21"/>
                <w:szCs w:val="21"/>
              </w:rPr>
              <w:t>垃圾</w:t>
            </w:r>
          </w:p>
        </w:tc>
        <w:tc>
          <w:tcPr>
            <w:tcW w:w="2160" w:type="dxa"/>
            <w:vAlign w:val="center"/>
          </w:tcPr>
          <w:p>
            <w:pPr>
              <w:jc w:val="center"/>
              <w:rPr>
                <w:bCs/>
                <w:sz w:val="21"/>
                <w:szCs w:val="21"/>
              </w:rPr>
            </w:pPr>
            <w:r>
              <w:rPr>
                <w:sz w:val="21"/>
                <w:szCs w:val="21"/>
              </w:rPr>
              <w:t>主要包括砂石、石块、废混凝土、包装材料等杂物</w:t>
            </w:r>
          </w:p>
        </w:tc>
        <w:tc>
          <w:tcPr>
            <w:tcW w:w="2851" w:type="dxa"/>
          </w:tcPr>
          <w:p>
            <w:pPr>
              <w:jc w:val="center"/>
              <w:rPr>
                <w:sz w:val="21"/>
                <w:szCs w:val="21"/>
              </w:rPr>
            </w:pPr>
            <w:r>
              <w:rPr>
                <w:sz w:val="21"/>
                <w:szCs w:val="21"/>
              </w:rPr>
              <w:t>将建筑垃圾中能回收的废材料、废包装等出售给废品回收公司处理，不能回收的建筑垃圾运往建设部门指定地点处理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continue"/>
            <w:vAlign w:val="center"/>
          </w:tcPr>
          <w:p>
            <w:pPr>
              <w:jc w:val="center"/>
              <w:rPr>
                <w:rFonts w:cs="Times New Roman"/>
                <w:sz w:val="21"/>
                <w:szCs w:val="21"/>
              </w:rPr>
            </w:pPr>
          </w:p>
        </w:tc>
        <w:tc>
          <w:tcPr>
            <w:tcW w:w="1741" w:type="dxa"/>
            <w:vAlign w:val="center"/>
          </w:tcPr>
          <w:p>
            <w:pPr>
              <w:jc w:val="center"/>
              <w:rPr>
                <w:bCs/>
                <w:sz w:val="21"/>
                <w:szCs w:val="21"/>
              </w:rPr>
            </w:pPr>
            <w:r>
              <w:rPr>
                <w:rFonts w:hint="eastAsia" w:cs="Times New Roman"/>
                <w:sz w:val="21"/>
                <w:szCs w:val="21"/>
              </w:rPr>
              <w:t>开挖土方</w:t>
            </w:r>
          </w:p>
        </w:tc>
        <w:tc>
          <w:tcPr>
            <w:tcW w:w="2160" w:type="dxa"/>
            <w:vAlign w:val="center"/>
          </w:tcPr>
          <w:p>
            <w:pPr>
              <w:jc w:val="center"/>
              <w:rPr>
                <w:bCs/>
                <w:sz w:val="21"/>
                <w:szCs w:val="21"/>
              </w:rPr>
            </w:pPr>
            <w:r>
              <w:rPr>
                <w:sz w:val="21"/>
                <w:szCs w:val="21"/>
              </w:rPr>
              <w:t>1355m</w:t>
            </w:r>
            <w:r>
              <w:rPr>
                <w:sz w:val="21"/>
                <w:szCs w:val="21"/>
                <w:vertAlign w:val="superscript"/>
              </w:rPr>
              <w:t>3</w:t>
            </w:r>
          </w:p>
        </w:tc>
        <w:tc>
          <w:tcPr>
            <w:tcW w:w="2851" w:type="dxa"/>
          </w:tcPr>
          <w:p>
            <w:pPr>
              <w:jc w:val="center"/>
              <w:rPr>
                <w:sz w:val="21"/>
                <w:szCs w:val="21"/>
              </w:rPr>
            </w:pPr>
            <w:r>
              <w:rPr>
                <w:rFonts w:hint="eastAsia"/>
                <w:sz w:val="21"/>
                <w:szCs w:val="21"/>
              </w:rPr>
              <w:t>用于回填和污水处理站站内绿化用土。</w:t>
            </w:r>
            <w:r>
              <w:rPr>
                <w:sz w:val="21"/>
                <w:szCs w:val="21"/>
              </w:rPr>
              <w:t>实现土石方平衡，无弃方产生</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restart"/>
            <w:vAlign w:val="center"/>
          </w:tcPr>
          <w:p>
            <w:pPr>
              <w:jc w:val="center"/>
              <w:rPr>
                <w:rFonts w:cs="Times New Roman"/>
                <w:sz w:val="21"/>
                <w:szCs w:val="21"/>
              </w:rPr>
            </w:pPr>
            <w:r>
              <w:rPr>
                <w:rFonts w:cs="Times New Roman"/>
                <w:sz w:val="21"/>
                <w:szCs w:val="21"/>
              </w:rPr>
              <w:t>运营期</w:t>
            </w:r>
          </w:p>
        </w:tc>
        <w:tc>
          <w:tcPr>
            <w:tcW w:w="1741" w:type="dxa"/>
            <w:vAlign w:val="center"/>
          </w:tcPr>
          <w:p>
            <w:pPr>
              <w:jc w:val="center"/>
              <w:rPr>
                <w:bCs/>
                <w:sz w:val="21"/>
                <w:szCs w:val="21"/>
              </w:rPr>
            </w:pPr>
            <w:r>
              <w:rPr>
                <w:bCs/>
                <w:sz w:val="21"/>
                <w:szCs w:val="21"/>
              </w:rPr>
              <w:t>格栅渣</w:t>
            </w:r>
          </w:p>
        </w:tc>
        <w:tc>
          <w:tcPr>
            <w:tcW w:w="2160" w:type="dxa"/>
            <w:vAlign w:val="center"/>
          </w:tcPr>
          <w:p>
            <w:pPr>
              <w:jc w:val="center"/>
              <w:rPr>
                <w:bCs/>
                <w:sz w:val="21"/>
                <w:szCs w:val="21"/>
              </w:rPr>
            </w:pPr>
            <w:r>
              <w:rPr>
                <w:bCs/>
                <w:sz w:val="21"/>
                <w:szCs w:val="21"/>
              </w:rPr>
              <w:t>0.73t/a</w:t>
            </w:r>
          </w:p>
        </w:tc>
        <w:tc>
          <w:tcPr>
            <w:tcW w:w="2851" w:type="dxa"/>
            <w:vAlign w:val="center"/>
          </w:tcPr>
          <w:p>
            <w:pPr>
              <w:jc w:val="center"/>
              <w:rPr>
                <w:sz w:val="21"/>
                <w:szCs w:val="21"/>
              </w:rPr>
            </w:pPr>
            <w:r>
              <w:rPr>
                <w:bCs/>
                <w:sz w:val="21"/>
                <w:szCs w:val="21"/>
              </w:rPr>
              <w:t>交由环卫部门统一清运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continue"/>
            <w:vAlign w:val="center"/>
          </w:tcPr>
          <w:p>
            <w:pPr>
              <w:jc w:val="center"/>
              <w:rPr>
                <w:rFonts w:cs="Times New Roman"/>
                <w:sz w:val="21"/>
                <w:szCs w:val="21"/>
              </w:rPr>
            </w:pPr>
          </w:p>
        </w:tc>
        <w:tc>
          <w:tcPr>
            <w:tcW w:w="1741" w:type="dxa"/>
            <w:vAlign w:val="center"/>
          </w:tcPr>
          <w:p>
            <w:pPr>
              <w:jc w:val="center"/>
              <w:rPr>
                <w:rFonts w:cs="Times New Roman"/>
                <w:sz w:val="21"/>
                <w:szCs w:val="21"/>
              </w:rPr>
            </w:pPr>
            <w:r>
              <w:rPr>
                <w:bCs/>
                <w:sz w:val="21"/>
                <w:szCs w:val="21"/>
              </w:rPr>
              <w:t>污泥</w:t>
            </w:r>
          </w:p>
        </w:tc>
        <w:tc>
          <w:tcPr>
            <w:tcW w:w="2160" w:type="dxa"/>
            <w:vAlign w:val="center"/>
          </w:tcPr>
          <w:p>
            <w:pPr>
              <w:jc w:val="center"/>
              <w:rPr>
                <w:rFonts w:cs="Times New Roman"/>
                <w:sz w:val="21"/>
                <w:szCs w:val="21"/>
              </w:rPr>
            </w:pPr>
            <w:r>
              <w:rPr>
                <w:bCs/>
                <w:sz w:val="21"/>
                <w:szCs w:val="21"/>
              </w:rPr>
              <w:t>3.054t/a</w:t>
            </w:r>
            <w:r>
              <w:rPr>
                <w:rFonts w:hint="eastAsia"/>
                <w:snapToGrid w:val="0"/>
                <w:kern w:val="0"/>
                <w:sz w:val="21"/>
                <w:szCs w:val="21"/>
              </w:rPr>
              <w:t>（绝干污泥）</w:t>
            </w:r>
          </w:p>
        </w:tc>
        <w:tc>
          <w:tcPr>
            <w:tcW w:w="2851" w:type="dxa"/>
            <w:vAlign w:val="center"/>
          </w:tcPr>
          <w:p>
            <w:pPr>
              <w:jc w:val="center"/>
              <w:rPr>
                <w:rFonts w:cs="Times New Roman"/>
                <w:sz w:val="21"/>
                <w:szCs w:val="21"/>
              </w:rPr>
            </w:pPr>
            <w:r>
              <w:rPr>
                <w:rFonts w:hint="eastAsia"/>
                <w:bCs/>
                <w:sz w:val="21"/>
                <w:szCs w:val="21"/>
              </w:rPr>
              <w:t>采用</w:t>
            </w:r>
            <w:r>
              <w:rPr>
                <w:bCs/>
                <w:sz w:val="21"/>
                <w:szCs w:val="21"/>
              </w:rPr>
              <w:t>吸粪车</w:t>
            </w:r>
            <w:r>
              <w:rPr>
                <w:rFonts w:hint="eastAsia"/>
                <w:bCs/>
                <w:sz w:val="21"/>
                <w:szCs w:val="21"/>
              </w:rPr>
              <w:t>定期外运至</w:t>
            </w:r>
            <w:r>
              <w:rPr>
                <w:bCs/>
                <w:sz w:val="21"/>
                <w:szCs w:val="21"/>
              </w:rPr>
              <w:t>峨边县城市生活污水处理厂</w:t>
            </w:r>
            <w:r>
              <w:rPr>
                <w:rFonts w:hint="eastAsia"/>
                <w:bCs/>
                <w:sz w:val="21"/>
                <w:szCs w:val="21"/>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continue"/>
            <w:vAlign w:val="center"/>
          </w:tcPr>
          <w:p>
            <w:pPr>
              <w:jc w:val="center"/>
              <w:rPr>
                <w:rFonts w:cs="Times New Roman"/>
                <w:sz w:val="21"/>
                <w:szCs w:val="21"/>
              </w:rPr>
            </w:pPr>
          </w:p>
        </w:tc>
        <w:tc>
          <w:tcPr>
            <w:tcW w:w="1741" w:type="dxa"/>
            <w:vAlign w:val="center"/>
          </w:tcPr>
          <w:p>
            <w:pPr>
              <w:jc w:val="center"/>
              <w:rPr>
                <w:rFonts w:cs="Times New Roman"/>
                <w:sz w:val="21"/>
                <w:szCs w:val="21"/>
              </w:rPr>
            </w:pPr>
            <w:r>
              <w:rPr>
                <w:bCs/>
                <w:sz w:val="21"/>
                <w:szCs w:val="21"/>
              </w:rPr>
              <w:t>生活垃圾</w:t>
            </w:r>
          </w:p>
        </w:tc>
        <w:tc>
          <w:tcPr>
            <w:tcW w:w="2160" w:type="dxa"/>
            <w:vAlign w:val="center"/>
          </w:tcPr>
          <w:p>
            <w:pPr>
              <w:jc w:val="center"/>
              <w:rPr>
                <w:rFonts w:cs="Times New Roman"/>
                <w:sz w:val="21"/>
                <w:szCs w:val="21"/>
              </w:rPr>
            </w:pPr>
            <w:r>
              <w:rPr>
                <w:bCs/>
                <w:sz w:val="21"/>
                <w:szCs w:val="21"/>
              </w:rPr>
              <w:t>0.18t/a</w:t>
            </w:r>
          </w:p>
        </w:tc>
        <w:tc>
          <w:tcPr>
            <w:tcW w:w="2851" w:type="dxa"/>
            <w:vAlign w:val="center"/>
          </w:tcPr>
          <w:p>
            <w:pPr>
              <w:jc w:val="center"/>
              <w:rPr>
                <w:rFonts w:cs="Times New Roman"/>
                <w:sz w:val="21"/>
                <w:szCs w:val="21"/>
              </w:rPr>
            </w:pPr>
            <w:r>
              <w:rPr>
                <w:bCs/>
                <w:sz w:val="21"/>
                <w:szCs w:val="21"/>
              </w:rPr>
              <w:t>交由环卫部门统一清运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Merge w:val="continue"/>
            <w:vAlign w:val="center"/>
          </w:tcPr>
          <w:p>
            <w:pPr>
              <w:jc w:val="center"/>
              <w:rPr>
                <w:rFonts w:cs="Times New Roman"/>
                <w:sz w:val="21"/>
                <w:szCs w:val="21"/>
              </w:rPr>
            </w:pPr>
          </w:p>
        </w:tc>
        <w:tc>
          <w:tcPr>
            <w:tcW w:w="1741" w:type="dxa"/>
            <w:vAlign w:val="center"/>
          </w:tcPr>
          <w:p>
            <w:pPr>
              <w:jc w:val="center"/>
              <w:rPr>
                <w:rFonts w:cs="Times New Roman"/>
                <w:sz w:val="21"/>
                <w:szCs w:val="21"/>
              </w:rPr>
            </w:pPr>
            <w:r>
              <w:rPr>
                <w:bCs/>
                <w:sz w:val="21"/>
                <w:szCs w:val="21"/>
              </w:rPr>
              <w:t>废填料</w:t>
            </w:r>
          </w:p>
        </w:tc>
        <w:tc>
          <w:tcPr>
            <w:tcW w:w="2160" w:type="dxa"/>
            <w:vAlign w:val="center"/>
          </w:tcPr>
          <w:p>
            <w:pPr>
              <w:jc w:val="center"/>
              <w:rPr>
                <w:rFonts w:cs="Times New Roman"/>
                <w:sz w:val="21"/>
                <w:szCs w:val="21"/>
              </w:rPr>
            </w:pPr>
            <w:r>
              <w:rPr>
                <w:bCs/>
                <w:sz w:val="21"/>
                <w:szCs w:val="21"/>
              </w:rPr>
              <w:t>0.</w:t>
            </w:r>
            <w:r>
              <w:rPr>
                <w:rFonts w:hint="eastAsia"/>
                <w:bCs/>
                <w:sz w:val="21"/>
                <w:szCs w:val="21"/>
              </w:rPr>
              <w:t>0</w:t>
            </w:r>
            <w:r>
              <w:rPr>
                <w:bCs/>
                <w:sz w:val="21"/>
                <w:szCs w:val="21"/>
              </w:rPr>
              <w:t>5</w:t>
            </w:r>
            <w:r>
              <w:rPr>
                <w:snapToGrid w:val="0"/>
                <w:kern w:val="0"/>
                <w:sz w:val="21"/>
                <w:szCs w:val="21"/>
              </w:rPr>
              <w:t>t/a</w:t>
            </w:r>
          </w:p>
        </w:tc>
        <w:tc>
          <w:tcPr>
            <w:tcW w:w="2851" w:type="dxa"/>
            <w:vAlign w:val="center"/>
          </w:tcPr>
          <w:p>
            <w:pPr>
              <w:jc w:val="center"/>
              <w:rPr>
                <w:rFonts w:cs="Times New Roman"/>
                <w:sz w:val="21"/>
                <w:szCs w:val="21"/>
              </w:rPr>
            </w:pPr>
            <w:r>
              <w:rPr>
                <w:sz w:val="21"/>
                <w:szCs w:val="21"/>
              </w:rPr>
              <w:t>统一收集后</w:t>
            </w:r>
            <w:r>
              <w:rPr>
                <w:snapToGrid w:val="0"/>
                <w:kern w:val="0"/>
                <w:sz w:val="21"/>
                <w:szCs w:val="21"/>
              </w:rPr>
              <w:t>交由厂家回收利用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restart"/>
            <w:vAlign w:val="center"/>
          </w:tcPr>
          <w:p>
            <w:pPr>
              <w:jc w:val="center"/>
              <w:rPr>
                <w:rFonts w:cs="Times New Roman"/>
                <w:sz w:val="21"/>
                <w:szCs w:val="21"/>
              </w:rPr>
            </w:pPr>
            <w:r>
              <w:rPr>
                <w:rFonts w:cs="Times New Roman"/>
                <w:sz w:val="21"/>
                <w:szCs w:val="21"/>
              </w:rPr>
              <w:t>噪声</w:t>
            </w:r>
          </w:p>
        </w:tc>
        <w:tc>
          <w:tcPr>
            <w:tcW w:w="978" w:type="dxa"/>
            <w:vAlign w:val="center"/>
          </w:tcPr>
          <w:p>
            <w:pPr>
              <w:jc w:val="center"/>
              <w:rPr>
                <w:rFonts w:cs="Times New Roman"/>
                <w:sz w:val="21"/>
                <w:szCs w:val="21"/>
              </w:rPr>
            </w:pPr>
            <w:r>
              <w:rPr>
                <w:rFonts w:cs="Times New Roman"/>
                <w:sz w:val="21"/>
                <w:szCs w:val="21"/>
              </w:rPr>
              <w:t>施工期</w:t>
            </w:r>
          </w:p>
        </w:tc>
        <w:tc>
          <w:tcPr>
            <w:tcW w:w="1741" w:type="dxa"/>
            <w:vAlign w:val="center"/>
          </w:tcPr>
          <w:p>
            <w:pPr>
              <w:jc w:val="center"/>
              <w:rPr>
                <w:rFonts w:cs="Times New Roman"/>
                <w:sz w:val="21"/>
                <w:szCs w:val="21"/>
              </w:rPr>
            </w:pPr>
            <w:r>
              <w:rPr>
                <w:rFonts w:cs="Times New Roman"/>
                <w:sz w:val="21"/>
                <w:szCs w:val="21"/>
              </w:rPr>
              <w:t>施工噪声</w:t>
            </w:r>
          </w:p>
        </w:tc>
        <w:tc>
          <w:tcPr>
            <w:tcW w:w="5011" w:type="dxa"/>
            <w:gridSpan w:val="2"/>
            <w:vAlign w:val="center"/>
          </w:tcPr>
          <w:p>
            <w:pPr>
              <w:jc w:val="center"/>
              <w:rPr>
                <w:rFonts w:cs="Times New Roman"/>
                <w:sz w:val="21"/>
                <w:szCs w:val="21"/>
              </w:rPr>
            </w:pPr>
            <w:r>
              <w:rPr>
                <w:rFonts w:cs="Times New Roman"/>
                <w:sz w:val="21"/>
                <w:szCs w:val="21"/>
              </w:rPr>
              <w:t>昼间≤70dB（A），夜间≤55dB（A）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20" w:type="dxa"/>
            <w:vMerge w:val="continue"/>
            <w:vAlign w:val="center"/>
          </w:tcPr>
          <w:p>
            <w:pPr>
              <w:jc w:val="center"/>
              <w:rPr>
                <w:rFonts w:cs="Times New Roman"/>
                <w:sz w:val="21"/>
                <w:szCs w:val="21"/>
              </w:rPr>
            </w:pPr>
          </w:p>
        </w:tc>
        <w:tc>
          <w:tcPr>
            <w:tcW w:w="978" w:type="dxa"/>
            <w:vAlign w:val="center"/>
          </w:tcPr>
          <w:p>
            <w:pPr>
              <w:jc w:val="center"/>
              <w:rPr>
                <w:rFonts w:cs="Times New Roman"/>
                <w:sz w:val="21"/>
                <w:szCs w:val="21"/>
              </w:rPr>
            </w:pPr>
            <w:r>
              <w:rPr>
                <w:rFonts w:cs="Times New Roman"/>
                <w:sz w:val="21"/>
                <w:szCs w:val="21"/>
              </w:rPr>
              <w:t>运营期</w:t>
            </w:r>
          </w:p>
        </w:tc>
        <w:tc>
          <w:tcPr>
            <w:tcW w:w="1741" w:type="dxa"/>
            <w:vAlign w:val="center"/>
          </w:tcPr>
          <w:p>
            <w:pPr>
              <w:jc w:val="center"/>
              <w:rPr>
                <w:rFonts w:cs="Times New Roman"/>
                <w:sz w:val="21"/>
                <w:szCs w:val="21"/>
              </w:rPr>
            </w:pPr>
            <w:r>
              <w:rPr>
                <w:rFonts w:cs="Times New Roman"/>
                <w:sz w:val="21"/>
                <w:szCs w:val="21"/>
              </w:rPr>
              <w:t>厂界噪声</w:t>
            </w:r>
          </w:p>
        </w:tc>
        <w:tc>
          <w:tcPr>
            <w:tcW w:w="5011" w:type="dxa"/>
            <w:gridSpan w:val="2"/>
            <w:vAlign w:val="center"/>
          </w:tcPr>
          <w:p>
            <w:pPr>
              <w:jc w:val="center"/>
              <w:rPr>
                <w:rFonts w:cs="Times New Roman"/>
                <w:spacing w:val="-6"/>
                <w:sz w:val="21"/>
                <w:szCs w:val="21"/>
              </w:rPr>
            </w:pPr>
            <w:r>
              <w:rPr>
                <w:rFonts w:cs="Times New Roman"/>
                <w:sz w:val="21"/>
                <w:szCs w:val="21"/>
              </w:rPr>
              <w:t>场界内：昼间≤60dB</w:t>
            </w:r>
            <w:r>
              <w:rPr>
                <w:rFonts w:cs="Times New Roman"/>
                <w:spacing w:val="-6"/>
                <w:sz w:val="21"/>
                <w:szCs w:val="21"/>
              </w:rPr>
              <w:t>（A）</w:t>
            </w:r>
            <w:r>
              <w:rPr>
                <w:rFonts w:cs="Times New Roman"/>
                <w:sz w:val="21"/>
                <w:szCs w:val="21"/>
              </w:rPr>
              <w:t>，夜间≤50dB</w:t>
            </w:r>
            <w:r>
              <w:rPr>
                <w:rFonts w:cs="Times New Roman"/>
                <w:spacing w:val="-6"/>
                <w:sz w:val="21"/>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550" w:type="dxa"/>
            <w:gridSpan w:val="5"/>
          </w:tcPr>
          <w:p>
            <w:pPr>
              <w:spacing w:line="360" w:lineRule="auto"/>
              <w:ind w:firstLine="482" w:firstLineChars="200"/>
              <w:rPr>
                <w:rFonts w:cs="Times New Roman"/>
                <w:b/>
                <w:bCs/>
                <w:szCs w:val="24"/>
              </w:rPr>
            </w:pPr>
            <w:r>
              <w:rPr>
                <w:rFonts w:cs="Times New Roman"/>
                <w:b/>
                <w:bCs/>
                <w:szCs w:val="24"/>
              </w:rPr>
              <w:t>主要生态影响：</w:t>
            </w:r>
          </w:p>
          <w:p>
            <w:pPr>
              <w:tabs>
                <w:tab w:val="left" w:pos="630"/>
              </w:tabs>
              <w:adjustRightInd w:val="0"/>
              <w:snapToGrid w:val="0"/>
              <w:spacing w:line="360" w:lineRule="auto"/>
              <w:ind w:firstLine="480" w:firstLineChars="200"/>
            </w:pPr>
            <w:r>
              <w:t>本工程对生态环境的影响主要在施工期，运营期通过对区域生活污水的治理，对改善当地水生生态具有良好的环境正效益。拟建项目对生态环境的影响主要是施工期对区域内植被的影响和可能产生的水土流失影响。对临时施工场地，在其周边设置排水沟，排水沟断面尺寸根据施工场地大小确定。污水厂道路边要种植树木，力求不见裸露土壤。厂外设置截洪沟、排水沟。施工弃土的处置和利用应先制定周密的计划，合理开挖土石方并尽可能采取回填利用。四周设置必要的排水沟、排洪管道或挡土墙。严禁随意倾倒，避免弃土和弃渣被雨水冲入河沟。</w:t>
            </w:r>
          </w:p>
          <w:p>
            <w:pPr>
              <w:pStyle w:val="25"/>
              <w:adjustRightInd w:val="0"/>
              <w:snapToGrid w:val="0"/>
              <w:ind w:firstLine="480" w:firstLineChars="200"/>
              <w:rPr>
                <w:b w:val="0"/>
                <w:bCs/>
              </w:rPr>
            </w:pPr>
            <w:r>
              <w:rPr>
                <w:b w:val="0"/>
                <w:bCs/>
              </w:rPr>
              <w:t>该项目建设时间不长，只要施工期加强管理，并采取合理的保护措施，施工期对周围生态环境的影响在可接受范围之内。</w:t>
            </w:r>
          </w:p>
          <w:p>
            <w:pPr>
              <w:pStyle w:val="25"/>
              <w:adjustRightInd w:val="0"/>
              <w:snapToGrid w:val="0"/>
              <w:ind w:firstLine="480" w:firstLineChars="200"/>
              <w:rPr>
                <w:rFonts w:cs="Times New Roman"/>
                <w:szCs w:val="24"/>
              </w:rPr>
            </w:pPr>
            <w:r>
              <w:rPr>
                <w:b w:val="0"/>
                <w:bCs/>
              </w:rPr>
              <w:t>本项目建设区域内无成片原生林和次生林分布，无天然珍稀野生动植物及古、大、珍、奇树木分布，不涉及自然保护区、风景名胜区的敏感点。本项目的运营，将区域生活污水处理后达标排放，在很大程度上改善区域水质，亦有利于区域水生环境的改善，因此，项目运营对区域水生生态环境具有良好的正效益。</w:t>
            </w: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rPr>
                <w:rFonts w:cs="Times New Roman"/>
                <w:szCs w:val="24"/>
              </w:rPr>
            </w:pPr>
          </w:p>
        </w:tc>
      </w:tr>
    </w:tbl>
    <w:p>
      <w:pPr>
        <w:outlineLvl w:val="0"/>
        <w:rPr>
          <w:rFonts w:cs="Times New Roman"/>
          <w:b/>
          <w:sz w:val="30"/>
          <w:szCs w:val="30"/>
        </w:rPr>
        <w:sectPr>
          <w:pgSz w:w="11906" w:h="16838"/>
          <w:pgMar w:top="1814" w:right="1673" w:bottom="1814" w:left="1673" w:header="851" w:footer="958" w:gutter="0"/>
          <w:cols w:space="720" w:num="1"/>
          <w:docGrid w:linePitch="312" w:charSpace="0"/>
        </w:sectPr>
      </w:pPr>
    </w:p>
    <w:p>
      <w:pPr>
        <w:outlineLvl w:val="0"/>
        <w:rPr>
          <w:rFonts w:cs="Times New Roman"/>
          <w:b/>
          <w:sz w:val="30"/>
          <w:szCs w:val="30"/>
        </w:rPr>
      </w:pPr>
      <w:r>
        <w:rPr>
          <w:rFonts w:cs="Times New Roman"/>
          <w:b/>
          <w:sz w:val="30"/>
          <w:szCs w:val="30"/>
        </w:rPr>
        <w:t>环境影响分析（表七）</w:t>
      </w:r>
    </w:p>
    <w:tbl>
      <w:tblPr>
        <w:tblStyle w:val="3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4" w:hRule="atLeast"/>
          <w:jc w:val="center"/>
        </w:trPr>
        <w:tc>
          <w:tcPr>
            <w:tcW w:w="8528" w:type="dxa"/>
          </w:tcPr>
          <w:p>
            <w:pPr>
              <w:spacing w:before="120" w:after="120" w:line="480" w:lineRule="exact"/>
              <w:rPr>
                <w:rFonts w:cs="Times New Roman"/>
                <w:b/>
                <w:sz w:val="28"/>
                <w:szCs w:val="28"/>
              </w:rPr>
            </w:pPr>
            <w:r>
              <w:rPr>
                <w:rFonts w:cs="Times New Roman"/>
                <w:b/>
                <w:sz w:val="28"/>
                <w:szCs w:val="28"/>
              </w:rPr>
              <w:t>一、施工期环境影响分析</w:t>
            </w:r>
          </w:p>
          <w:p>
            <w:pPr>
              <w:spacing w:line="360" w:lineRule="auto"/>
              <w:textAlignment w:val="center"/>
              <w:rPr>
                <w:rFonts w:cs="Times New Roman"/>
                <w:b/>
                <w:szCs w:val="24"/>
              </w:rPr>
            </w:pPr>
            <w:r>
              <w:rPr>
                <w:rFonts w:cs="Times New Roman"/>
                <w:b/>
                <w:szCs w:val="24"/>
              </w:rPr>
              <w:t>（一）施工期大气环境影响分析</w:t>
            </w:r>
          </w:p>
          <w:p>
            <w:pPr>
              <w:adjustRightInd w:val="0"/>
              <w:snapToGrid w:val="0"/>
              <w:spacing w:line="360" w:lineRule="auto"/>
              <w:ind w:firstLine="480" w:firstLineChars="200"/>
            </w:pPr>
            <w:r>
              <w:t>本项目施工期间引起的环境影响主要包括：施工扬尘、施工噪声、施工人员生活污水和建筑垃圾等。</w:t>
            </w:r>
          </w:p>
          <w:p>
            <w:pPr>
              <w:adjustRightInd w:val="0"/>
              <w:snapToGrid w:val="0"/>
              <w:spacing w:line="360" w:lineRule="auto"/>
              <w:ind w:firstLine="482" w:firstLineChars="200"/>
              <w:rPr>
                <w:b/>
                <w:bCs/>
              </w:rPr>
            </w:pPr>
            <w:r>
              <w:rPr>
                <w:b/>
                <w:bCs/>
              </w:rPr>
              <w:t>1.1大气环境影响分析</w:t>
            </w:r>
          </w:p>
          <w:p>
            <w:pPr>
              <w:adjustRightInd w:val="0"/>
              <w:snapToGrid w:val="0"/>
              <w:spacing w:line="360" w:lineRule="auto"/>
              <w:ind w:firstLine="480" w:firstLineChars="200"/>
              <w:rPr>
                <w:kern w:val="0"/>
              </w:rPr>
            </w:pPr>
            <w:r>
              <w:rPr>
                <w:kern w:val="0"/>
              </w:rPr>
              <w:t>（1）施工扬尘</w:t>
            </w:r>
          </w:p>
          <w:p>
            <w:pPr>
              <w:adjustRightInd w:val="0"/>
              <w:snapToGrid w:val="0"/>
              <w:spacing w:line="360" w:lineRule="auto"/>
              <w:ind w:firstLine="480" w:firstLineChars="200"/>
              <w:rPr>
                <w:kern w:val="0"/>
              </w:rPr>
            </w:pPr>
            <w:r>
              <w:rPr>
                <w:kern w:val="0"/>
              </w:rPr>
              <w:t>施工期间的扬尘主要来自汽车扬尘、物料堆场产生的风力扬尘。</w:t>
            </w:r>
          </w:p>
          <w:p>
            <w:pPr>
              <w:adjustRightInd w:val="0"/>
              <w:snapToGrid w:val="0"/>
              <w:spacing w:line="360" w:lineRule="auto"/>
              <w:ind w:firstLine="480" w:firstLineChars="200"/>
              <w:rPr>
                <w:kern w:val="0"/>
              </w:rPr>
            </w:pPr>
            <w:r>
              <w:rPr>
                <w:kern w:val="0"/>
              </w:rPr>
              <w:t>①汽车行驶扬尘</w:t>
            </w:r>
          </w:p>
          <w:p>
            <w:pPr>
              <w:adjustRightInd w:val="0"/>
              <w:snapToGrid w:val="0"/>
              <w:spacing w:line="360" w:lineRule="auto"/>
              <w:ind w:firstLine="480" w:firstLineChars="200"/>
              <w:rPr>
                <w:kern w:val="0"/>
              </w:rPr>
            </w:pPr>
            <w:r>
              <w:rPr>
                <w:kern w:val="0"/>
              </w:rPr>
              <w:t>汽车行驶扬尘主要为路面扬尘以及由车辆车轮附带的泥土产生的扬尘，本项目利用周边已建成水泥和沥青路面，相比砂石、泥土等路面，含尘量少，为此，由道路路面引起的路面扬尘基本可忽略。</w:t>
            </w:r>
          </w:p>
          <w:p>
            <w:pPr>
              <w:adjustRightInd w:val="0"/>
              <w:snapToGrid w:val="0"/>
              <w:spacing w:line="360" w:lineRule="auto"/>
              <w:ind w:firstLine="480" w:firstLineChars="200"/>
              <w:rPr>
                <w:kern w:val="0"/>
              </w:rPr>
            </w:pPr>
            <w:r>
              <w:rPr>
                <w:kern w:val="0"/>
              </w:rPr>
              <w:t>本项目汽车行驶扬尘主要有施工场地便道路面以及施工车辆车轮上附带的泥土掉落至路面产生的扬尘，根据有关资料分析，汽车行驶扬尘其产生量与路面含尘量、汽车车型、车速等有关，根据有关文献资料介绍，施工过程中，车辆行驶产生的扬尘占总扬尘的60%以上。</w:t>
            </w:r>
          </w:p>
          <w:p>
            <w:pPr>
              <w:adjustRightInd w:val="0"/>
              <w:snapToGrid w:val="0"/>
              <w:spacing w:line="360" w:lineRule="auto"/>
              <w:ind w:firstLine="480" w:firstLineChars="200"/>
              <w:rPr>
                <w:kern w:val="0"/>
              </w:rPr>
            </w:pPr>
            <w:r>
              <w:rPr>
                <w:kern w:val="0"/>
              </w:rPr>
              <w:t>车辆行驶产生的扬尘，在完全干燥的情况下，可按以下经验公式计算：</w:t>
            </w:r>
          </w:p>
          <w:p>
            <w:pPr>
              <w:adjustRightInd w:val="0"/>
              <w:snapToGrid w:val="0"/>
              <w:spacing w:line="360" w:lineRule="auto"/>
              <w:ind w:firstLine="480" w:firstLineChars="200"/>
              <w:jc w:val="center"/>
            </w:pPr>
            <w:r>
              <w:rPr>
                <w:position w:val="-28"/>
              </w:rPr>
              <w:object>
                <v:shape id="_x0000_i1030" o:spt="75" type="#_x0000_t75" style="height:36.55pt;width:159.05pt;" o:ole="t" filled="f" o:preferrelative="t" stroked="f" coordsize="21600,21600">
                  <v:path/>
                  <v:fill on="f" focussize="0,0"/>
                  <v:stroke on="f" joinstyle="miter"/>
                  <v:imagedata r:id="rId29" o:title=""/>
                  <o:lock v:ext="edit" aspectratio="t"/>
                  <w10:wrap type="none"/>
                  <w10:anchorlock/>
                </v:shape>
                <o:OLEObject Type="Embed" ProgID="Equation.DSMT4" ShapeID="_x0000_i1030" DrawAspect="Content" ObjectID="_1468075730" r:id="rId28">
                  <o:LockedField>false</o:LockedField>
                </o:OLEObject>
              </w:object>
            </w:r>
          </w:p>
          <w:p>
            <w:pPr>
              <w:adjustRightInd w:val="0"/>
              <w:snapToGrid w:val="0"/>
              <w:spacing w:line="360" w:lineRule="auto"/>
              <w:ind w:firstLine="480" w:firstLineChars="200"/>
              <w:rPr>
                <w:kern w:val="0"/>
              </w:rPr>
            </w:pPr>
            <w:r>
              <w:rPr>
                <w:kern w:val="0"/>
              </w:rPr>
              <w:t>式中：</w:t>
            </w:r>
            <w:r>
              <w:rPr>
                <w:i/>
                <w:kern w:val="0"/>
              </w:rPr>
              <w:t>Q</w:t>
            </w:r>
            <w:r>
              <w:rPr>
                <w:kern w:val="0"/>
              </w:rPr>
              <w:t>—汽车行驶的扬尘，kg/km•辆；</w:t>
            </w:r>
          </w:p>
          <w:p>
            <w:pPr>
              <w:adjustRightInd w:val="0"/>
              <w:snapToGrid w:val="0"/>
              <w:spacing w:line="360" w:lineRule="auto"/>
              <w:ind w:firstLine="480" w:firstLineChars="200"/>
              <w:rPr>
                <w:kern w:val="0"/>
              </w:rPr>
            </w:pPr>
            <w:r>
              <w:rPr>
                <w:i/>
                <w:kern w:val="0"/>
              </w:rPr>
              <w:t>V</w:t>
            </w:r>
            <w:r>
              <w:rPr>
                <w:kern w:val="0"/>
              </w:rPr>
              <w:t>—汽车行驶速度，km/h；</w:t>
            </w:r>
          </w:p>
          <w:p>
            <w:pPr>
              <w:adjustRightInd w:val="0"/>
              <w:snapToGrid w:val="0"/>
              <w:spacing w:line="360" w:lineRule="auto"/>
              <w:ind w:firstLine="480" w:firstLineChars="200"/>
              <w:rPr>
                <w:kern w:val="0"/>
              </w:rPr>
            </w:pPr>
            <w:r>
              <w:rPr>
                <w:i/>
                <w:kern w:val="0"/>
              </w:rPr>
              <w:t>W</w:t>
            </w:r>
            <w:r>
              <w:rPr>
                <w:kern w:val="0"/>
              </w:rPr>
              <w:t>—汽车载重量，t；</w:t>
            </w:r>
          </w:p>
          <w:p>
            <w:pPr>
              <w:adjustRightInd w:val="0"/>
              <w:snapToGrid w:val="0"/>
              <w:spacing w:line="360" w:lineRule="auto"/>
              <w:ind w:firstLine="480" w:firstLineChars="200"/>
              <w:rPr>
                <w:kern w:val="0"/>
              </w:rPr>
            </w:pPr>
            <w:r>
              <w:rPr>
                <w:i/>
                <w:kern w:val="0"/>
              </w:rPr>
              <w:t>P</w:t>
            </w:r>
            <w:r>
              <w:rPr>
                <w:kern w:val="0"/>
              </w:rPr>
              <w:t>—道路表面粉尘量，kg/m</w:t>
            </w:r>
            <w:r>
              <w:rPr>
                <w:vertAlign w:val="superscript"/>
              </w:rPr>
              <w:t>2</w:t>
            </w:r>
            <w:r>
              <w:rPr>
                <w:kern w:val="0"/>
              </w:rPr>
              <w:t>。</w:t>
            </w:r>
          </w:p>
          <w:p>
            <w:pPr>
              <w:adjustRightInd w:val="0"/>
              <w:snapToGrid w:val="0"/>
              <w:spacing w:line="360" w:lineRule="auto"/>
              <w:ind w:firstLine="480" w:firstLineChars="200"/>
              <w:rPr>
                <w:kern w:val="0"/>
              </w:rPr>
            </w:pPr>
            <w:r>
              <w:rPr>
                <w:kern w:val="0"/>
              </w:rPr>
              <w:t>表7-1为一辆5吨卡车通过一段长度为1km的路面时，不同路面清洁程度、不同行驶速度条件下，产生的扬尘量。</w:t>
            </w:r>
          </w:p>
          <w:p>
            <w:pPr>
              <w:widowControl/>
              <w:adjustRightInd w:val="0"/>
              <w:snapToGrid w:val="0"/>
              <w:spacing w:line="480" w:lineRule="exact"/>
              <w:ind w:right="106" w:rightChars="44"/>
              <w:jc w:val="center"/>
              <w:rPr>
                <w:rFonts w:eastAsia="黑体"/>
                <w:bCs/>
              </w:rPr>
            </w:pPr>
            <w:r>
              <w:rPr>
                <w:rFonts w:cs="Times New Roman"/>
                <w:b/>
                <w:szCs w:val="24"/>
              </w:rPr>
              <w:t xml:space="preserve">表7-1  不同车速和路面清洁程度条件下的汽车扬尘 </w:t>
            </w:r>
            <w:r>
              <w:rPr>
                <w:rFonts w:eastAsia="黑体"/>
                <w:bCs/>
              </w:rPr>
              <w:t xml:space="preserve">   </w:t>
            </w:r>
          </w:p>
          <w:p>
            <w:pPr>
              <w:spacing w:line="360" w:lineRule="auto"/>
              <w:jc w:val="right"/>
              <w:rPr>
                <w:b/>
                <w:sz w:val="21"/>
                <w:szCs w:val="21"/>
              </w:rPr>
            </w:pPr>
            <w:r>
              <w:rPr>
                <w:rFonts w:eastAsia="黑体"/>
                <w:bCs/>
              </w:rPr>
              <w:t>单位：kg/辆·km</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9"/>
              <w:gridCol w:w="1158"/>
              <w:gridCol w:w="1159"/>
              <w:gridCol w:w="1159"/>
              <w:gridCol w:w="1159"/>
              <w:gridCol w:w="1159"/>
              <w:gridCol w:w="1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349" w:type="dxa"/>
                  <w:vAlign w:val="center"/>
                </w:tcPr>
                <w:p>
                  <w:pPr>
                    <w:adjustRightInd w:val="0"/>
                    <w:snapToGrid w:val="0"/>
                    <w:jc w:val="center"/>
                    <w:rPr>
                      <w:b/>
                      <w:bCs/>
                      <w:sz w:val="21"/>
                      <w:szCs w:val="21"/>
                    </w:rPr>
                  </w:pPr>
                  <w:r>
                    <w:rPr>
                      <w:b/>
                      <w:bCs/>
                      <w:sz w:val="21"/>
                      <w:szCs w:val="21"/>
                    </w:rPr>
                    <w:t>车速P</w:t>
                  </w:r>
                </w:p>
              </w:tc>
              <w:tc>
                <w:tcPr>
                  <w:tcW w:w="1158" w:type="dxa"/>
                  <w:vAlign w:val="center"/>
                </w:tcPr>
                <w:p>
                  <w:pPr>
                    <w:adjustRightInd w:val="0"/>
                    <w:snapToGrid w:val="0"/>
                    <w:jc w:val="center"/>
                    <w:rPr>
                      <w:b/>
                      <w:bCs/>
                      <w:sz w:val="21"/>
                      <w:szCs w:val="21"/>
                    </w:rPr>
                  </w:pPr>
                  <w:r>
                    <w:rPr>
                      <w:b/>
                      <w:bCs/>
                      <w:sz w:val="21"/>
                      <w:szCs w:val="21"/>
                    </w:rPr>
                    <w:t>0.1kg/m</w:t>
                  </w:r>
                  <w:r>
                    <w:rPr>
                      <w:b/>
                      <w:bCs/>
                      <w:sz w:val="21"/>
                      <w:szCs w:val="21"/>
                      <w:vertAlign w:val="superscript"/>
                    </w:rPr>
                    <w:t>2</w:t>
                  </w:r>
                </w:p>
              </w:tc>
              <w:tc>
                <w:tcPr>
                  <w:tcW w:w="1159" w:type="dxa"/>
                  <w:vAlign w:val="center"/>
                </w:tcPr>
                <w:p>
                  <w:pPr>
                    <w:adjustRightInd w:val="0"/>
                    <w:snapToGrid w:val="0"/>
                    <w:jc w:val="center"/>
                    <w:rPr>
                      <w:b/>
                      <w:bCs/>
                      <w:sz w:val="21"/>
                      <w:szCs w:val="21"/>
                    </w:rPr>
                  </w:pPr>
                  <w:r>
                    <w:rPr>
                      <w:b/>
                      <w:bCs/>
                      <w:sz w:val="21"/>
                      <w:szCs w:val="21"/>
                    </w:rPr>
                    <w:t>0.2 kg/m</w:t>
                  </w:r>
                  <w:r>
                    <w:rPr>
                      <w:b/>
                      <w:bCs/>
                      <w:sz w:val="21"/>
                      <w:szCs w:val="21"/>
                      <w:vertAlign w:val="superscript"/>
                    </w:rPr>
                    <w:t>2</w:t>
                  </w:r>
                </w:p>
              </w:tc>
              <w:tc>
                <w:tcPr>
                  <w:tcW w:w="1159" w:type="dxa"/>
                  <w:vAlign w:val="center"/>
                </w:tcPr>
                <w:p>
                  <w:pPr>
                    <w:adjustRightInd w:val="0"/>
                    <w:snapToGrid w:val="0"/>
                    <w:jc w:val="center"/>
                    <w:rPr>
                      <w:b/>
                      <w:bCs/>
                      <w:sz w:val="21"/>
                      <w:szCs w:val="21"/>
                    </w:rPr>
                  </w:pPr>
                  <w:r>
                    <w:rPr>
                      <w:b/>
                      <w:bCs/>
                      <w:sz w:val="21"/>
                      <w:szCs w:val="21"/>
                    </w:rPr>
                    <w:t>0.3 kg/m</w:t>
                  </w:r>
                  <w:r>
                    <w:rPr>
                      <w:b/>
                      <w:bCs/>
                      <w:sz w:val="21"/>
                      <w:szCs w:val="21"/>
                      <w:vertAlign w:val="superscript"/>
                    </w:rPr>
                    <w:t>2</w:t>
                  </w:r>
                </w:p>
              </w:tc>
              <w:tc>
                <w:tcPr>
                  <w:tcW w:w="1159" w:type="dxa"/>
                  <w:vAlign w:val="center"/>
                </w:tcPr>
                <w:p>
                  <w:pPr>
                    <w:adjustRightInd w:val="0"/>
                    <w:snapToGrid w:val="0"/>
                    <w:jc w:val="center"/>
                    <w:rPr>
                      <w:b/>
                      <w:bCs/>
                      <w:sz w:val="21"/>
                      <w:szCs w:val="21"/>
                    </w:rPr>
                  </w:pPr>
                  <w:r>
                    <w:rPr>
                      <w:b/>
                      <w:bCs/>
                      <w:sz w:val="21"/>
                      <w:szCs w:val="21"/>
                    </w:rPr>
                    <w:t>0.4 kg/m</w:t>
                  </w:r>
                  <w:r>
                    <w:rPr>
                      <w:b/>
                      <w:bCs/>
                      <w:sz w:val="21"/>
                      <w:szCs w:val="21"/>
                      <w:vertAlign w:val="superscript"/>
                    </w:rPr>
                    <w:t>2</w:t>
                  </w:r>
                </w:p>
              </w:tc>
              <w:tc>
                <w:tcPr>
                  <w:tcW w:w="1159" w:type="dxa"/>
                  <w:vAlign w:val="center"/>
                </w:tcPr>
                <w:p>
                  <w:pPr>
                    <w:adjustRightInd w:val="0"/>
                    <w:snapToGrid w:val="0"/>
                    <w:jc w:val="center"/>
                    <w:rPr>
                      <w:b/>
                      <w:bCs/>
                      <w:sz w:val="21"/>
                      <w:szCs w:val="21"/>
                    </w:rPr>
                  </w:pPr>
                  <w:r>
                    <w:rPr>
                      <w:b/>
                      <w:bCs/>
                      <w:sz w:val="21"/>
                      <w:szCs w:val="21"/>
                    </w:rPr>
                    <w:t>0.5 kg/m</w:t>
                  </w:r>
                  <w:r>
                    <w:rPr>
                      <w:b/>
                      <w:bCs/>
                      <w:sz w:val="21"/>
                      <w:szCs w:val="21"/>
                      <w:vertAlign w:val="superscript"/>
                    </w:rPr>
                    <w:t>2</w:t>
                  </w:r>
                </w:p>
              </w:tc>
              <w:tc>
                <w:tcPr>
                  <w:tcW w:w="1159" w:type="dxa"/>
                  <w:vAlign w:val="center"/>
                </w:tcPr>
                <w:p>
                  <w:pPr>
                    <w:adjustRightInd w:val="0"/>
                    <w:snapToGrid w:val="0"/>
                    <w:jc w:val="center"/>
                    <w:rPr>
                      <w:b/>
                      <w:bCs/>
                      <w:sz w:val="21"/>
                      <w:szCs w:val="21"/>
                    </w:rPr>
                  </w:pPr>
                  <w:r>
                    <w:rPr>
                      <w:b/>
                      <w:bCs/>
                      <w:sz w:val="21"/>
                      <w:szCs w:val="21"/>
                    </w:rPr>
                    <w:t>1.0 kg/m</w:t>
                  </w:r>
                  <w:r>
                    <w:rPr>
                      <w:b/>
                      <w:bCs/>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Align w:val="center"/>
                </w:tcPr>
                <w:p>
                  <w:pPr>
                    <w:adjustRightInd w:val="0"/>
                    <w:snapToGrid w:val="0"/>
                    <w:jc w:val="center"/>
                    <w:rPr>
                      <w:sz w:val="21"/>
                      <w:szCs w:val="21"/>
                    </w:rPr>
                  </w:pPr>
                  <w:r>
                    <w:rPr>
                      <w:sz w:val="21"/>
                      <w:szCs w:val="21"/>
                    </w:rPr>
                    <w:t>5 km/h</w:t>
                  </w:r>
                </w:p>
              </w:tc>
              <w:tc>
                <w:tcPr>
                  <w:tcW w:w="1158" w:type="dxa"/>
                  <w:vAlign w:val="center"/>
                </w:tcPr>
                <w:p>
                  <w:pPr>
                    <w:adjustRightInd w:val="0"/>
                    <w:snapToGrid w:val="0"/>
                    <w:jc w:val="center"/>
                    <w:rPr>
                      <w:sz w:val="21"/>
                      <w:szCs w:val="21"/>
                    </w:rPr>
                  </w:pPr>
                  <w:r>
                    <w:rPr>
                      <w:sz w:val="21"/>
                      <w:szCs w:val="21"/>
                    </w:rPr>
                    <w:t>0.0283</w:t>
                  </w:r>
                </w:p>
              </w:tc>
              <w:tc>
                <w:tcPr>
                  <w:tcW w:w="1159" w:type="dxa"/>
                  <w:vAlign w:val="center"/>
                </w:tcPr>
                <w:p>
                  <w:pPr>
                    <w:adjustRightInd w:val="0"/>
                    <w:snapToGrid w:val="0"/>
                    <w:jc w:val="center"/>
                    <w:rPr>
                      <w:sz w:val="21"/>
                      <w:szCs w:val="21"/>
                    </w:rPr>
                  </w:pPr>
                  <w:r>
                    <w:rPr>
                      <w:sz w:val="21"/>
                      <w:szCs w:val="21"/>
                    </w:rPr>
                    <w:t>0.0476</w:t>
                  </w:r>
                </w:p>
              </w:tc>
              <w:tc>
                <w:tcPr>
                  <w:tcW w:w="1159" w:type="dxa"/>
                  <w:vAlign w:val="center"/>
                </w:tcPr>
                <w:p>
                  <w:pPr>
                    <w:adjustRightInd w:val="0"/>
                    <w:snapToGrid w:val="0"/>
                    <w:jc w:val="center"/>
                    <w:rPr>
                      <w:sz w:val="21"/>
                      <w:szCs w:val="21"/>
                    </w:rPr>
                  </w:pPr>
                  <w:r>
                    <w:rPr>
                      <w:sz w:val="21"/>
                      <w:szCs w:val="21"/>
                    </w:rPr>
                    <w:t>0.0646</w:t>
                  </w:r>
                </w:p>
              </w:tc>
              <w:tc>
                <w:tcPr>
                  <w:tcW w:w="1159" w:type="dxa"/>
                  <w:vAlign w:val="center"/>
                </w:tcPr>
                <w:p>
                  <w:pPr>
                    <w:adjustRightInd w:val="0"/>
                    <w:snapToGrid w:val="0"/>
                    <w:jc w:val="center"/>
                    <w:rPr>
                      <w:sz w:val="21"/>
                      <w:szCs w:val="21"/>
                    </w:rPr>
                  </w:pPr>
                  <w:r>
                    <w:rPr>
                      <w:sz w:val="21"/>
                      <w:szCs w:val="21"/>
                    </w:rPr>
                    <w:t>0.0801</w:t>
                  </w:r>
                </w:p>
              </w:tc>
              <w:tc>
                <w:tcPr>
                  <w:tcW w:w="1159" w:type="dxa"/>
                  <w:vAlign w:val="center"/>
                </w:tcPr>
                <w:p>
                  <w:pPr>
                    <w:adjustRightInd w:val="0"/>
                    <w:snapToGrid w:val="0"/>
                    <w:jc w:val="center"/>
                    <w:rPr>
                      <w:sz w:val="21"/>
                      <w:szCs w:val="21"/>
                    </w:rPr>
                  </w:pPr>
                  <w:r>
                    <w:rPr>
                      <w:sz w:val="21"/>
                      <w:szCs w:val="21"/>
                    </w:rPr>
                    <w:t>0.0947</w:t>
                  </w:r>
                </w:p>
              </w:tc>
              <w:tc>
                <w:tcPr>
                  <w:tcW w:w="1159" w:type="dxa"/>
                  <w:vAlign w:val="center"/>
                </w:tcPr>
                <w:p>
                  <w:pPr>
                    <w:adjustRightInd w:val="0"/>
                    <w:snapToGrid w:val="0"/>
                    <w:jc w:val="center"/>
                    <w:rPr>
                      <w:sz w:val="21"/>
                      <w:szCs w:val="21"/>
                    </w:rPr>
                  </w:pPr>
                  <w:r>
                    <w:rPr>
                      <w:sz w:val="21"/>
                      <w:szCs w:val="21"/>
                    </w:rPr>
                    <w:t>0.1593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Align w:val="center"/>
                </w:tcPr>
                <w:p>
                  <w:pPr>
                    <w:adjustRightInd w:val="0"/>
                    <w:snapToGrid w:val="0"/>
                    <w:jc w:val="center"/>
                    <w:rPr>
                      <w:sz w:val="21"/>
                      <w:szCs w:val="21"/>
                    </w:rPr>
                  </w:pPr>
                  <w:r>
                    <w:rPr>
                      <w:sz w:val="21"/>
                      <w:szCs w:val="21"/>
                    </w:rPr>
                    <w:t>10 km/h</w:t>
                  </w:r>
                </w:p>
              </w:tc>
              <w:tc>
                <w:tcPr>
                  <w:tcW w:w="1158" w:type="dxa"/>
                  <w:vAlign w:val="center"/>
                </w:tcPr>
                <w:p>
                  <w:pPr>
                    <w:adjustRightInd w:val="0"/>
                    <w:snapToGrid w:val="0"/>
                    <w:jc w:val="center"/>
                    <w:rPr>
                      <w:sz w:val="21"/>
                      <w:szCs w:val="21"/>
                    </w:rPr>
                  </w:pPr>
                  <w:r>
                    <w:rPr>
                      <w:sz w:val="21"/>
                      <w:szCs w:val="21"/>
                    </w:rPr>
                    <w:t>0.0566</w:t>
                  </w:r>
                </w:p>
              </w:tc>
              <w:tc>
                <w:tcPr>
                  <w:tcW w:w="1159" w:type="dxa"/>
                  <w:vAlign w:val="center"/>
                </w:tcPr>
                <w:p>
                  <w:pPr>
                    <w:adjustRightInd w:val="0"/>
                    <w:snapToGrid w:val="0"/>
                    <w:jc w:val="center"/>
                    <w:rPr>
                      <w:sz w:val="21"/>
                      <w:szCs w:val="21"/>
                    </w:rPr>
                  </w:pPr>
                  <w:r>
                    <w:rPr>
                      <w:sz w:val="21"/>
                      <w:szCs w:val="21"/>
                    </w:rPr>
                    <w:t>0.0953</w:t>
                  </w:r>
                </w:p>
              </w:tc>
              <w:tc>
                <w:tcPr>
                  <w:tcW w:w="1159" w:type="dxa"/>
                  <w:vAlign w:val="center"/>
                </w:tcPr>
                <w:p>
                  <w:pPr>
                    <w:adjustRightInd w:val="0"/>
                    <w:snapToGrid w:val="0"/>
                    <w:jc w:val="center"/>
                    <w:rPr>
                      <w:sz w:val="21"/>
                      <w:szCs w:val="21"/>
                    </w:rPr>
                  </w:pPr>
                  <w:r>
                    <w:rPr>
                      <w:sz w:val="21"/>
                      <w:szCs w:val="21"/>
                    </w:rPr>
                    <w:t>0.1291</w:t>
                  </w:r>
                </w:p>
              </w:tc>
              <w:tc>
                <w:tcPr>
                  <w:tcW w:w="1159" w:type="dxa"/>
                  <w:vAlign w:val="center"/>
                </w:tcPr>
                <w:p>
                  <w:pPr>
                    <w:adjustRightInd w:val="0"/>
                    <w:snapToGrid w:val="0"/>
                    <w:jc w:val="center"/>
                    <w:rPr>
                      <w:sz w:val="21"/>
                      <w:szCs w:val="21"/>
                    </w:rPr>
                  </w:pPr>
                  <w:r>
                    <w:rPr>
                      <w:sz w:val="21"/>
                      <w:szCs w:val="21"/>
                    </w:rPr>
                    <w:t>0.1602</w:t>
                  </w:r>
                </w:p>
              </w:tc>
              <w:tc>
                <w:tcPr>
                  <w:tcW w:w="1159" w:type="dxa"/>
                  <w:vAlign w:val="center"/>
                </w:tcPr>
                <w:p>
                  <w:pPr>
                    <w:adjustRightInd w:val="0"/>
                    <w:snapToGrid w:val="0"/>
                    <w:jc w:val="center"/>
                    <w:rPr>
                      <w:sz w:val="21"/>
                      <w:szCs w:val="21"/>
                    </w:rPr>
                  </w:pPr>
                  <w:r>
                    <w:rPr>
                      <w:sz w:val="21"/>
                      <w:szCs w:val="21"/>
                    </w:rPr>
                    <w:t>0.1894</w:t>
                  </w:r>
                </w:p>
              </w:tc>
              <w:tc>
                <w:tcPr>
                  <w:tcW w:w="1159" w:type="dxa"/>
                  <w:vAlign w:val="center"/>
                </w:tcPr>
                <w:p>
                  <w:pPr>
                    <w:adjustRightInd w:val="0"/>
                    <w:snapToGrid w:val="0"/>
                    <w:jc w:val="center"/>
                    <w:rPr>
                      <w:sz w:val="21"/>
                      <w:szCs w:val="21"/>
                    </w:rPr>
                  </w:pPr>
                  <w:r>
                    <w:rPr>
                      <w:sz w:val="21"/>
                      <w:szCs w:val="21"/>
                    </w:rPr>
                    <w:t>0.3186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Align w:val="center"/>
                </w:tcPr>
                <w:p>
                  <w:pPr>
                    <w:adjustRightInd w:val="0"/>
                    <w:snapToGrid w:val="0"/>
                    <w:jc w:val="center"/>
                    <w:rPr>
                      <w:sz w:val="21"/>
                      <w:szCs w:val="21"/>
                    </w:rPr>
                  </w:pPr>
                  <w:r>
                    <w:rPr>
                      <w:sz w:val="21"/>
                      <w:szCs w:val="21"/>
                    </w:rPr>
                    <w:t>15 km/h</w:t>
                  </w:r>
                </w:p>
              </w:tc>
              <w:tc>
                <w:tcPr>
                  <w:tcW w:w="1158" w:type="dxa"/>
                  <w:vAlign w:val="center"/>
                </w:tcPr>
                <w:p>
                  <w:pPr>
                    <w:adjustRightInd w:val="0"/>
                    <w:snapToGrid w:val="0"/>
                    <w:jc w:val="center"/>
                    <w:rPr>
                      <w:sz w:val="21"/>
                      <w:szCs w:val="21"/>
                    </w:rPr>
                  </w:pPr>
                  <w:r>
                    <w:rPr>
                      <w:sz w:val="21"/>
                      <w:szCs w:val="21"/>
                    </w:rPr>
                    <w:t>0.0850</w:t>
                  </w:r>
                </w:p>
              </w:tc>
              <w:tc>
                <w:tcPr>
                  <w:tcW w:w="1159" w:type="dxa"/>
                  <w:vAlign w:val="center"/>
                </w:tcPr>
                <w:p>
                  <w:pPr>
                    <w:adjustRightInd w:val="0"/>
                    <w:snapToGrid w:val="0"/>
                    <w:jc w:val="center"/>
                    <w:rPr>
                      <w:sz w:val="21"/>
                      <w:szCs w:val="21"/>
                    </w:rPr>
                  </w:pPr>
                  <w:r>
                    <w:rPr>
                      <w:sz w:val="21"/>
                      <w:szCs w:val="21"/>
                    </w:rPr>
                    <w:t>0.1429</w:t>
                  </w:r>
                </w:p>
              </w:tc>
              <w:tc>
                <w:tcPr>
                  <w:tcW w:w="1159" w:type="dxa"/>
                  <w:vAlign w:val="center"/>
                </w:tcPr>
                <w:p>
                  <w:pPr>
                    <w:adjustRightInd w:val="0"/>
                    <w:snapToGrid w:val="0"/>
                    <w:jc w:val="center"/>
                    <w:rPr>
                      <w:sz w:val="21"/>
                      <w:szCs w:val="21"/>
                    </w:rPr>
                  </w:pPr>
                  <w:r>
                    <w:rPr>
                      <w:sz w:val="21"/>
                      <w:szCs w:val="21"/>
                    </w:rPr>
                    <w:t>0.1937</w:t>
                  </w:r>
                </w:p>
              </w:tc>
              <w:tc>
                <w:tcPr>
                  <w:tcW w:w="1159" w:type="dxa"/>
                  <w:vAlign w:val="center"/>
                </w:tcPr>
                <w:p>
                  <w:pPr>
                    <w:adjustRightInd w:val="0"/>
                    <w:snapToGrid w:val="0"/>
                    <w:jc w:val="center"/>
                    <w:rPr>
                      <w:sz w:val="21"/>
                      <w:szCs w:val="21"/>
                    </w:rPr>
                  </w:pPr>
                  <w:r>
                    <w:rPr>
                      <w:sz w:val="21"/>
                      <w:szCs w:val="21"/>
                    </w:rPr>
                    <w:t>0.0000</w:t>
                  </w:r>
                </w:p>
              </w:tc>
              <w:tc>
                <w:tcPr>
                  <w:tcW w:w="1159" w:type="dxa"/>
                  <w:vAlign w:val="center"/>
                </w:tcPr>
                <w:p>
                  <w:pPr>
                    <w:adjustRightInd w:val="0"/>
                    <w:snapToGrid w:val="0"/>
                    <w:jc w:val="center"/>
                    <w:rPr>
                      <w:sz w:val="21"/>
                      <w:szCs w:val="21"/>
                    </w:rPr>
                  </w:pPr>
                  <w:r>
                    <w:rPr>
                      <w:sz w:val="21"/>
                      <w:szCs w:val="21"/>
                    </w:rPr>
                    <w:t>0.2841</w:t>
                  </w:r>
                </w:p>
              </w:tc>
              <w:tc>
                <w:tcPr>
                  <w:tcW w:w="1159" w:type="dxa"/>
                  <w:vAlign w:val="center"/>
                </w:tcPr>
                <w:p>
                  <w:pPr>
                    <w:adjustRightInd w:val="0"/>
                    <w:snapToGrid w:val="0"/>
                    <w:jc w:val="center"/>
                    <w:rPr>
                      <w:sz w:val="21"/>
                      <w:szCs w:val="21"/>
                    </w:rPr>
                  </w:pPr>
                  <w:r>
                    <w:rPr>
                      <w:sz w:val="21"/>
                      <w:szCs w:val="21"/>
                    </w:rPr>
                    <w:t>0.4778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Align w:val="center"/>
                </w:tcPr>
                <w:p>
                  <w:pPr>
                    <w:adjustRightInd w:val="0"/>
                    <w:snapToGrid w:val="0"/>
                    <w:jc w:val="center"/>
                    <w:rPr>
                      <w:sz w:val="21"/>
                      <w:szCs w:val="21"/>
                    </w:rPr>
                  </w:pPr>
                  <w:r>
                    <w:rPr>
                      <w:sz w:val="21"/>
                      <w:szCs w:val="21"/>
                    </w:rPr>
                    <w:t>25 km/h</w:t>
                  </w:r>
                </w:p>
              </w:tc>
              <w:tc>
                <w:tcPr>
                  <w:tcW w:w="1158" w:type="dxa"/>
                  <w:vAlign w:val="center"/>
                </w:tcPr>
                <w:p>
                  <w:pPr>
                    <w:adjustRightInd w:val="0"/>
                    <w:snapToGrid w:val="0"/>
                    <w:jc w:val="center"/>
                    <w:rPr>
                      <w:sz w:val="21"/>
                      <w:szCs w:val="21"/>
                    </w:rPr>
                  </w:pPr>
                  <w:r>
                    <w:rPr>
                      <w:sz w:val="21"/>
                      <w:szCs w:val="21"/>
                    </w:rPr>
                    <w:t>0.1416</w:t>
                  </w:r>
                </w:p>
              </w:tc>
              <w:tc>
                <w:tcPr>
                  <w:tcW w:w="1159" w:type="dxa"/>
                  <w:vAlign w:val="center"/>
                </w:tcPr>
                <w:p>
                  <w:pPr>
                    <w:adjustRightInd w:val="0"/>
                    <w:snapToGrid w:val="0"/>
                    <w:jc w:val="center"/>
                    <w:rPr>
                      <w:sz w:val="21"/>
                      <w:szCs w:val="21"/>
                    </w:rPr>
                  </w:pPr>
                  <w:r>
                    <w:rPr>
                      <w:sz w:val="21"/>
                      <w:szCs w:val="21"/>
                    </w:rPr>
                    <w:t>0.2382</w:t>
                  </w:r>
                </w:p>
              </w:tc>
              <w:tc>
                <w:tcPr>
                  <w:tcW w:w="1159" w:type="dxa"/>
                  <w:vAlign w:val="center"/>
                </w:tcPr>
                <w:p>
                  <w:pPr>
                    <w:adjustRightInd w:val="0"/>
                    <w:snapToGrid w:val="0"/>
                    <w:jc w:val="center"/>
                    <w:rPr>
                      <w:sz w:val="21"/>
                      <w:szCs w:val="21"/>
                    </w:rPr>
                  </w:pPr>
                  <w:r>
                    <w:rPr>
                      <w:sz w:val="21"/>
                      <w:szCs w:val="21"/>
                    </w:rPr>
                    <w:t>0.3228</w:t>
                  </w:r>
                </w:p>
              </w:tc>
              <w:tc>
                <w:tcPr>
                  <w:tcW w:w="1159" w:type="dxa"/>
                  <w:vAlign w:val="center"/>
                </w:tcPr>
                <w:p>
                  <w:pPr>
                    <w:adjustRightInd w:val="0"/>
                    <w:snapToGrid w:val="0"/>
                    <w:jc w:val="center"/>
                    <w:rPr>
                      <w:sz w:val="21"/>
                      <w:szCs w:val="21"/>
                    </w:rPr>
                  </w:pPr>
                  <w:r>
                    <w:rPr>
                      <w:sz w:val="21"/>
                      <w:szCs w:val="21"/>
                    </w:rPr>
                    <w:t>0.4006</w:t>
                  </w:r>
                </w:p>
              </w:tc>
              <w:tc>
                <w:tcPr>
                  <w:tcW w:w="1159" w:type="dxa"/>
                  <w:vAlign w:val="center"/>
                </w:tcPr>
                <w:p>
                  <w:pPr>
                    <w:adjustRightInd w:val="0"/>
                    <w:snapToGrid w:val="0"/>
                    <w:jc w:val="center"/>
                    <w:rPr>
                      <w:sz w:val="21"/>
                      <w:szCs w:val="21"/>
                    </w:rPr>
                  </w:pPr>
                  <w:r>
                    <w:rPr>
                      <w:sz w:val="21"/>
                      <w:szCs w:val="21"/>
                    </w:rPr>
                    <w:t>0.4736</w:t>
                  </w:r>
                </w:p>
              </w:tc>
              <w:tc>
                <w:tcPr>
                  <w:tcW w:w="1159" w:type="dxa"/>
                  <w:vAlign w:val="center"/>
                </w:tcPr>
                <w:p>
                  <w:pPr>
                    <w:adjustRightInd w:val="0"/>
                    <w:snapToGrid w:val="0"/>
                    <w:jc w:val="center"/>
                    <w:rPr>
                      <w:sz w:val="21"/>
                      <w:szCs w:val="21"/>
                    </w:rPr>
                  </w:pPr>
                  <w:r>
                    <w:rPr>
                      <w:sz w:val="21"/>
                      <w:szCs w:val="21"/>
                    </w:rPr>
                    <w:t>0.7964</w:t>
                  </w:r>
                </w:p>
              </w:tc>
            </w:tr>
          </w:tbl>
          <w:p>
            <w:pPr>
              <w:adjustRightInd w:val="0"/>
              <w:snapToGrid w:val="0"/>
              <w:spacing w:line="360" w:lineRule="auto"/>
              <w:ind w:firstLine="482"/>
              <w:rPr>
                <w:kern w:val="0"/>
              </w:rPr>
            </w:pPr>
            <w:r>
              <w:rPr>
                <w:kern w:val="0"/>
              </w:rPr>
              <w:t>由上表可见，在同样路面清洁程度条件下，车速越快，扬尘量越大；在同样车速条件下，路面尘土量越大，扬尘越大。因此，限制施工车辆速度和保持路面清洁是减小扬尘的有效手段。</w:t>
            </w:r>
          </w:p>
          <w:p>
            <w:pPr>
              <w:adjustRightInd w:val="0"/>
              <w:snapToGrid w:val="0"/>
              <w:spacing w:line="360" w:lineRule="auto"/>
              <w:ind w:firstLine="482"/>
              <w:rPr>
                <w:kern w:val="0"/>
              </w:rPr>
            </w:pPr>
            <w:r>
              <w:rPr>
                <w:kern w:val="0"/>
              </w:rPr>
              <w:t>如果在施工期间对车辆行驶的路面实施洒水抑尘，每天洒水4~5次，可使扬尘减少70%左右，表7-2为施工场地洒水抑尘的试验结果。</w:t>
            </w:r>
          </w:p>
          <w:p>
            <w:pPr>
              <w:widowControl/>
              <w:adjustRightInd w:val="0"/>
              <w:snapToGrid w:val="0"/>
              <w:spacing w:line="480" w:lineRule="exact"/>
              <w:ind w:right="106" w:rightChars="44"/>
              <w:jc w:val="center"/>
              <w:rPr>
                <w:rFonts w:cs="Times New Roman"/>
                <w:b/>
                <w:szCs w:val="24"/>
              </w:rPr>
            </w:pPr>
            <w:r>
              <w:rPr>
                <w:rFonts w:cs="Times New Roman"/>
                <w:b/>
                <w:szCs w:val="24"/>
              </w:rPr>
              <w:t>表7-2  施工场地洒水抑尘试验结果</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1"/>
              <w:gridCol w:w="1418"/>
              <w:gridCol w:w="1110"/>
              <w:gridCol w:w="1094"/>
              <w:gridCol w:w="1094"/>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09" w:type="dxa"/>
                  <w:gridSpan w:val="2"/>
                  <w:vAlign w:val="center"/>
                </w:tcPr>
                <w:p>
                  <w:pPr>
                    <w:adjustRightInd w:val="0"/>
                    <w:snapToGrid w:val="0"/>
                    <w:jc w:val="center"/>
                    <w:rPr>
                      <w:b/>
                      <w:bCs/>
                      <w:sz w:val="21"/>
                    </w:rPr>
                  </w:pPr>
                  <w:r>
                    <w:rPr>
                      <w:b/>
                      <w:bCs/>
                      <w:sz w:val="21"/>
                    </w:rPr>
                    <w:t>距离（m）</w:t>
                  </w:r>
                </w:p>
              </w:tc>
              <w:tc>
                <w:tcPr>
                  <w:tcW w:w="1110" w:type="dxa"/>
                  <w:vAlign w:val="center"/>
                </w:tcPr>
                <w:p>
                  <w:pPr>
                    <w:adjustRightInd w:val="0"/>
                    <w:snapToGrid w:val="0"/>
                    <w:jc w:val="center"/>
                    <w:rPr>
                      <w:b/>
                      <w:bCs/>
                      <w:sz w:val="21"/>
                    </w:rPr>
                  </w:pPr>
                  <w:r>
                    <w:rPr>
                      <w:b/>
                      <w:bCs/>
                      <w:sz w:val="21"/>
                    </w:rPr>
                    <w:t>5</w:t>
                  </w:r>
                </w:p>
              </w:tc>
              <w:tc>
                <w:tcPr>
                  <w:tcW w:w="1094" w:type="dxa"/>
                  <w:vAlign w:val="center"/>
                </w:tcPr>
                <w:p>
                  <w:pPr>
                    <w:adjustRightInd w:val="0"/>
                    <w:snapToGrid w:val="0"/>
                    <w:jc w:val="center"/>
                    <w:rPr>
                      <w:b/>
                      <w:bCs/>
                      <w:sz w:val="21"/>
                    </w:rPr>
                  </w:pPr>
                  <w:r>
                    <w:rPr>
                      <w:b/>
                      <w:bCs/>
                      <w:sz w:val="21"/>
                    </w:rPr>
                    <w:t>20</w:t>
                  </w:r>
                </w:p>
              </w:tc>
              <w:tc>
                <w:tcPr>
                  <w:tcW w:w="1094" w:type="dxa"/>
                  <w:vAlign w:val="center"/>
                </w:tcPr>
                <w:p>
                  <w:pPr>
                    <w:adjustRightInd w:val="0"/>
                    <w:snapToGrid w:val="0"/>
                    <w:jc w:val="center"/>
                    <w:rPr>
                      <w:b/>
                      <w:bCs/>
                      <w:sz w:val="21"/>
                    </w:rPr>
                  </w:pPr>
                  <w:r>
                    <w:rPr>
                      <w:b/>
                      <w:bCs/>
                      <w:sz w:val="21"/>
                    </w:rPr>
                    <w:t>50</w:t>
                  </w:r>
                </w:p>
              </w:tc>
              <w:tc>
                <w:tcPr>
                  <w:tcW w:w="1095" w:type="dxa"/>
                  <w:vAlign w:val="center"/>
                </w:tcPr>
                <w:p>
                  <w:pPr>
                    <w:adjustRightInd w:val="0"/>
                    <w:snapToGrid w:val="0"/>
                    <w:jc w:val="center"/>
                    <w:rPr>
                      <w:b/>
                      <w:bCs/>
                      <w:sz w:val="21"/>
                    </w:rPr>
                  </w:pPr>
                  <w:r>
                    <w:rPr>
                      <w:b/>
                      <w:bCs/>
                      <w:sz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91" w:type="dxa"/>
                  <w:vMerge w:val="restart"/>
                  <w:vAlign w:val="center"/>
                </w:tcPr>
                <w:p>
                  <w:pPr>
                    <w:adjustRightInd w:val="0"/>
                    <w:snapToGrid w:val="0"/>
                    <w:jc w:val="center"/>
                    <w:rPr>
                      <w:sz w:val="21"/>
                    </w:rPr>
                  </w:pPr>
                  <w:r>
                    <w:rPr>
                      <w:sz w:val="21"/>
                    </w:rPr>
                    <w:t>TSP小时平均浓度（mg/m</w:t>
                  </w:r>
                  <w:r>
                    <w:rPr>
                      <w:sz w:val="21"/>
                      <w:vertAlign w:val="superscript"/>
                    </w:rPr>
                    <w:t>3</w:t>
                  </w:r>
                  <w:r>
                    <w:rPr>
                      <w:sz w:val="21"/>
                    </w:rPr>
                    <w:t>）</w:t>
                  </w:r>
                </w:p>
              </w:tc>
              <w:tc>
                <w:tcPr>
                  <w:tcW w:w="1418" w:type="dxa"/>
                  <w:vAlign w:val="center"/>
                </w:tcPr>
                <w:p>
                  <w:pPr>
                    <w:adjustRightInd w:val="0"/>
                    <w:snapToGrid w:val="0"/>
                    <w:jc w:val="center"/>
                    <w:rPr>
                      <w:sz w:val="21"/>
                    </w:rPr>
                  </w:pPr>
                  <w:r>
                    <w:rPr>
                      <w:sz w:val="21"/>
                    </w:rPr>
                    <w:t>不洒水</w:t>
                  </w:r>
                </w:p>
              </w:tc>
              <w:tc>
                <w:tcPr>
                  <w:tcW w:w="1110" w:type="dxa"/>
                  <w:vAlign w:val="center"/>
                </w:tcPr>
                <w:p>
                  <w:pPr>
                    <w:adjustRightInd w:val="0"/>
                    <w:snapToGrid w:val="0"/>
                    <w:jc w:val="center"/>
                    <w:rPr>
                      <w:sz w:val="21"/>
                    </w:rPr>
                  </w:pPr>
                  <w:r>
                    <w:rPr>
                      <w:sz w:val="21"/>
                    </w:rPr>
                    <w:t>10.14</w:t>
                  </w:r>
                </w:p>
              </w:tc>
              <w:tc>
                <w:tcPr>
                  <w:tcW w:w="1094" w:type="dxa"/>
                  <w:vAlign w:val="center"/>
                </w:tcPr>
                <w:p>
                  <w:pPr>
                    <w:adjustRightInd w:val="0"/>
                    <w:snapToGrid w:val="0"/>
                    <w:jc w:val="center"/>
                    <w:rPr>
                      <w:sz w:val="21"/>
                    </w:rPr>
                  </w:pPr>
                  <w:r>
                    <w:rPr>
                      <w:sz w:val="21"/>
                    </w:rPr>
                    <w:t>2.89</w:t>
                  </w:r>
                </w:p>
              </w:tc>
              <w:tc>
                <w:tcPr>
                  <w:tcW w:w="1094" w:type="dxa"/>
                  <w:vAlign w:val="center"/>
                </w:tcPr>
                <w:p>
                  <w:pPr>
                    <w:adjustRightInd w:val="0"/>
                    <w:snapToGrid w:val="0"/>
                    <w:jc w:val="center"/>
                    <w:rPr>
                      <w:sz w:val="21"/>
                    </w:rPr>
                  </w:pPr>
                  <w:r>
                    <w:rPr>
                      <w:sz w:val="21"/>
                    </w:rPr>
                    <w:t>1.15</w:t>
                  </w:r>
                </w:p>
              </w:tc>
              <w:tc>
                <w:tcPr>
                  <w:tcW w:w="1095" w:type="dxa"/>
                  <w:vAlign w:val="center"/>
                </w:tcPr>
                <w:p>
                  <w:pPr>
                    <w:adjustRightInd w:val="0"/>
                    <w:snapToGrid w:val="0"/>
                    <w:jc w:val="center"/>
                    <w:rPr>
                      <w:sz w:val="21"/>
                    </w:rPr>
                  </w:pPr>
                  <w:r>
                    <w:rPr>
                      <w:sz w:val="21"/>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91" w:type="dxa"/>
                  <w:vMerge w:val="continue"/>
                  <w:vAlign w:val="center"/>
                </w:tcPr>
                <w:p>
                  <w:pPr>
                    <w:adjustRightInd w:val="0"/>
                    <w:snapToGrid w:val="0"/>
                    <w:jc w:val="center"/>
                    <w:rPr>
                      <w:sz w:val="21"/>
                    </w:rPr>
                  </w:pPr>
                </w:p>
              </w:tc>
              <w:tc>
                <w:tcPr>
                  <w:tcW w:w="1418" w:type="dxa"/>
                  <w:vAlign w:val="center"/>
                </w:tcPr>
                <w:p>
                  <w:pPr>
                    <w:adjustRightInd w:val="0"/>
                    <w:snapToGrid w:val="0"/>
                    <w:jc w:val="center"/>
                    <w:rPr>
                      <w:sz w:val="21"/>
                    </w:rPr>
                  </w:pPr>
                  <w:r>
                    <w:rPr>
                      <w:sz w:val="21"/>
                    </w:rPr>
                    <w:t>洒水</w:t>
                  </w:r>
                </w:p>
              </w:tc>
              <w:tc>
                <w:tcPr>
                  <w:tcW w:w="1110" w:type="dxa"/>
                  <w:vAlign w:val="center"/>
                </w:tcPr>
                <w:p>
                  <w:pPr>
                    <w:adjustRightInd w:val="0"/>
                    <w:snapToGrid w:val="0"/>
                    <w:jc w:val="center"/>
                    <w:rPr>
                      <w:sz w:val="21"/>
                    </w:rPr>
                  </w:pPr>
                  <w:r>
                    <w:rPr>
                      <w:sz w:val="21"/>
                    </w:rPr>
                    <w:t>2.01</w:t>
                  </w:r>
                </w:p>
              </w:tc>
              <w:tc>
                <w:tcPr>
                  <w:tcW w:w="1094" w:type="dxa"/>
                  <w:vAlign w:val="center"/>
                </w:tcPr>
                <w:p>
                  <w:pPr>
                    <w:adjustRightInd w:val="0"/>
                    <w:snapToGrid w:val="0"/>
                    <w:jc w:val="center"/>
                    <w:rPr>
                      <w:sz w:val="21"/>
                    </w:rPr>
                  </w:pPr>
                  <w:r>
                    <w:rPr>
                      <w:sz w:val="21"/>
                    </w:rPr>
                    <w:t>1.40</w:t>
                  </w:r>
                </w:p>
              </w:tc>
              <w:tc>
                <w:tcPr>
                  <w:tcW w:w="1094" w:type="dxa"/>
                  <w:vAlign w:val="center"/>
                </w:tcPr>
                <w:p>
                  <w:pPr>
                    <w:adjustRightInd w:val="0"/>
                    <w:snapToGrid w:val="0"/>
                    <w:jc w:val="center"/>
                    <w:rPr>
                      <w:sz w:val="21"/>
                    </w:rPr>
                  </w:pPr>
                  <w:r>
                    <w:rPr>
                      <w:sz w:val="21"/>
                    </w:rPr>
                    <w:t>0.67</w:t>
                  </w:r>
                </w:p>
              </w:tc>
              <w:tc>
                <w:tcPr>
                  <w:tcW w:w="1095" w:type="dxa"/>
                  <w:vAlign w:val="center"/>
                </w:tcPr>
                <w:p>
                  <w:pPr>
                    <w:adjustRightInd w:val="0"/>
                    <w:snapToGrid w:val="0"/>
                    <w:jc w:val="center"/>
                    <w:rPr>
                      <w:sz w:val="21"/>
                    </w:rPr>
                  </w:pPr>
                  <w:r>
                    <w:rPr>
                      <w:sz w:val="21"/>
                    </w:rPr>
                    <w:t>0.60</w:t>
                  </w:r>
                </w:p>
              </w:tc>
            </w:tr>
          </w:tbl>
          <w:p>
            <w:pPr>
              <w:adjustRightInd w:val="0"/>
              <w:snapToGrid w:val="0"/>
              <w:spacing w:line="360" w:lineRule="auto"/>
              <w:ind w:firstLine="480" w:firstLineChars="200"/>
              <w:rPr>
                <w:kern w:val="0"/>
              </w:rPr>
            </w:pPr>
            <w:r>
              <w:rPr>
                <w:kern w:val="0"/>
              </w:rPr>
              <w:t>结果表明：每天洒水4~5次，可有效地控制施工扬尘，TSP污染物扩散距离可缩小到20m~50m范围。因此，限速行驶及保持路面清洁，同时适当洒水是减少汽车扬尘的有效手段之一。</w:t>
            </w:r>
          </w:p>
          <w:p>
            <w:pPr>
              <w:adjustRightInd w:val="0"/>
              <w:snapToGrid w:val="0"/>
              <w:spacing w:line="360" w:lineRule="auto"/>
              <w:ind w:firstLine="480" w:firstLineChars="200"/>
              <w:rPr>
                <w:kern w:val="0"/>
              </w:rPr>
            </w:pPr>
            <w:r>
              <w:rPr>
                <w:kern w:val="0"/>
              </w:rPr>
              <w:t>②风力扬尘</w:t>
            </w:r>
          </w:p>
          <w:p>
            <w:pPr>
              <w:adjustRightInd w:val="0"/>
              <w:snapToGrid w:val="0"/>
              <w:spacing w:line="360" w:lineRule="auto"/>
              <w:ind w:firstLine="480" w:firstLineChars="200"/>
              <w:rPr>
                <w:kern w:val="0"/>
              </w:rPr>
            </w:pPr>
            <w:r>
              <w:rPr>
                <w:kern w:val="0"/>
              </w:rPr>
              <w:t>主要为露天堆场和裸露场地产生的风力扬尘，由于施工需要，一些建材需露天堆放，一些施工点表层土壤需人工开挖、堆放，在天气干燥又有风的情况下，会产生扬尘，其扬尘量可按堆场起尘的经验公式计算：</w:t>
            </w:r>
          </w:p>
          <w:p>
            <w:pPr>
              <w:adjustRightInd w:val="0"/>
              <w:snapToGrid w:val="0"/>
              <w:spacing w:line="360" w:lineRule="auto"/>
              <w:ind w:firstLine="480" w:firstLineChars="200"/>
              <w:jc w:val="center"/>
              <w:rPr>
                <w:kern w:val="0"/>
              </w:rPr>
            </w:pPr>
            <w:r>
              <w:rPr>
                <w:position w:val="-14"/>
              </w:rPr>
              <w:object>
                <v:shape id="_x0000_i1031" o:spt="75" type="#_x0000_t75" style="height:21.5pt;width:118.2pt;" o:ole="t" filled="f" o:preferrelative="t" stroked="f" coordsize="21600,21600">
                  <v:path/>
                  <v:fill on="f" focussize="0,0"/>
                  <v:stroke on="f" joinstyle="miter"/>
                  <v:imagedata r:id="rId31" o:title=""/>
                  <o:lock v:ext="edit" aspectratio="t"/>
                  <w10:wrap type="none"/>
                  <w10:anchorlock/>
                </v:shape>
                <o:OLEObject Type="Embed" ProgID="Equation.DSMT4" ShapeID="_x0000_i1031" DrawAspect="Content" ObjectID="_1468075731" r:id="rId30">
                  <o:LockedField>false</o:LockedField>
                </o:OLEObject>
              </w:object>
            </w:r>
          </w:p>
          <w:p>
            <w:pPr>
              <w:adjustRightInd w:val="0"/>
              <w:snapToGrid w:val="0"/>
              <w:spacing w:line="360" w:lineRule="auto"/>
              <w:ind w:firstLine="480" w:firstLineChars="200"/>
              <w:rPr>
                <w:kern w:val="0"/>
              </w:rPr>
            </w:pPr>
            <w:r>
              <w:rPr>
                <w:kern w:val="0"/>
              </w:rPr>
              <w:t>式中：</w:t>
            </w:r>
            <w:r>
              <w:rPr>
                <w:i/>
                <w:kern w:val="0"/>
              </w:rPr>
              <w:t>Q</w:t>
            </w:r>
            <w:r>
              <w:rPr>
                <w:kern w:val="0"/>
              </w:rPr>
              <w:t>—起尘量，kg/吨•年；</w:t>
            </w:r>
          </w:p>
          <w:p>
            <w:pPr>
              <w:adjustRightInd w:val="0"/>
              <w:snapToGrid w:val="0"/>
              <w:spacing w:line="360" w:lineRule="auto"/>
              <w:ind w:firstLine="480" w:firstLineChars="200"/>
              <w:rPr>
                <w:kern w:val="0"/>
              </w:rPr>
            </w:pPr>
            <w:r>
              <w:rPr>
                <w:i/>
                <w:kern w:val="0"/>
              </w:rPr>
              <w:t>V</w:t>
            </w:r>
            <w:r>
              <w:rPr>
                <w:i/>
                <w:vertAlign w:val="subscript"/>
              </w:rPr>
              <w:t>50</w:t>
            </w:r>
            <w:r>
              <w:rPr>
                <w:kern w:val="0"/>
              </w:rPr>
              <w:t>—距地面50米处风速，m/s；</w:t>
            </w:r>
          </w:p>
          <w:p>
            <w:pPr>
              <w:adjustRightInd w:val="0"/>
              <w:snapToGrid w:val="0"/>
              <w:spacing w:line="360" w:lineRule="auto"/>
              <w:ind w:firstLine="480" w:firstLineChars="200"/>
              <w:rPr>
                <w:kern w:val="0"/>
              </w:rPr>
            </w:pPr>
            <w:r>
              <w:rPr>
                <w:i/>
                <w:kern w:val="0"/>
              </w:rPr>
              <w:t>V</w:t>
            </w:r>
            <w:r>
              <w:rPr>
                <w:i/>
                <w:vertAlign w:val="subscript"/>
              </w:rPr>
              <w:t>0</w:t>
            </w:r>
            <w:r>
              <w:rPr>
                <w:kern w:val="0"/>
              </w:rPr>
              <w:t>—起尘风速，m/s；</w:t>
            </w:r>
          </w:p>
          <w:p>
            <w:pPr>
              <w:adjustRightInd w:val="0"/>
              <w:snapToGrid w:val="0"/>
              <w:spacing w:line="360" w:lineRule="auto"/>
              <w:ind w:firstLine="480" w:firstLineChars="200"/>
              <w:rPr>
                <w:kern w:val="0"/>
              </w:rPr>
            </w:pPr>
            <w:r>
              <w:rPr>
                <w:i/>
                <w:kern w:val="0"/>
              </w:rPr>
              <w:t>W</w:t>
            </w:r>
            <w:r>
              <w:rPr>
                <w:kern w:val="0"/>
              </w:rPr>
              <w:t>—尘粒含水率，%。</w:t>
            </w:r>
          </w:p>
          <w:p>
            <w:pPr>
              <w:adjustRightInd w:val="0"/>
              <w:snapToGrid w:val="0"/>
              <w:spacing w:line="360" w:lineRule="auto"/>
              <w:ind w:firstLine="480" w:firstLineChars="200"/>
              <w:rPr>
                <w:kern w:val="0"/>
              </w:rPr>
            </w:pPr>
            <w:r>
              <w:rPr>
                <w:kern w:val="0"/>
              </w:rPr>
              <w:t>由公式可见，这类扬尘的主要特点与风速和尘粒含水率有关，因此，减少建材的露天堆放和保持物料一定的含水率是抑制这类扬尘的有效手段。扬尘在空气中的扩散稀散也与风速等气象条件、沉降速度有关。不同粒径的沉降速度见下表7-3。</w:t>
            </w:r>
          </w:p>
          <w:p>
            <w:pPr>
              <w:widowControl/>
              <w:adjustRightInd w:val="0"/>
              <w:snapToGrid w:val="0"/>
              <w:spacing w:line="480" w:lineRule="exact"/>
              <w:ind w:right="106" w:rightChars="44"/>
              <w:jc w:val="center"/>
              <w:rPr>
                <w:rFonts w:cs="Times New Roman"/>
                <w:b/>
                <w:szCs w:val="24"/>
              </w:rPr>
            </w:pPr>
            <w:r>
              <w:rPr>
                <w:rFonts w:cs="Times New Roman"/>
                <w:b/>
                <w:szCs w:val="24"/>
              </w:rPr>
              <w:t>表7-3  不同粒径尘粒的沉降速度</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886"/>
              <w:gridCol w:w="886"/>
              <w:gridCol w:w="887"/>
              <w:gridCol w:w="888"/>
              <w:gridCol w:w="887"/>
              <w:gridCol w:w="888"/>
              <w:gridCol w:w="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93" w:type="dxa"/>
                  <w:vAlign w:val="center"/>
                </w:tcPr>
                <w:p>
                  <w:pPr>
                    <w:pStyle w:val="74"/>
                    <w:rPr>
                      <w:rFonts w:ascii="Times New Roman" w:hAnsi="Times New Roman" w:cs="Times New Roman"/>
                      <w:sz w:val="21"/>
                      <w:szCs w:val="21"/>
                    </w:rPr>
                  </w:pPr>
                  <w:r>
                    <w:rPr>
                      <w:rFonts w:ascii="Times New Roman" w:hAnsi="Times New Roman" w:cs="Times New Roman"/>
                      <w:sz w:val="21"/>
                      <w:szCs w:val="21"/>
                    </w:rPr>
                    <w:t>粉尘粒径（μm）</w:t>
                  </w:r>
                </w:p>
              </w:tc>
              <w:tc>
                <w:tcPr>
                  <w:tcW w:w="886" w:type="dxa"/>
                  <w:vAlign w:val="center"/>
                </w:tcPr>
                <w:p>
                  <w:pPr>
                    <w:pStyle w:val="74"/>
                    <w:rPr>
                      <w:rFonts w:ascii="Times New Roman" w:hAnsi="Times New Roman" w:cs="Times New Roman"/>
                      <w:sz w:val="21"/>
                      <w:szCs w:val="21"/>
                    </w:rPr>
                  </w:pPr>
                  <w:r>
                    <w:rPr>
                      <w:rFonts w:ascii="Times New Roman" w:hAnsi="Times New Roman" w:cs="Times New Roman"/>
                      <w:sz w:val="21"/>
                      <w:szCs w:val="21"/>
                    </w:rPr>
                    <w:t>10</w:t>
                  </w:r>
                </w:p>
              </w:tc>
              <w:tc>
                <w:tcPr>
                  <w:tcW w:w="886" w:type="dxa"/>
                  <w:vAlign w:val="center"/>
                </w:tcPr>
                <w:p>
                  <w:pPr>
                    <w:pStyle w:val="74"/>
                    <w:rPr>
                      <w:rFonts w:ascii="Times New Roman" w:hAnsi="Times New Roman" w:cs="Times New Roman"/>
                      <w:sz w:val="21"/>
                      <w:szCs w:val="21"/>
                    </w:rPr>
                  </w:pPr>
                  <w:r>
                    <w:rPr>
                      <w:rFonts w:ascii="Times New Roman" w:hAnsi="Times New Roman" w:cs="Times New Roman"/>
                      <w:sz w:val="21"/>
                      <w:szCs w:val="21"/>
                    </w:rPr>
                    <w:t>20</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30</w:t>
                  </w:r>
                </w:p>
              </w:tc>
              <w:tc>
                <w:tcPr>
                  <w:tcW w:w="888" w:type="dxa"/>
                  <w:vAlign w:val="center"/>
                </w:tcPr>
                <w:p>
                  <w:pPr>
                    <w:pStyle w:val="74"/>
                    <w:rPr>
                      <w:rFonts w:ascii="Times New Roman" w:hAnsi="Times New Roman" w:cs="Times New Roman"/>
                      <w:sz w:val="21"/>
                      <w:szCs w:val="21"/>
                    </w:rPr>
                  </w:pPr>
                  <w:r>
                    <w:rPr>
                      <w:rFonts w:ascii="Times New Roman" w:hAnsi="Times New Roman" w:cs="Times New Roman"/>
                      <w:sz w:val="21"/>
                      <w:szCs w:val="21"/>
                    </w:rPr>
                    <w:t>40</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50</w:t>
                  </w:r>
                </w:p>
              </w:tc>
              <w:tc>
                <w:tcPr>
                  <w:tcW w:w="888" w:type="dxa"/>
                  <w:vAlign w:val="center"/>
                </w:tcPr>
                <w:p>
                  <w:pPr>
                    <w:pStyle w:val="74"/>
                    <w:rPr>
                      <w:rFonts w:ascii="Times New Roman" w:hAnsi="Times New Roman" w:cs="Times New Roman"/>
                      <w:sz w:val="21"/>
                      <w:szCs w:val="21"/>
                    </w:rPr>
                  </w:pPr>
                  <w:r>
                    <w:rPr>
                      <w:rFonts w:ascii="Times New Roman" w:hAnsi="Times New Roman" w:cs="Times New Roman"/>
                      <w:sz w:val="21"/>
                      <w:szCs w:val="21"/>
                    </w:rPr>
                    <w:t>60</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93" w:type="dxa"/>
                  <w:vAlign w:val="center"/>
                </w:tcPr>
                <w:p>
                  <w:pPr>
                    <w:pStyle w:val="74"/>
                    <w:rPr>
                      <w:rFonts w:ascii="Times New Roman" w:hAnsi="Times New Roman" w:cs="Times New Roman"/>
                      <w:sz w:val="21"/>
                      <w:szCs w:val="21"/>
                    </w:rPr>
                  </w:pPr>
                  <w:r>
                    <w:rPr>
                      <w:rFonts w:ascii="Times New Roman" w:hAnsi="Times New Roman" w:cs="Times New Roman"/>
                      <w:sz w:val="21"/>
                      <w:szCs w:val="21"/>
                    </w:rPr>
                    <w:t>沉降速度（m/s）</w:t>
                  </w:r>
                </w:p>
              </w:tc>
              <w:tc>
                <w:tcPr>
                  <w:tcW w:w="886" w:type="dxa"/>
                  <w:vAlign w:val="center"/>
                </w:tcPr>
                <w:p>
                  <w:pPr>
                    <w:pStyle w:val="74"/>
                    <w:rPr>
                      <w:rFonts w:ascii="Times New Roman" w:hAnsi="Times New Roman" w:cs="Times New Roman"/>
                      <w:sz w:val="21"/>
                      <w:szCs w:val="21"/>
                    </w:rPr>
                  </w:pPr>
                  <w:r>
                    <w:rPr>
                      <w:rFonts w:ascii="Times New Roman" w:hAnsi="Times New Roman" w:cs="Times New Roman"/>
                      <w:sz w:val="21"/>
                      <w:szCs w:val="21"/>
                    </w:rPr>
                    <w:t>0.003</w:t>
                  </w:r>
                </w:p>
              </w:tc>
              <w:tc>
                <w:tcPr>
                  <w:tcW w:w="886" w:type="dxa"/>
                  <w:vAlign w:val="center"/>
                </w:tcPr>
                <w:p>
                  <w:pPr>
                    <w:pStyle w:val="74"/>
                    <w:rPr>
                      <w:rFonts w:ascii="Times New Roman" w:hAnsi="Times New Roman" w:cs="Times New Roman"/>
                      <w:sz w:val="21"/>
                      <w:szCs w:val="21"/>
                    </w:rPr>
                  </w:pPr>
                  <w:r>
                    <w:rPr>
                      <w:rFonts w:ascii="Times New Roman" w:hAnsi="Times New Roman" w:cs="Times New Roman"/>
                      <w:sz w:val="21"/>
                      <w:szCs w:val="21"/>
                    </w:rPr>
                    <w:t>0.012</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0.027</w:t>
                  </w:r>
                </w:p>
              </w:tc>
              <w:tc>
                <w:tcPr>
                  <w:tcW w:w="888" w:type="dxa"/>
                  <w:vAlign w:val="center"/>
                </w:tcPr>
                <w:p>
                  <w:pPr>
                    <w:pStyle w:val="74"/>
                    <w:rPr>
                      <w:rFonts w:ascii="Times New Roman" w:hAnsi="Times New Roman" w:cs="Times New Roman"/>
                      <w:sz w:val="21"/>
                      <w:szCs w:val="21"/>
                    </w:rPr>
                  </w:pPr>
                  <w:r>
                    <w:rPr>
                      <w:rFonts w:ascii="Times New Roman" w:hAnsi="Times New Roman" w:cs="Times New Roman"/>
                      <w:sz w:val="21"/>
                      <w:szCs w:val="21"/>
                    </w:rPr>
                    <w:t>0.048</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0.075</w:t>
                  </w:r>
                </w:p>
              </w:tc>
              <w:tc>
                <w:tcPr>
                  <w:tcW w:w="888" w:type="dxa"/>
                  <w:vAlign w:val="center"/>
                </w:tcPr>
                <w:p>
                  <w:pPr>
                    <w:pStyle w:val="74"/>
                    <w:rPr>
                      <w:rFonts w:ascii="Times New Roman" w:hAnsi="Times New Roman" w:cs="Times New Roman"/>
                      <w:sz w:val="21"/>
                      <w:szCs w:val="21"/>
                    </w:rPr>
                  </w:pPr>
                  <w:r>
                    <w:rPr>
                      <w:rFonts w:ascii="Times New Roman" w:hAnsi="Times New Roman" w:cs="Times New Roman"/>
                      <w:sz w:val="21"/>
                      <w:szCs w:val="21"/>
                    </w:rPr>
                    <w:t>0.108</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0.147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93" w:type="dxa"/>
                  <w:vAlign w:val="center"/>
                </w:tcPr>
                <w:p>
                  <w:pPr>
                    <w:pStyle w:val="74"/>
                    <w:rPr>
                      <w:rFonts w:ascii="Times New Roman" w:hAnsi="Times New Roman" w:cs="Times New Roman"/>
                      <w:sz w:val="21"/>
                      <w:szCs w:val="21"/>
                    </w:rPr>
                  </w:pPr>
                  <w:r>
                    <w:rPr>
                      <w:rFonts w:ascii="Times New Roman" w:hAnsi="Times New Roman" w:cs="Times New Roman"/>
                      <w:sz w:val="21"/>
                      <w:szCs w:val="21"/>
                    </w:rPr>
                    <w:t>粉尘粒径（μm）</w:t>
                  </w:r>
                </w:p>
              </w:tc>
              <w:tc>
                <w:tcPr>
                  <w:tcW w:w="886" w:type="dxa"/>
                  <w:vAlign w:val="center"/>
                </w:tcPr>
                <w:p>
                  <w:pPr>
                    <w:pStyle w:val="74"/>
                    <w:rPr>
                      <w:rFonts w:ascii="Times New Roman" w:hAnsi="Times New Roman" w:cs="Times New Roman"/>
                      <w:sz w:val="21"/>
                      <w:szCs w:val="21"/>
                    </w:rPr>
                  </w:pPr>
                  <w:r>
                    <w:rPr>
                      <w:rFonts w:ascii="Times New Roman" w:hAnsi="Times New Roman" w:cs="Times New Roman"/>
                      <w:sz w:val="21"/>
                      <w:szCs w:val="21"/>
                    </w:rPr>
                    <w:t>80</w:t>
                  </w:r>
                </w:p>
              </w:tc>
              <w:tc>
                <w:tcPr>
                  <w:tcW w:w="886" w:type="dxa"/>
                  <w:vAlign w:val="center"/>
                </w:tcPr>
                <w:p>
                  <w:pPr>
                    <w:pStyle w:val="74"/>
                    <w:rPr>
                      <w:rFonts w:ascii="Times New Roman" w:hAnsi="Times New Roman" w:cs="Times New Roman"/>
                      <w:sz w:val="21"/>
                      <w:szCs w:val="21"/>
                    </w:rPr>
                  </w:pPr>
                  <w:r>
                    <w:rPr>
                      <w:rFonts w:ascii="Times New Roman" w:hAnsi="Times New Roman" w:cs="Times New Roman"/>
                      <w:sz w:val="21"/>
                      <w:szCs w:val="21"/>
                    </w:rPr>
                    <w:t>90</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100</w:t>
                  </w:r>
                </w:p>
              </w:tc>
              <w:tc>
                <w:tcPr>
                  <w:tcW w:w="888" w:type="dxa"/>
                  <w:vAlign w:val="center"/>
                </w:tcPr>
                <w:p>
                  <w:pPr>
                    <w:pStyle w:val="74"/>
                    <w:rPr>
                      <w:rFonts w:ascii="Times New Roman" w:hAnsi="Times New Roman" w:cs="Times New Roman"/>
                      <w:sz w:val="21"/>
                      <w:szCs w:val="21"/>
                    </w:rPr>
                  </w:pPr>
                  <w:r>
                    <w:rPr>
                      <w:rFonts w:ascii="Times New Roman" w:hAnsi="Times New Roman" w:cs="Times New Roman"/>
                      <w:sz w:val="21"/>
                      <w:szCs w:val="21"/>
                    </w:rPr>
                    <w:t>150</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200</w:t>
                  </w:r>
                </w:p>
              </w:tc>
              <w:tc>
                <w:tcPr>
                  <w:tcW w:w="888" w:type="dxa"/>
                  <w:vAlign w:val="center"/>
                </w:tcPr>
                <w:p>
                  <w:pPr>
                    <w:pStyle w:val="74"/>
                    <w:rPr>
                      <w:rFonts w:ascii="Times New Roman" w:hAnsi="Times New Roman" w:cs="Times New Roman"/>
                      <w:sz w:val="21"/>
                      <w:szCs w:val="21"/>
                    </w:rPr>
                  </w:pPr>
                  <w:r>
                    <w:rPr>
                      <w:rFonts w:ascii="Times New Roman" w:hAnsi="Times New Roman" w:cs="Times New Roman"/>
                      <w:sz w:val="21"/>
                      <w:szCs w:val="21"/>
                    </w:rPr>
                    <w:t>250</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93" w:type="dxa"/>
                  <w:vAlign w:val="center"/>
                </w:tcPr>
                <w:p>
                  <w:pPr>
                    <w:pStyle w:val="74"/>
                    <w:rPr>
                      <w:rFonts w:ascii="Times New Roman" w:hAnsi="Times New Roman" w:cs="Times New Roman"/>
                      <w:sz w:val="21"/>
                      <w:szCs w:val="21"/>
                    </w:rPr>
                  </w:pPr>
                  <w:r>
                    <w:rPr>
                      <w:rFonts w:ascii="Times New Roman" w:hAnsi="Times New Roman" w:cs="Times New Roman"/>
                      <w:sz w:val="21"/>
                      <w:szCs w:val="21"/>
                    </w:rPr>
                    <w:t>沉降速度（m/s）</w:t>
                  </w:r>
                </w:p>
              </w:tc>
              <w:tc>
                <w:tcPr>
                  <w:tcW w:w="886" w:type="dxa"/>
                  <w:vAlign w:val="center"/>
                </w:tcPr>
                <w:p>
                  <w:pPr>
                    <w:pStyle w:val="74"/>
                    <w:rPr>
                      <w:rFonts w:ascii="Times New Roman" w:hAnsi="Times New Roman" w:cs="Times New Roman"/>
                      <w:sz w:val="21"/>
                      <w:szCs w:val="21"/>
                    </w:rPr>
                  </w:pPr>
                  <w:r>
                    <w:rPr>
                      <w:rFonts w:ascii="Times New Roman" w:hAnsi="Times New Roman" w:cs="Times New Roman"/>
                      <w:sz w:val="21"/>
                      <w:szCs w:val="21"/>
                    </w:rPr>
                    <w:t>0.158</w:t>
                  </w:r>
                </w:p>
              </w:tc>
              <w:tc>
                <w:tcPr>
                  <w:tcW w:w="886" w:type="dxa"/>
                  <w:vAlign w:val="center"/>
                </w:tcPr>
                <w:p>
                  <w:pPr>
                    <w:pStyle w:val="74"/>
                    <w:rPr>
                      <w:rFonts w:ascii="Times New Roman" w:hAnsi="Times New Roman" w:cs="Times New Roman"/>
                      <w:sz w:val="21"/>
                      <w:szCs w:val="21"/>
                    </w:rPr>
                  </w:pPr>
                  <w:r>
                    <w:rPr>
                      <w:rFonts w:ascii="Times New Roman" w:hAnsi="Times New Roman" w:cs="Times New Roman"/>
                      <w:sz w:val="21"/>
                      <w:szCs w:val="21"/>
                    </w:rPr>
                    <w:t>0.170</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0.182</w:t>
                  </w:r>
                </w:p>
              </w:tc>
              <w:tc>
                <w:tcPr>
                  <w:tcW w:w="888" w:type="dxa"/>
                  <w:vAlign w:val="center"/>
                </w:tcPr>
                <w:p>
                  <w:pPr>
                    <w:pStyle w:val="74"/>
                    <w:rPr>
                      <w:rFonts w:ascii="Times New Roman" w:hAnsi="Times New Roman" w:cs="Times New Roman"/>
                      <w:sz w:val="21"/>
                      <w:szCs w:val="21"/>
                    </w:rPr>
                  </w:pPr>
                  <w:r>
                    <w:rPr>
                      <w:rFonts w:ascii="Times New Roman" w:hAnsi="Times New Roman" w:cs="Times New Roman"/>
                      <w:sz w:val="21"/>
                      <w:szCs w:val="21"/>
                    </w:rPr>
                    <w:t>0.239</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0.804</w:t>
                  </w:r>
                </w:p>
              </w:tc>
              <w:tc>
                <w:tcPr>
                  <w:tcW w:w="888" w:type="dxa"/>
                  <w:vAlign w:val="center"/>
                </w:tcPr>
                <w:p>
                  <w:pPr>
                    <w:pStyle w:val="74"/>
                    <w:rPr>
                      <w:rFonts w:ascii="Times New Roman" w:hAnsi="Times New Roman" w:cs="Times New Roman"/>
                      <w:sz w:val="21"/>
                      <w:szCs w:val="21"/>
                    </w:rPr>
                  </w:pPr>
                  <w:r>
                    <w:rPr>
                      <w:rFonts w:ascii="Times New Roman" w:hAnsi="Times New Roman" w:cs="Times New Roman"/>
                      <w:sz w:val="21"/>
                      <w:szCs w:val="21"/>
                    </w:rPr>
                    <w:t>1.005</w:t>
                  </w:r>
                </w:p>
              </w:tc>
              <w:tc>
                <w:tcPr>
                  <w:tcW w:w="887" w:type="dxa"/>
                  <w:vAlign w:val="center"/>
                </w:tcPr>
                <w:p>
                  <w:pPr>
                    <w:pStyle w:val="74"/>
                    <w:rPr>
                      <w:rFonts w:ascii="Times New Roman" w:hAnsi="Times New Roman" w:cs="Times New Roman"/>
                      <w:sz w:val="21"/>
                      <w:szCs w:val="21"/>
                    </w:rPr>
                  </w:pPr>
                  <w:r>
                    <w:rPr>
                      <w:rFonts w:ascii="Times New Roman" w:hAnsi="Times New Roman" w:cs="Times New Roman"/>
                      <w:sz w:val="21"/>
                      <w:szCs w:val="21"/>
                    </w:rPr>
                    <w:t>1.829</w:t>
                  </w:r>
                </w:p>
              </w:tc>
            </w:tr>
          </w:tbl>
          <w:p>
            <w:pPr>
              <w:adjustRightInd w:val="0"/>
              <w:snapToGrid w:val="0"/>
              <w:spacing w:line="360" w:lineRule="auto"/>
              <w:ind w:firstLine="480"/>
              <w:rPr>
                <w:kern w:val="0"/>
              </w:rPr>
            </w:pPr>
            <w:r>
              <w:rPr>
                <w:kern w:val="0"/>
              </w:rPr>
              <w:t>由表7-3可知，粉尘的沉降速度随着粒径的增大而迅速增大，当粒径大于250μm时，主要影响范围在扬尘产生点下风向近距离范围内，而对外环境影响较大的是一些粒径微小的粉尘。</w:t>
            </w:r>
          </w:p>
          <w:p>
            <w:pPr>
              <w:adjustRightInd w:val="0"/>
              <w:snapToGrid w:val="0"/>
              <w:spacing w:line="360" w:lineRule="auto"/>
              <w:ind w:firstLine="480"/>
              <w:rPr>
                <w:kern w:val="0"/>
              </w:rPr>
            </w:pPr>
            <w:r>
              <w:rPr>
                <w:kern w:val="0"/>
              </w:rPr>
              <w:t>因本工程在施工阶段，伴随着土方的挖掘、装卸和运输等施工活动，其扬尘周围环境会有一定影响的。因此建设单位必须充分重视扬尘所带来的环境污染问题，应从车辆途经路段、车辆行驶速度以及车辆轮胎清洁度，施工工地堆场、裸露地表等方面采取合理可行的污染控制措施，最大程度减轻其污染程度。</w:t>
            </w:r>
          </w:p>
          <w:p>
            <w:pPr>
              <w:autoSpaceDE w:val="0"/>
              <w:autoSpaceDN w:val="0"/>
              <w:adjustRightInd w:val="0"/>
              <w:snapToGrid w:val="0"/>
              <w:spacing w:line="360" w:lineRule="auto"/>
              <w:ind w:firstLine="480" w:firstLineChars="200"/>
              <w:jc w:val="left"/>
              <w:rPr>
                <w:kern w:val="0"/>
              </w:rPr>
            </w:pPr>
            <w:r>
              <w:rPr>
                <w:rFonts w:hint="eastAsia"/>
                <w:kern w:val="0"/>
              </w:rPr>
              <w:t>根据《大气污染防治行动计划》（国发[2013]37号）、《四川省大气污染防治行动计划实施细则、《乐山市打赢蓝天保卫战实施方案》中对标省内最高标准严格施工扬尘监管。将施工工地扬尘污染防治纳入文明施工管理范畴，建立扬尘控制责任制度，扬尘治理费用列入工程造价。建筑施工工地全部做到工地周边围挡、物料堆放覆盖、土方开挖湿法作业、路面硬化、出入车辆清洗、渣土车辆密闭运输“六个百分之百”。施工场地全部安装高空作业雾炮和围挡喷淋装置、在线监测和视频监控设备，为减小施工期扬尘对周围环境产生的影响，建设单位必须充分重视扬尘所带来的环境污染问题，本环评要求采取以下措施</w:t>
            </w:r>
            <w:r>
              <w:rPr>
                <w:kern w:val="0"/>
              </w:rPr>
              <w:t>：</w:t>
            </w:r>
          </w:p>
          <w:p>
            <w:pPr>
              <w:autoSpaceDE w:val="0"/>
              <w:autoSpaceDN w:val="0"/>
              <w:spacing w:line="360" w:lineRule="auto"/>
              <w:ind w:firstLine="480"/>
              <w:rPr>
                <w:kern w:val="0"/>
              </w:rPr>
            </w:pPr>
            <w:r>
              <w:rPr>
                <w:rFonts w:hint="eastAsia"/>
                <w:kern w:val="0"/>
              </w:rPr>
              <w:t>①</w:t>
            </w:r>
            <w:r>
              <w:rPr>
                <w:kern w:val="0"/>
              </w:rPr>
              <w:t>施工企业要在开工前制定建筑施工现场扬尘控制措施；</w:t>
            </w:r>
          </w:p>
          <w:p>
            <w:pPr>
              <w:autoSpaceDE w:val="0"/>
              <w:autoSpaceDN w:val="0"/>
              <w:spacing w:line="360" w:lineRule="auto"/>
              <w:ind w:firstLine="480"/>
              <w:rPr>
                <w:kern w:val="0"/>
              </w:rPr>
            </w:pPr>
            <w:r>
              <w:rPr>
                <w:rFonts w:hint="eastAsia"/>
                <w:kern w:val="0"/>
              </w:rPr>
              <w:t>②</w:t>
            </w:r>
            <w:r>
              <w:rPr>
                <w:kern w:val="0"/>
              </w:rPr>
              <w:t>施工现场实行围挡封闭，围挡高度不得低于1.8m，围档底边应当封闭并设置防溢沉淀井，不得有泥浆外漏；</w:t>
            </w:r>
          </w:p>
          <w:p>
            <w:pPr>
              <w:autoSpaceDE w:val="0"/>
              <w:autoSpaceDN w:val="0"/>
              <w:spacing w:line="360" w:lineRule="auto"/>
              <w:ind w:firstLine="480"/>
              <w:rPr>
                <w:kern w:val="0"/>
              </w:rPr>
            </w:pPr>
            <w:r>
              <w:rPr>
                <w:rFonts w:hint="eastAsia"/>
                <w:kern w:val="0"/>
              </w:rPr>
              <w:t>③</w:t>
            </w:r>
            <w:r>
              <w:rPr>
                <w:kern w:val="0"/>
              </w:rPr>
              <w:t>施工现场出入口道路实施混凝土硬化并配备车辆冲洗设施。对驶出施工现场的机动车辆冲洗干净，方可上路；</w:t>
            </w:r>
          </w:p>
          <w:p>
            <w:pPr>
              <w:autoSpaceDE w:val="0"/>
              <w:autoSpaceDN w:val="0"/>
              <w:spacing w:line="360" w:lineRule="auto"/>
              <w:ind w:firstLine="480"/>
              <w:rPr>
                <w:kern w:val="0"/>
              </w:rPr>
            </w:pPr>
            <w:r>
              <w:rPr>
                <w:rFonts w:hint="eastAsia"/>
                <w:kern w:val="0"/>
              </w:rPr>
              <w:t>④</w:t>
            </w:r>
            <w:r>
              <w:rPr>
                <w:kern w:val="0"/>
              </w:rPr>
              <w:t>施工现场设置洒水降尘设施，保持一定的湿度，以减少扬尘量，安排专人定时洒水降尘；</w:t>
            </w:r>
          </w:p>
          <w:p>
            <w:pPr>
              <w:autoSpaceDE w:val="0"/>
              <w:autoSpaceDN w:val="0"/>
              <w:spacing w:line="360" w:lineRule="auto"/>
              <w:ind w:firstLine="480"/>
              <w:rPr>
                <w:kern w:val="0"/>
              </w:rPr>
            </w:pPr>
            <w:r>
              <w:rPr>
                <w:rFonts w:hint="eastAsia"/>
                <w:kern w:val="0"/>
              </w:rPr>
              <w:t>⑤</w:t>
            </w:r>
            <w:r>
              <w:rPr>
                <w:kern w:val="0"/>
              </w:rPr>
              <w:t>施工现场禁止焚烧沥青、油毡、橡胶、塑料、皮革、垃圾以及其他产生有毒有害烟尘和恶臭气体的物质；</w:t>
            </w:r>
          </w:p>
          <w:p>
            <w:pPr>
              <w:autoSpaceDE w:val="0"/>
              <w:autoSpaceDN w:val="0"/>
              <w:spacing w:line="360" w:lineRule="auto"/>
              <w:ind w:firstLine="480"/>
              <w:rPr>
                <w:kern w:val="0"/>
              </w:rPr>
            </w:pPr>
            <w:r>
              <w:rPr>
                <w:rFonts w:hint="eastAsia"/>
                <w:kern w:val="0"/>
              </w:rPr>
              <w:t>⑥</w:t>
            </w:r>
            <w:r>
              <w:rPr>
                <w:kern w:val="0"/>
              </w:rPr>
              <w:t>施工现场使用商品混凝土；</w:t>
            </w:r>
          </w:p>
          <w:p>
            <w:pPr>
              <w:autoSpaceDE w:val="0"/>
              <w:autoSpaceDN w:val="0"/>
              <w:spacing w:line="360" w:lineRule="auto"/>
              <w:ind w:firstLine="480"/>
              <w:rPr>
                <w:kern w:val="0"/>
              </w:rPr>
            </w:pPr>
            <w:r>
              <w:rPr>
                <w:rFonts w:hint="eastAsia"/>
                <w:kern w:val="0"/>
              </w:rPr>
              <w:t>⑦</w:t>
            </w:r>
            <w:r>
              <w:rPr>
                <w:kern w:val="0"/>
              </w:rPr>
              <w:t>运进或运出砂石、建筑垃圾等易产生扬尘的材料，应采取封闭运输。风速过大时停止施工作业，并对堆放的砂石等建筑材料进行遮盖处理</w:t>
            </w:r>
            <w:r>
              <w:rPr>
                <w:rFonts w:hint="eastAsia"/>
                <w:kern w:val="0"/>
              </w:rPr>
              <w:t>；</w:t>
            </w:r>
          </w:p>
          <w:p>
            <w:pPr>
              <w:autoSpaceDE w:val="0"/>
              <w:autoSpaceDN w:val="0"/>
              <w:spacing w:line="360" w:lineRule="auto"/>
              <w:ind w:firstLine="480"/>
              <w:rPr>
                <w:kern w:val="0"/>
              </w:rPr>
            </w:pPr>
            <w:r>
              <w:rPr>
                <w:kern w:val="0"/>
              </w:rPr>
              <w:fldChar w:fldCharType="begin"/>
            </w:r>
            <w:r>
              <w:rPr>
                <w:kern w:val="0"/>
              </w:rPr>
              <w:instrText xml:space="preserve"> = 8 \* GB3 \* MERGEFORMAT </w:instrText>
            </w:r>
            <w:r>
              <w:rPr>
                <w:kern w:val="0"/>
              </w:rPr>
              <w:fldChar w:fldCharType="separate"/>
            </w:r>
            <w:r>
              <w:rPr>
                <w:rFonts w:hint="eastAsia"/>
                <w:kern w:val="0"/>
              </w:rPr>
              <w:t>⑧</w:t>
            </w:r>
            <w:r>
              <w:rPr>
                <w:kern w:val="0"/>
              </w:rPr>
              <w:fldChar w:fldCharType="end"/>
            </w:r>
            <w:r>
              <w:rPr>
                <w:kern w:val="0"/>
              </w:rPr>
              <w:t>对于管网工程应实施分段施工，尽可能缩短工期，及时清运弃土和恢复道路；</w:t>
            </w:r>
          </w:p>
          <w:p>
            <w:pPr>
              <w:autoSpaceDE w:val="0"/>
              <w:autoSpaceDN w:val="0"/>
              <w:adjustRightInd w:val="0"/>
              <w:snapToGrid w:val="0"/>
              <w:spacing w:line="360" w:lineRule="auto"/>
              <w:ind w:firstLine="480" w:firstLineChars="200"/>
              <w:rPr>
                <w:kern w:val="0"/>
              </w:rPr>
            </w:pPr>
            <w:r>
              <w:rPr>
                <w:kern w:val="0"/>
              </w:rPr>
              <w:fldChar w:fldCharType="begin"/>
            </w:r>
            <w:r>
              <w:rPr>
                <w:kern w:val="0"/>
              </w:rPr>
              <w:instrText xml:space="preserve"> = 9 \* GB3 \* MERGEFORMAT </w:instrText>
            </w:r>
            <w:r>
              <w:rPr>
                <w:kern w:val="0"/>
              </w:rPr>
              <w:fldChar w:fldCharType="separate"/>
            </w:r>
            <w:r>
              <w:rPr>
                <w:rFonts w:hint="eastAsia" w:ascii="宋体" w:hAnsi="宋体" w:cs="宋体"/>
                <w:kern w:val="0"/>
              </w:rPr>
              <w:t>⑨</w:t>
            </w:r>
            <w:r>
              <w:rPr>
                <w:kern w:val="0"/>
              </w:rPr>
              <w:fldChar w:fldCharType="end"/>
            </w:r>
            <w:r>
              <w:rPr>
                <w:kern w:val="0"/>
              </w:rPr>
              <w:t>对于经过居民较集中的区域，管网应有计划有步骤组织施工，做到连续作业、快速施工，避免管网施工两侧堆积大量弃土。</w:t>
            </w:r>
          </w:p>
          <w:p>
            <w:pPr>
              <w:autoSpaceDE w:val="0"/>
              <w:autoSpaceDN w:val="0"/>
              <w:adjustRightInd w:val="0"/>
              <w:snapToGrid w:val="0"/>
              <w:spacing w:line="360" w:lineRule="auto"/>
              <w:ind w:firstLine="480" w:firstLineChars="200"/>
              <w:rPr>
                <w:kern w:val="0"/>
              </w:rPr>
            </w:pPr>
            <w:r>
              <w:rPr>
                <w:lang w:bidi="ar"/>
              </w:rPr>
              <w:t>施工期扬尘对环境空气的影响是暂时的和可恢复的，随着施工活动的结束，施工场地进行绿化，道路、建筑物的形成，施工扬尘对周围环境的影响也将结束。</w:t>
            </w:r>
            <w:r>
              <w:rPr>
                <w:kern w:val="0"/>
              </w:rPr>
              <w:t>综上所述，拟建项目施工期产生的扬尘只要采取以上措施处理后，对周边环境影响较小。</w:t>
            </w:r>
          </w:p>
          <w:p>
            <w:pPr>
              <w:autoSpaceDE w:val="0"/>
              <w:autoSpaceDN w:val="0"/>
              <w:adjustRightInd w:val="0"/>
              <w:snapToGrid w:val="0"/>
              <w:spacing w:line="360" w:lineRule="auto"/>
              <w:ind w:firstLine="360" w:firstLineChars="150"/>
              <w:jc w:val="left"/>
              <w:rPr>
                <w:kern w:val="0"/>
              </w:rPr>
            </w:pPr>
            <w:r>
              <w:rPr>
                <w:kern w:val="0"/>
              </w:rPr>
              <w:t>（2）汽车尾气</w:t>
            </w:r>
          </w:p>
          <w:p>
            <w:pPr>
              <w:adjustRightInd w:val="0"/>
              <w:snapToGrid w:val="0"/>
              <w:spacing w:line="360" w:lineRule="auto"/>
              <w:ind w:firstLine="482"/>
              <w:rPr>
                <w:kern w:val="0"/>
              </w:rPr>
            </w:pPr>
            <w:r>
              <w:rPr>
                <w:kern w:val="0"/>
              </w:rPr>
              <w:t>施工车辆（工程车）、施工机械等一般均采用柴油为燃料，产生CO、HC、NO</w:t>
            </w:r>
            <w:r>
              <w:rPr>
                <w:vertAlign w:val="subscript"/>
              </w:rPr>
              <w:t>x</w:t>
            </w:r>
            <w:r>
              <w:rPr>
                <w:kern w:val="0"/>
              </w:rPr>
              <w:t xml:space="preserve"> 等尾气污染物，车辆以及施工机械分布较散，大部分为流动性，产生情况表现为局部和间歇性，其排放量也较小，经自然扩散后，其对周边环境敏感点以及周边大气环境影响不大。</w:t>
            </w:r>
          </w:p>
          <w:p>
            <w:pPr>
              <w:spacing w:line="360" w:lineRule="auto"/>
              <w:ind w:firstLine="480"/>
              <w:rPr>
                <w:rFonts w:cs="Times New Roman"/>
                <w:szCs w:val="24"/>
              </w:rPr>
            </w:pPr>
            <w:r>
              <w:rPr>
                <w:kern w:val="0"/>
              </w:rPr>
              <w:t>由于本项目建设规模较小，施工时间较短，故采取上述措施后，本项目施工期产生的废气对周围环境不会产生明显的不利影响，且随着施工期的结束影响即消除。</w:t>
            </w:r>
          </w:p>
          <w:p>
            <w:pPr>
              <w:pStyle w:val="70"/>
              <w:adjustRightInd w:val="0"/>
              <w:snapToGrid w:val="0"/>
              <w:spacing w:before="0" w:beforeLines="0"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综上，</w:t>
            </w:r>
            <w:r>
              <w:rPr>
                <w:rFonts w:ascii="Times New Roman" w:hAnsi="Times New Roman" w:eastAsia="宋体" w:cs="Times New Roman"/>
                <w:sz w:val="24"/>
                <w:szCs w:val="24"/>
                <w:u w:val="single"/>
              </w:rPr>
              <w:t>项目施工期将会对施工场地周围的环境空气质量造成一定影响，但这些影响随着施工期的结束也会结束。因此，项目施工期不会造成项目所在地环境空气质量明显恶化，不会对各敏感点造成不良影响。</w:t>
            </w:r>
          </w:p>
          <w:p>
            <w:pPr>
              <w:spacing w:line="360" w:lineRule="auto"/>
              <w:textAlignment w:val="center"/>
              <w:rPr>
                <w:rFonts w:cs="Times New Roman"/>
                <w:b/>
                <w:szCs w:val="24"/>
              </w:rPr>
            </w:pPr>
            <w:r>
              <w:rPr>
                <w:rFonts w:cs="Times New Roman"/>
                <w:b/>
                <w:szCs w:val="24"/>
              </w:rPr>
              <w:t>（二）施工废水对环境影响分析</w:t>
            </w:r>
          </w:p>
          <w:p>
            <w:pPr>
              <w:spacing w:line="360" w:lineRule="auto"/>
              <w:ind w:firstLine="480"/>
              <w:rPr>
                <w:rFonts w:cs="Times New Roman"/>
                <w:szCs w:val="24"/>
              </w:rPr>
            </w:pPr>
            <w:r>
              <w:rPr>
                <w:rFonts w:cs="Times New Roman"/>
                <w:szCs w:val="24"/>
              </w:rPr>
              <w:t>项目施工期废污水主要为施工废水和生活污水。</w:t>
            </w:r>
          </w:p>
          <w:p>
            <w:pPr>
              <w:pStyle w:val="188"/>
              <w:numPr>
                <w:ilvl w:val="0"/>
                <w:numId w:val="2"/>
              </w:numPr>
              <w:spacing w:line="360" w:lineRule="auto"/>
              <w:ind w:firstLineChars="0"/>
              <w:rPr>
                <w:rFonts w:cs="Times New Roman"/>
                <w:szCs w:val="24"/>
              </w:rPr>
            </w:pPr>
            <w:r>
              <w:rPr>
                <w:rFonts w:cs="Times New Roman"/>
                <w:szCs w:val="24"/>
              </w:rPr>
              <w:t>施工人员生活废水</w:t>
            </w:r>
          </w:p>
          <w:p>
            <w:pPr>
              <w:spacing w:line="360" w:lineRule="auto"/>
              <w:ind w:firstLine="480"/>
              <w:rPr>
                <w:rFonts w:cs="Times New Roman"/>
              </w:rPr>
            </w:pPr>
            <w:r>
              <w:rPr>
                <w:rFonts w:cs="Times New Roman"/>
                <w:szCs w:val="24"/>
              </w:rPr>
              <w:t>项目施工人员产生生活废水约0.96m</w:t>
            </w:r>
            <w:r>
              <w:rPr>
                <w:rFonts w:cs="Times New Roman"/>
                <w:szCs w:val="24"/>
                <w:vertAlign w:val="superscript"/>
              </w:rPr>
              <w:t>3</w:t>
            </w:r>
            <w:r>
              <w:rPr>
                <w:rFonts w:cs="Times New Roman"/>
                <w:szCs w:val="24"/>
              </w:rPr>
              <w:t>/d，</w:t>
            </w:r>
            <w:r>
              <w:rPr>
                <w:kern w:val="0"/>
              </w:rPr>
              <w:t>依托周边农户解决</w:t>
            </w:r>
            <w:r>
              <w:t>，用于农田灌溉</w:t>
            </w:r>
            <w:r>
              <w:rPr>
                <w:rFonts w:cs="Times New Roman"/>
              </w:rPr>
              <w:t>。</w:t>
            </w:r>
          </w:p>
          <w:p>
            <w:pPr>
              <w:spacing w:line="360" w:lineRule="auto"/>
              <w:ind w:firstLine="480"/>
              <w:rPr>
                <w:rFonts w:cs="Times New Roman"/>
                <w:szCs w:val="24"/>
              </w:rPr>
            </w:pPr>
            <w:r>
              <w:rPr>
                <w:rFonts w:hint="eastAsia" w:ascii="宋体" w:hAnsi="宋体" w:cs="宋体"/>
                <w:szCs w:val="24"/>
              </w:rPr>
              <w:t>②</w:t>
            </w:r>
            <w:r>
              <w:rPr>
                <w:rFonts w:cs="Times New Roman"/>
                <w:szCs w:val="24"/>
              </w:rPr>
              <w:t>施工作业废水</w:t>
            </w:r>
          </w:p>
          <w:p>
            <w:pPr>
              <w:spacing w:line="360" w:lineRule="auto"/>
              <w:ind w:firstLine="480"/>
            </w:pPr>
            <w:r>
              <w:rPr>
                <w:rFonts w:cs="Times New Roman"/>
                <w:szCs w:val="24"/>
              </w:rPr>
              <w:t>施</w:t>
            </w:r>
            <w:r>
              <w:t>工废水主要来源于</w:t>
            </w:r>
            <w:r>
              <w:rPr>
                <w:kern w:val="0"/>
              </w:rPr>
              <w:t>施工期间产生水泥砼养护废水、机械和车辆冲洗废水等</w:t>
            </w:r>
            <w:r>
              <w:t>，约1m</w:t>
            </w:r>
            <w:r>
              <w:rPr>
                <w:vertAlign w:val="superscript"/>
              </w:rPr>
              <w:t>3</w:t>
            </w:r>
            <w:r>
              <w:t>/d，主要含泥砂，SS浓度400~1000mg/L，并带有少量油污。施工废水经简单沉淀池处理后循环使用或用于施工场地的洒水降尘，不外排。</w:t>
            </w:r>
          </w:p>
          <w:p>
            <w:pPr>
              <w:spacing w:line="360" w:lineRule="auto"/>
              <w:ind w:firstLine="480"/>
              <w:rPr>
                <w:rFonts w:cs="Times New Roman"/>
                <w:szCs w:val="24"/>
                <w:u w:val="single"/>
              </w:rPr>
            </w:pPr>
            <w:r>
              <w:rPr>
                <w:rFonts w:cs="Times New Roman"/>
                <w:szCs w:val="24"/>
                <w:u w:val="single"/>
              </w:rPr>
              <w:t>通过采取上述措施后，项目施工期产生的废水可以得到妥善处理，不会对项目所在区域地表水环境产生影响。</w:t>
            </w:r>
          </w:p>
          <w:p>
            <w:pPr>
              <w:spacing w:line="360" w:lineRule="auto"/>
              <w:textAlignment w:val="center"/>
              <w:rPr>
                <w:rFonts w:cs="Times New Roman"/>
                <w:b/>
                <w:szCs w:val="24"/>
              </w:rPr>
            </w:pPr>
            <w:r>
              <w:rPr>
                <w:rFonts w:cs="Times New Roman"/>
                <w:b/>
                <w:szCs w:val="24"/>
              </w:rPr>
              <w:t>（三）施工噪声的影响分析</w:t>
            </w:r>
          </w:p>
          <w:p>
            <w:pPr>
              <w:adjustRightInd w:val="0"/>
              <w:snapToGrid w:val="0"/>
              <w:spacing w:line="360" w:lineRule="auto"/>
              <w:ind w:firstLine="480" w:firstLineChars="200"/>
              <w:jc w:val="left"/>
              <w:rPr>
                <w:kern w:val="0"/>
              </w:rPr>
            </w:pPr>
            <w:r>
              <w:rPr>
                <w:kern w:val="0"/>
              </w:rPr>
              <w:t>土建施工期噪声具有阶段性、临时性和不固定性。据同类型调研，本项目建设期的噪声主要来自装修是产生的施工作业噪声。在多台机械设备同时作业时，各台设备产生的噪声会产生叠加，根据类比调查，叠加后的噪声增值约为3~8</w:t>
            </w:r>
            <w:r>
              <w:rPr>
                <w:rFonts w:hint="eastAsia"/>
              </w:rPr>
              <w:t>dB（A）</w:t>
            </w:r>
            <w:r>
              <w:rPr>
                <w:kern w:val="0"/>
              </w:rPr>
              <w:t>。</w:t>
            </w:r>
          </w:p>
          <w:p>
            <w:pPr>
              <w:adjustRightInd w:val="0"/>
              <w:snapToGrid w:val="0"/>
              <w:spacing w:line="360" w:lineRule="auto"/>
              <w:ind w:firstLine="480" w:firstLineChars="200"/>
              <w:rPr>
                <w:kern w:val="0"/>
              </w:rPr>
            </w:pPr>
            <w:r>
              <w:rPr>
                <w:kern w:val="0"/>
              </w:rPr>
              <w:t>（1）施工期噪声控制标准</w:t>
            </w:r>
          </w:p>
          <w:p>
            <w:pPr>
              <w:adjustRightInd w:val="0"/>
              <w:snapToGrid w:val="0"/>
              <w:spacing w:line="360" w:lineRule="auto"/>
              <w:ind w:firstLine="480" w:firstLineChars="200"/>
              <w:rPr>
                <w:kern w:val="0"/>
              </w:rPr>
            </w:pPr>
            <w:r>
              <w:rPr>
                <w:kern w:val="0"/>
              </w:rPr>
              <w:t>本项目施工期机械设备噪声对环境的影响参照《建筑施工场界环境噪声排放标准》（GB12523-2011）标准，其标准限值见表7-4。</w:t>
            </w:r>
          </w:p>
          <w:p>
            <w:pPr>
              <w:widowControl/>
              <w:adjustRightInd w:val="0"/>
              <w:snapToGrid w:val="0"/>
              <w:spacing w:line="480" w:lineRule="exact"/>
              <w:ind w:right="106" w:rightChars="44"/>
              <w:jc w:val="center"/>
              <w:rPr>
                <w:rFonts w:cs="Times New Roman"/>
                <w:b/>
                <w:szCs w:val="24"/>
              </w:rPr>
            </w:pPr>
            <w:r>
              <w:rPr>
                <w:rFonts w:cs="Times New Roman"/>
                <w:b/>
                <w:szCs w:val="24"/>
              </w:rPr>
              <w:t>表7-4  建筑施工场界环境噪声排放标准（GB12523-2011）</w:t>
            </w:r>
          </w:p>
          <w:tbl>
            <w:tblPr>
              <w:tblStyle w:val="30"/>
              <w:tblW w:w="8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3"/>
              <w:gridCol w:w="4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3" w:type="dxa"/>
                  <w:vAlign w:val="center"/>
                </w:tcPr>
                <w:p>
                  <w:pPr>
                    <w:jc w:val="center"/>
                    <w:rPr>
                      <w:b/>
                      <w:bCs/>
                      <w:sz w:val="21"/>
                    </w:rPr>
                  </w:pPr>
                  <w:r>
                    <w:rPr>
                      <w:b/>
                      <w:bCs/>
                      <w:sz w:val="21"/>
                    </w:rPr>
                    <w:t>昼间dB(A)</w:t>
                  </w:r>
                </w:p>
              </w:tc>
              <w:tc>
                <w:tcPr>
                  <w:tcW w:w="4029" w:type="dxa"/>
                  <w:vAlign w:val="center"/>
                </w:tcPr>
                <w:p>
                  <w:pPr>
                    <w:jc w:val="center"/>
                    <w:rPr>
                      <w:b/>
                      <w:bCs/>
                      <w:sz w:val="21"/>
                    </w:rPr>
                  </w:pPr>
                  <w:r>
                    <w:rPr>
                      <w:b/>
                      <w:bCs/>
                      <w:sz w:val="21"/>
                    </w:rPr>
                    <w:t>夜间dB(A)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3" w:type="dxa"/>
                  <w:vAlign w:val="center"/>
                </w:tcPr>
                <w:p>
                  <w:pPr>
                    <w:jc w:val="center"/>
                    <w:rPr>
                      <w:sz w:val="21"/>
                    </w:rPr>
                  </w:pPr>
                  <w:r>
                    <w:rPr>
                      <w:sz w:val="21"/>
                    </w:rPr>
                    <w:t>70</w:t>
                  </w:r>
                </w:p>
              </w:tc>
              <w:tc>
                <w:tcPr>
                  <w:tcW w:w="4029" w:type="dxa"/>
                  <w:vAlign w:val="center"/>
                </w:tcPr>
                <w:p>
                  <w:pPr>
                    <w:jc w:val="center"/>
                    <w:rPr>
                      <w:sz w:val="21"/>
                    </w:rPr>
                  </w:pPr>
                  <w:r>
                    <w:rPr>
                      <w:sz w:val="21"/>
                    </w:rPr>
                    <w:t>55</w:t>
                  </w:r>
                </w:p>
              </w:tc>
            </w:tr>
          </w:tbl>
          <w:p>
            <w:pPr>
              <w:spacing w:line="360" w:lineRule="auto"/>
              <w:ind w:firstLine="360" w:firstLineChars="150"/>
              <w:rPr>
                <w:kern w:val="0"/>
              </w:rPr>
            </w:pPr>
            <w:r>
              <w:rPr>
                <w:kern w:val="0"/>
              </w:rPr>
              <w:t>（2）施工期噪声衰减情况</w:t>
            </w:r>
          </w:p>
          <w:p>
            <w:pPr>
              <w:spacing w:line="360" w:lineRule="auto"/>
              <w:ind w:firstLine="480"/>
              <w:rPr>
                <w:kern w:val="0"/>
              </w:rPr>
            </w:pPr>
            <w:r>
              <w:rPr>
                <w:kern w:val="0"/>
              </w:rPr>
              <w:t>由于本工程非特殊工程，不需特殊的施工机械，施工过程产生的噪声主要属于中低频噪声，因此在预测其影响时可单独考虑其扩散衰减，即预模型可选用：</w:t>
            </w:r>
          </w:p>
          <w:p>
            <w:pPr>
              <w:spacing w:line="360" w:lineRule="auto"/>
              <w:ind w:firstLine="480"/>
              <w:jc w:val="center"/>
              <w:rPr>
                <w:kern w:val="0"/>
              </w:rPr>
            </w:pPr>
            <w:r>
              <w:rPr>
                <w:kern w:val="0"/>
              </w:rPr>
              <w:t>L</w:t>
            </w:r>
            <w:r>
              <w:rPr>
                <w:kern w:val="0"/>
                <w:vertAlign w:val="subscript"/>
              </w:rPr>
              <w:t>2</w:t>
            </w:r>
            <w:r>
              <w:rPr>
                <w:kern w:val="0"/>
              </w:rPr>
              <w:t>=L</w:t>
            </w:r>
            <w:r>
              <w:rPr>
                <w:kern w:val="0"/>
                <w:vertAlign w:val="subscript"/>
              </w:rPr>
              <w:t>1</w:t>
            </w:r>
            <w:r>
              <w:rPr>
                <w:kern w:val="0"/>
              </w:rPr>
              <w:t>-20lgr</w:t>
            </w:r>
            <w:r>
              <w:rPr>
                <w:kern w:val="0"/>
                <w:vertAlign w:val="subscript"/>
              </w:rPr>
              <w:t>2</w:t>
            </w:r>
            <w:r>
              <w:rPr>
                <w:kern w:val="0"/>
              </w:rPr>
              <w:t>/r</w:t>
            </w:r>
            <w:r>
              <w:rPr>
                <w:kern w:val="0"/>
                <w:vertAlign w:val="subscript"/>
              </w:rPr>
              <w:t>1</w:t>
            </w:r>
            <w:r>
              <w:rPr>
                <w:kern w:val="0"/>
              </w:rPr>
              <w:t xml:space="preserve"> (r</w:t>
            </w:r>
            <w:r>
              <w:rPr>
                <w:kern w:val="0"/>
                <w:vertAlign w:val="subscript"/>
              </w:rPr>
              <w:t>2</w:t>
            </w:r>
            <w:r>
              <w:rPr>
                <w:kern w:val="0"/>
              </w:rPr>
              <w:t>&gt;r</w:t>
            </w:r>
            <w:r>
              <w:rPr>
                <w:kern w:val="0"/>
                <w:vertAlign w:val="subscript"/>
              </w:rPr>
              <w:t>1</w:t>
            </w:r>
            <w:r>
              <w:rPr>
                <w:kern w:val="0"/>
              </w:rPr>
              <w:t>)</w:t>
            </w:r>
          </w:p>
          <w:p>
            <w:pPr>
              <w:spacing w:line="360" w:lineRule="auto"/>
              <w:ind w:firstLine="480"/>
              <w:rPr>
                <w:kern w:val="0"/>
              </w:rPr>
            </w:pPr>
            <w:r>
              <w:rPr>
                <w:kern w:val="0"/>
              </w:rPr>
              <w:t>式中：L</w:t>
            </w:r>
            <w:r>
              <w:rPr>
                <w:kern w:val="0"/>
                <w:vertAlign w:val="subscript"/>
              </w:rPr>
              <w:t>1</w:t>
            </w:r>
            <w:r>
              <w:rPr>
                <w:kern w:val="0"/>
              </w:rPr>
              <w:t>、L</w:t>
            </w:r>
            <w:r>
              <w:rPr>
                <w:kern w:val="0"/>
                <w:vertAlign w:val="subscript"/>
              </w:rPr>
              <w:t>2</w:t>
            </w:r>
            <w:r>
              <w:rPr>
                <w:kern w:val="0"/>
              </w:rPr>
              <w:t>分别为距声源r</w:t>
            </w:r>
            <w:r>
              <w:rPr>
                <w:kern w:val="0"/>
                <w:vertAlign w:val="subscript"/>
              </w:rPr>
              <w:t>1</w:t>
            </w:r>
            <w:r>
              <w:rPr>
                <w:kern w:val="0"/>
              </w:rPr>
              <w:t>、r</w:t>
            </w:r>
            <w:r>
              <w:rPr>
                <w:kern w:val="0"/>
                <w:vertAlign w:val="subscript"/>
              </w:rPr>
              <w:t>2</w:t>
            </w:r>
            <w:r>
              <w:rPr>
                <w:kern w:val="0"/>
              </w:rPr>
              <w:t>处的等效A声级，dB（A）；</w:t>
            </w:r>
          </w:p>
          <w:p>
            <w:pPr>
              <w:spacing w:line="360" w:lineRule="auto"/>
              <w:ind w:firstLine="1200" w:firstLineChars="500"/>
              <w:rPr>
                <w:kern w:val="0"/>
              </w:rPr>
            </w:pPr>
            <w:r>
              <w:rPr>
                <w:kern w:val="0"/>
              </w:rPr>
              <w:t>r</w:t>
            </w:r>
            <w:r>
              <w:rPr>
                <w:kern w:val="0"/>
                <w:vertAlign w:val="subscript"/>
              </w:rPr>
              <w:t>1</w:t>
            </w:r>
            <w:r>
              <w:rPr>
                <w:kern w:val="0"/>
              </w:rPr>
              <w:t>、r</w:t>
            </w:r>
            <w:r>
              <w:rPr>
                <w:kern w:val="0"/>
                <w:vertAlign w:val="subscript"/>
              </w:rPr>
              <w:t>2</w:t>
            </w:r>
            <w:r>
              <w:rPr>
                <w:kern w:val="0"/>
              </w:rPr>
              <w:t>为接受点距声源的距离，m。</w:t>
            </w:r>
          </w:p>
          <w:p>
            <w:pPr>
              <w:spacing w:line="360" w:lineRule="auto"/>
              <w:ind w:firstLine="480"/>
              <w:rPr>
                <w:kern w:val="0"/>
              </w:rPr>
            </w:pPr>
            <w:r>
              <w:rPr>
                <w:kern w:val="0"/>
              </w:rPr>
              <w:t>由上式可推出噪声随距离增加而衰减的量△L：</w:t>
            </w:r>
          </w:p>
          <w:p>
            <w:pPr>
              <w:spacing w:line="360" w:lineRule="auto"/>
              <w:ind w:firstLine="480"/>
              <w:jc w:val="center"/>
              <w:rPr>
                <w:kern w:val="0"/>
              </w:rPr>
            </w:pPr>
            <w:r>
              <w:rPr>
                <w:kern w:val="0"/>
              </w:rPr>
              <w:t>△L=L</w:t>
            </w:r>
            <w:r>
              <w:rPr>
                <w:kern w:val="0"/>
                <w:vertAlign w:val="subscript"/>
              </w:rPr>
              <w:t>1</w:t>
            </w:r>
            <w:r>
              <w:rPr>
                <w:kern w:val="0"/>
              </w:rPr>
              <w:t>-L</w:t>
            </w:r>
            <w:r>
              <w:rPr>
                <w:kern w:val="0"/>
                <w:vertAlign w:val="subscript"/>
              </w:rPr>
              <w:t>2</w:t>
            </w:r>
            <w:r>
              <w:rPr>
                <w:kern w:val="0"/>
              </w:rPr>
              <w:t>=20lgr</w:t>
            </w:r>
            <w:r>
              <w:rPr>
                <w:kern w:val="0"/>
                <w:vertAlign w:val="subscript"/>
              </w:rPr>
              <w:t>2</w:t>
            </w:r>
            <w:r>
              <w:rPr>
                <w:kern w:val="0"/>
              </w:rPr>
              <w:t>/r</w:t>
            </w:r>
            <w:r>
              <w:rPr>
                <w:kern w:val="0"/>
                <w:vertAlign w:val="subscript"/>
              </w:rPr>
              <w:t>1</w:t>
            </w:r>
          </w:p>
          <w:p>
            <w:pPr>
              <w:spacing w:line="360" w:lineRule="auto"/>
              <w:ind w:firstLine="480"/>
              <w:rPr>
                <w:b/>
              </w:rPr>
            </w:pPr>
            <w:r>
              <w:rPr>
                <w:kern w:val="0"/>
              </w:rPr>
              <w:t>经计算，噪声值随距离衰减的结果衰减的结果见表7-5。</w:t>
            </w:r>
          </w:p>
          <w:p>
            <w:pPr>
              <w:widowControl/>
              <w:adjustRightInd w:val="0"/>
              <w:snapToGrid w:val="0"/>
              <w:spacing w:line="480" w:lineRule="exact"/>
              <w:ind w:right="106" w:rightChars="44"/>
              <w:jc w:val="center"/>
              <w:rPr>
                <w:rFonts w:cs="Times New Roman"/>
                <w:b/>
                <w:szCs w:val="24"/>
              </w:rPr>
            </w:pPr>
            <w:r>
              <w:rPr>
                <w:rFonts w:cs="Times New Roman"/>
                <w:b/>
                <w:szCs w:val="24"/>
              </w:rPr>
              <w:t>表7-5  噪声值随距离的衰减关系</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651"/>
              <w:gridCol w:w="780"/>
              <w:gridCol w:w="789"/>
              <w:gridCol w:w="780"/>
              <w:gridCol w:w="716"/>
              <w:gridCol w:w="711"/>
              <w:gridCol w:w="707"/>
              <w:gridCol w:w="709"/>
              <w:gridCol w:w="709"/>
              <w:gridCol w:w="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6" w:type="pct"/>
                  <w:vAlign w:val="center"/>
                </w:tcPr>
                <w:p>
                  <w:pPr>
                    <w:snapToGrid w:val="0"/>
                    <w:jc w:val="center"/>
                    <w:rPr>
                      <w:sz w:val="21"/>
                      <w:szCs w:val="21"/>
                    </w:rPr>
                  </w:pPr>
                  <w:r>
                    <w:rPr>
                      <w:sz w:val="21"/>
                      <w:szCs w:val="21"/>
                    </w:rPr>
                    <w:t>距离(m)</w:t>
                  </w:r>
                </w:p>
              </w:tc>
              <w:tc>
                <w:tcPr>
                  <w:tcW w:w="392" w:type="pct"/>
                  <w:vAlign w:val="center"/>
                </w:tcPr>
                <w:p>
                  <w:pPr>
                    <w:snapToGrid w:val="0"/>
                    <w:jc w:val="center"/>
                    <w:rPr>
                      <w:sz w:val="21"/>
                      <w:szCs w:val="21"/>
                    </w:rPr>
                  </w:pPr>
                  <w:r>
                    <w:rPr>
                      <w:sz w:val="21"/>
                      <w:szCs w:val="21"/>
                    </w:rPr>
                    <w:t>1</w:t>
                  </w:r>
                </w:p>
              </w:tc>
              <w:tc>
                <w:tcPr>
                  <w:tcW w:w="470" w:type="pct"/>
                  <w:vAlign w:val="center"/>
                </w:tcPr>
                <w:p>
                  <w:pPr>
                    <w:snapToGrid w:val="0"/>
                    <w:jc w:val="center"/>
                    <w:rPr>
                      <w:sz w:val="21"/>
                      <w:szCs w:val="21"/>
                    </w:rPr>
                  </w:pPr>
                  <w:r>
                    <w:rPr>
                      <w:sz w:val="21"/>
                      <w:szCs w:val="21"/>
                    </w:rPr>
                    <w:t>10</w:t>
                  </w:r>
                </w:p>
              </w:tc>
              <w:tc>
                <w:tcPr>
                  <w:tcW w:w="475" w:type="pct"/>
                  <w:vAlign w:val="center"/>
                </w:tcPr>
                <w:p>
                  <w:pPr>
                    <w:snapToGrid w:val="0"/>
                    <w:jc w:val="center"/>
                    <w:rPr>
                      <w:sz w:val="21"/>
                      <w:szCs w:val="21"/>
                    </w:rPr>
                  </w:pPr>
                  <w:r>
                    <w:rPr>
                      <w:sz w:val="21"/>
                      <w:szCs w:val="21"/>
                    </w:rPr>
                    <w:t>50</w:t>
                  </w:r>
                </w:p>
              </w:tc>
              <w:tc>
                <w:tcPr>
                  <w:tcW w:w="470" w:type="pct"/>
                  <w:vAlign w:val="center"/>
                </w:tcPr>
                <w:p>
                  <w:pPr>
                    <w:snapToGrid w:val="0"/>
                    <w:jc w:val="center"/>
                    <w:rPr>
                      <w:sz w:val="21"/>
                      <w:szCs w:val="21"/>
                    </w:rPr>
                  </w:pPr>
                  <w:r>
                    <w:rPr>
                      <w:sz w:val="21"/>
                      <w:szCs w:val="21"/>
                    </w:rPr>
                    <w:t>100</w:t>
                  </w:r>
                </w:p>
              </w:tc>
              <w:tc>
                <w:tcPr>
                  <w:tcW w:w="431" w:type="pct"/>
                  <w:vAlign w:val="center"/>
                </w:tcPr>
                <w:p>
                  <w:pPr>
                    <w:snapToGrid w:val="0"/>
                    <w:jc w:val="center"/>
                    <w:rPr>
                      <w:sz w:val="21"/>
                      <w:szCs w:val="21"/>
                    </w:rPr>
                  </w:pPr>
                  <w:r>
                    <w:rPr>
                      <w:sz w:val="21"/>
                      <w:szCs w:val="21"/>
                    </w:rPr>
                    <w:t>150</w:t>
                  </w:r>
                </w:p>
              </w:tc>
              <w:tc>
                <w:tcPr>
                  <w:tcW w:w="428" w:type="pct"/>
                  <w:vAlign w:val="center"/>
                </w:tcPr>
                <w:p>
                  <w:pPr>
                    <w:snapToGrid w:val="0"/>
                    <w:jc w:val="center"/>
                    <w:rPr>
                      <w:sz w:val="21"/>
                      <w:szCs w:val="21"/>
                    </w:rPr>
                  </w:pPr>
                  <w:r>
                    <w:rPr>
                      <w:sz w:val="21"/>
                      <w:szCs w:val="21"/>
                    </w:rPr>
                    <w:t>200</w:t>
                  </w:r>
                </w:p>
              </w:tc>
              <w:tc>
                <w:tcPr>
                  <w:tcW w:w="426" w:type="pct"/>
                  <w:vAlign w:val="center"/>
                </w:tcPr>
                <w:p>
                  <w:pPr>
                    <w:snapToGrid w:val="0"/>
                    <w:jc w:val="center"/>
                    <w:rPr>
                      <w:sz w:val="21"/>
                      <w:szCs w:val="21"/>
                    </w:rPr>
                  </w:pPr>
                  <w:r>
                    <w:rPr>
                      <w:rFonts w:hint="eastAsia"/>
                      <w:sz w:val="21"/>
                      <w:szCs w:val="21"/>
                    </w:rPr>
                    <w:t>3</w:t>
                  </w:r>
                  <w:r>
                    <w:rPr>
                      <w:sz w:val="21"/>
                      <w:szCs w:val="21"/>
                    </w:rPr>
                    <w:t>00</w:t>
                  </w:r>
                </w:p>
              </w:tc>
              <w:tc>
                <w:tcPr>
                  <w:tcW w:w="427" w:type="pct"/>
                  <w:vAlign w:val="center"/>
                </w:tcPr>
                <w:p>
                  <w:pPr>
                    <w:snapToGrid w:val="0"/>
                    <w:jc w:val="center"/>
                    <w:rPr>
                      <w:sz w:val="21"/>
                      <w:szCs w:val="21"/>
                    </w:rPr>
                  </w:pPr>
                  <w:r>
                    <w:rPr>
                      <w:sz w:val="21"/>
                      <w:szCs w:val="21"/>
                    </w:rPr>
                    <w:t>600</w:t>
                  </w:r>
                </w:p>
              </w:tc>
              <w:tc>
                <w:tcPr>
                  <w:tcW w:w="427" w:type="pct"/>
                  <w:vAlign w:val="center"/>
                </w:tcPr>
                <w:p>
                  <w:pPr>
                    <w:snapToGrid w:val="0"/>
                    <w:jc w:val="center"/>
                    <w:rPr>
                      <w:sz w:val="21"/>
                      <w:szCs w:val="21"/>
                    </w:rPr>
                  </w:pPr>
                  <w:r>
                    <w:rPr>
                      <w:rFonts w:hint="eastAsia"/>
                      <w:sz w:val="21"/>
                      <w:szCs w:val="21"/>
                    </w:rPr>
                    <w:t>8</w:t>
                  </w:r>
                  <w:r>
                    <w:rPr>
                      <w:sz w:val="21"/>
                      <w:szCs w:val="21"/>
                    </w:rPr>
                    <w:t>00</w:t>
                  </w:r>
                </w:p>
              </w:tc>
              <w:tc>
                <w:tcPr>
                  <w:tcW w:w="458" w:type="pct"/>
                  <w:vAlign w:val="center"/>
                </w:tcPr>
                <w:p>
                  <w:pPr>
                    <w:snapToGrid w:val="0"/>
                    <w:jc w:val="center"/>
                    <w:rPr>
                      <w:sz w:val="21"/>
                      <w:szCs w:val="21"/>
                    </w:rPr>
                  </w:pPr>
                  <w:r>
                    <w:rPr>
                      <w:rFonts w:hint="eastAsia"/>
                      <w:sz w:val="21"/>
                      <w:szCs w:val="21"/>
                    </w:rPr>
                    <w:t>9</w:t>
                  </w:r>
                  <w:r>
                    <w:rPr>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6" w:type="pct"/>
                  <w:vAlign w:val="center"/>
                </w:tcPr>
                <w:p>
                  <w:pPr>
                    <w:snapToGrid w:val="0"/>
                    <w:jc w:val="center"/>
                    <w:rPr>
                      <w:sz w:val="21"/>
                      <w:szCs w:val="21"/>
                    </w:rPr>
                  </w:pPr>
                  <w:r>
                    <w:rPr>
                      <w:rFonts w:ascii="Cambria Math" w:hAnsi="Cambria Math" w:cs="Cambria Math"/>
                      <w:kern w:val="0"/>
                    </w:rPr>
                    <w:t>△</w:t>
                  </w:r>
                  <w:r>
                    <w:rPr>
                      <w:kern w:val="0"/>
                    </w:rPr>
                    <w:t>L</w:t>
                  </w:r>
                  <w:r>
                    <w:rPr>
                      <w:sz w:val="21"/>
                      <w:szCs w:val="21"/>
                    </w:rPr>
                    <w:t xml:space="preserve"> dB(A)</w:t>
                  </w:r>
                </w:p>
              </w:tc>
              <w:tc>
                <w:tcPr>
                  <w:tcW w:w="392" w:type="pct"/>
                  <w:vAlign w:val="center"/>
                </w:tcPr>
                <w:p>
                  <w:pPr>
                    <w:snapToGrid w:val="0"/>
                    <w:jc w:val="center"/>
                    <w:rPr>
                      <w:sz w:val="21"/>
                      <w:szCs w:val="21"/>
                    </w:rPr>
                  </w:pPr>
                  <w:r>
                    <w:rPr>
                      <w:sz w:val="21"/>
                      <w:szCs w:val="21"/>
                    </w:rPr>
                    <w:t>0</w:t>
                  </w:r>
                </w:p>
              </w:tc>
              <w:tc>
                <w:tcPr>
                  <w:tcW w:w="470" w:type="pct"/>
                  <w:vAlign w:val="center"/>
                </w:tcPr>
                <w:p>
                  <w:pPr>
                    <w:snapToGrid w:val="0"/>
                    <w:jc w:val="center"/>
                    <w:rPr>
                      <w:sz w:val="21"/>
                      <w:szCs w:val="21"/>
                    </w:rPr>
                  </w:pPr>
                  <w:r>
                    <w:rPr>
                      <w:sz w:val="21"/>
                      <w:szCs w:val="21"/>
                    </w:rPr>
                    <w:t>20</w:t>
                  </w:r>
                </w:p>
              </w:tc>
              <w:tc>
                <w:tcPr>
                  <w:tcW w:w="475" w:type="pct"/>
                  <w:vAlign w:val="center"/>
                </w:tcPr>
                <w:p>
                  <w:pPr>
                    <w:snapToGrid w:val="0"/>
                    <w:jc w:val="center"/>
                    <w:rPr>
                      <w:sz w:val="21"/>
                      <w:szCs w:val="21"/>
                    </w:rPr>
                  </w:pPr>
                  <w:r>
                    <w:rPr>
                      <w:sz w:val="21"/>
                      <w:szCs w:val="21"/>
                    </w:rPr>
                    <w:t>34</w:t>
                  </w:r>
                </w:p>
              </w:tc>
              <w:tc>
                <w:tcPr>
                  <w:tcW w:w="470" w:type="pct"/>
                  <w:vAlign w:val="center"/>
                </w:tcPr>
                <w:p>
                  <w:pPr>
                    <w:snapToGrid w:val="0"/>
                    <w:jc w:val="center"/>
                    <w:rPr>
                      <w:sz w:val="21"/>
                      <w:szCs w:val="21"/>
                    </w:rPr>
                  </w:pPr>
                  <w:r>
                    <w:rPr>
                      <w:sz w:val="21"/>
                      <w:szCs w:val="21"/>
                    </w:rPr>
                    <w:t>40</w:t>
                  </w:r>
                </w:p>
              </w:tc>
              <w:tc>
                <w:tcPr>
                  <w:tcW w:w="431" w:type="pct"/>
                  <w:vAlign w:val="center"/>
                </w:tcPr>
                <w:p>
                  <w:pPr>
                    <w:snapToGrid w:val="0"/>
                    <w:jc w:val="center"/>
                    <w:rPr>
                      <w:sz w:val="21"/>
                      <w:szCs w:val="21"/>
                    </w:rPr>
                  </w:pPr>
                  <w:r>
                    <w:rPr>
                      <w:sz w:val="21"/>
                      <w:szCs w:val="21"/>
                    </w:rPr>
                    <w:t>43</w:t>
                  </w:r>
                </w:p>
              </w:tc>
              <w:tc>
                <w:tcPr>
                  <w:tcW w:w="428" w:type="pct"/>
                  <w:vAlign w:val="center"/>
                </w:tcPr>
                <w:p>
                  <w:pPr>
                    <w:snapToGrid w:val="0"/>
                    <w:jc w:val="center"/>
                    <w:rPr>
                      <w:sz w:val="21"/>
                      <w:szCs w:val="21"/>
                    </w:rPr>
                  </w:pPr>
                  <w:r>
                    <w:rPr>
                      <w:sz w:val="21"/>
                      <w:szCs w:val="21"/>
                    </w:rPr>
                    <w:t>46</w:t>
                  </w:r>
                </w:p>
              </w:tc>
              <w:tc>
                <w:tcPr>
                  <w:tcW w:w="426" w:type="pct"/>
                  <w:vAlign w:val="center"/>
                </w:tcPr>
                <w:p>
                  <w:pPr>
                    <w:snapToGrid w:val="0"/>
                    <w:jc w:val="center"/>
                    <w:rPr>
                      <w:sz w:val="21"/>
                      <w:szCs w:val="21"/>
                    </w:rPr>
                  </w:pPr>
                  <w:r>
                    <w:rPr>
                      <w:rFonts w:hint="eastAsia"/>
                      <w:sz w:val="21"/>
                      <w:szCs w:val="21"/>
                    </w:rPr>
                    <w:t>5</w:t>
                  </w:r>
                  <w:r>
                    <w:rPr>
                      <w:sz w:val="21"/>
                      <w:szCs w:val="21"/>
                    </w:rPr>
                    <w:t>0</w:t>
                  </w:r>
                </w:p>
              </w:tc>
              <w:tc>
                <w:tcPr>
                  <w:tcW w:w="427" w:type="pct"/>
                  <w:vAlign w:val="center"/>
                </w:tcPr>
                <w:p>
                  <w:pPr>
                    <w:snapToGrid w:val="0"/>
                    <w:jc w:val="center"/>
                    <w:rPr>
                      <w:sz w:val="21"/>
                      <w:szCs w:val="21"/>
                    </w:rPr>
                  </w:pPr>
                  <w:r>
                    <w:rPr>
                      <w:sz w:val="21"/>
                      <w:szCs w:val="21"/>
                    </w:rPr>
                    <w:t>56</w:t>
                  </w:r>
                </w:p>
              </w:tc>
              <w:tc>
                <w:tcPr>
                  <w:tcW w:w="427" w:type="pct"/>
                  <w:vAlign w:val="center"/>
                </w:tcPr>
                <w:p>
                  <w:pPr>
                    <w:snapToGrid w:val="0"/>
                    <w:jc w:val="center"/>
                    <w:rPr>
                      <w:sz w:val="21"/>
                      <w:szCs w:val="21"/>
                    </w:rPr>
                  </w:pPr>
                  <w:r>
                    <w:rPr>
                      <w:rFonts w:hint="eastAsia"/>
                      <w:sz w:val="21"/>
                      <w:szCs w:val="21"/>
                    </w:rPr>
                    <w:t>5</w:t>
                  </w:r>
                  <w:r>
                    <w:rPr>
                      <w:sz w:val="21"/>
                      <w:szCs w:val="21"/>
                    </w:rPr>
                    <w:t>8</w:t>
                  </w:r>
                </w:p>
              </w:tc>
              <w:tc>
                <w:tcPr>
                  <w:tcW w:w="458" w:type="pct"/>
                  <w:vAlign w:val="center"/>
                </w:tcPr>
                <w:p>
                  <w:pPr>
                    <w:snapToGrid w:val="0"/>
                    <w:jc w:val="center"/>
                    <w:rPr>
                      <w:sz w:val="21"/>
                      <w:szCs w:val="21"/>
                    </w:rPr>
                  </w:pPr>
                  <w:r>
                    <w:rPr>
                      <w:rFonts w:hint="eastAsia"/>
                      <w:sz w:val="21"/>
                      <w:szCs w:val="21"/>
                    </w:rPr>
                    <w:t>6</w:t>
                  </w:r>
                  <w:r>
                    <w:rPr>
                      <w:sz w:val="21"/>
                      <w:szCs w:val="21"/>
                    </w:rPr>
                    <w:t>0</w:t>
                  </w:r>
                </w:p>
              </w:tc>
            </w:tr>
          </w:tbl>
          <w:p>
            <w:pPr>
              <w:spacing w:line="360" w:lineRule="auto"/>
              <w:ind w:firstLine="480"/>
              <w:rPr>
                <w:b/>
              </w:rPr>
            </w:pPr>
            <w:r>
              <w:rPr>
                <w:kern w:val="0"/>
              </w:rPr>
              <w:t>参照表5-3中设备噪声声压级，各阶段均以噪声最高的设备计算，在不考虑沿途吸声、隔声措施的前提下，工程施工噪声随距离衰减后的结果如表7-6所示。</w:t>
            </w:r>
          </w:p>
          <w:p>
            <w:pPr>
              <w:widowControl/>
              <w:adjustRightInd w:val="0"/>
              <w:snapToGrid w:val="0"/>
              <w:spacing w:line="480" w:lineRule="exact"/>
              <w:ind w:right="106" w:rightChars="44"/>
              <w:jc w:val="center"/>
              <w:rPr>
                <w:rFonts w:cs="Times New Roman"/>
                <w:b/>
                <w:szCs w:val="24"/>
              </w:rPr>
            </w:pPr>
            <w:r>
              <w:rPr>
                <w:rFonts w:cs="Times New Roman"/>
                <w:b/>
                <w:szCs w:val="24"/>
              </w:rPr>
              <w:t>表7-6  施工噪声值随距离的衰减值</w:t>
            </w:r>
          </w:p>
          <w:tbl>
            <w:tblPr>
              <w:tblStyle w:val="30"/>
              <w:tblW w:w="49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1526"/>
              <w:gridCol w:w="694"/>
              <w:gridCol w:w="632"/>
              <w:gridCol w:w="619"/>
              <w:gridCol w:w="695"/>
              <w:gridCol w:w="695"/>
              <w:gridCol w:w="695"/>
              <w:gridCol w:w="695"/>
              <w:gridCol w:w="695"/>
              <w:gridCol w:w="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9" w:type="pct"/>
                  <w:vAlign w:val="center"/>
                </w:tcPr>
                <w:p>
                  <w:pPr>
                    <w:pStyle w:val="74"/>
                    <w:rPr>
                      <w:rFonts w:ascii="Times New Roman" w:hAnsi="Times New Roman" w:cs="Times New Roman"/>
                      <w:sz w:val="21"/>
                      <w:szCs w:val="21"/>
                    </w:rPr>
                  </w:pPr>
                  <w:r>
                    <w:rPr>
                      <w:rFonts w:ascii="Times New Roman" w:hAnsi="Times New Roman" w:cs="Times New Roman"/>
                      <w:sz w:val="21"/>
                      <w:szCs w:val="21"/>
                    </w:rPr>
                    <w:t>序号</w:t>
                  </w:r>
                </w:p>
              </w:tc>
              <w:tc>
                <w:tcPr>
                  <w:tcW w:w="928" w:type="pct"/>
                  <w:vAlign w:val="center"/>
                </w:tcPr>
                <w:p>
                  <w:pPr>
                    <w:pStyle w:val="74"/>
                    <w:rPr>
                      <w:rFonts w:ascii="Times New Roman" w:hAnsi="Times New Roman" w:cs="Times New Roman"/>
                      <w:sz w:val="21"/>
                      <w:szCs w:val="21"/>
                    </w:rPr>
                  </w:pPr>
                  <w:r>
                    <w:rPr>
                      <w:rFonts w:ascii="Times New Roman" w:hAnsi="Times New Roman" w:cs="Times New Roman"/>
                      <w:sz w:val="21"/>
                      <w:szCs w:val="21"/>
                    </w:rPr>
                    <w:t>距离（m）</w:t>
                  </w:r>
                </w:p>
                <w:p>
                  <w:pPr>
                    <w:pStyle w:val="74"/>
                    <w:rPr>
                      <w:rFonts w:ascii="Times New Roman" w:hAnsi="Times New Roman" w:cs="Times New Roman"/>
                      <w:sz w:val="21"/>
                      <w:szCs w:val="21"/>
                    </w:rPr>
                  </w:pPr>
                  <w:r>
                    <w:rPr>
                      <w:rFonts w:ascii="Times New Roman" w:hAnsi="Times New Roman" w:cs="Times New Roman"/>
                      <w:sz w:val="21"/>
                      <w:szCs w:val="21"/>
                    </w:rPr>
                    <w:t>声源值dB(A)</w:t>
                  </w:r>
                </w:p>
              </w:tc>
              <w:tc>
                <w:tcPr>
                  <w:tcW w:w="422" w:type="pct"/>
                  <w:vAlign w:val="center"/>
                </w:tcPr>
                <w:p>
                  <w:pPr>
                    <w:pStyle w:val="74"/>
                    <w:rPr>
                      <w:rFonts w:ascii="Times New Roman" w:hAnsi="Times New Roman" w:cs="Times New Roman"/>
                      <w:sz w:val="21"/>
                      <w:szCs w:val="21"/>
                    </w:rPr>
                  </w:pPr>
                  <w:r>
                    <w:rPr>
                      <w:rFonts w:ascii="Times New Roman" w:hAnsi="Times New Roman" w:cs="Times New Roman"/>
                      <w:sz w:val="21"/>
                      <w:szCs w:val="21"/>
                    </w:rPr>
                    <w:t>10</w:t>
                  </w:r>
                </w:p>
              </w:tc>
              <w:tc>
                <w:tcPr>
                  <w:tcW w:w="384" w:type="pct"/>
                  <w:vAlign w:val="center"/>
                </w:tcPr>
                <w:p>
                  <w:pPr>
                    <w:pStyle w:val="74"/>
                    <w:rPr>
                      <w:rFonts w:ascii="Times New Roman" w:hAnsi="Times New Roman" w:cs="Times New Roman"/>
                      <w:sz w:val="21"/>
                      <w:szCs w:val="21"/>
                    </w:rPr>
                  </w:pPr>
                  <w:r>
                    <w:rPr>
                      <w:rFonts w:ascii="Times New Roman" w:hAnsi="Times New Roman" w:cs="Times New Roman"/>
                      <w:sz w:val="21"/>
                      <w:szCs w:val="21"/>
                    </w:rPr>
                    <w:t>50</w:t>
                  </w:r>
                </w:p>
              </w:tc>
              <w:tc>
                <w:tcPr>
                  <w:tcW w:w="376" w:type="pct"/>
                  <w:vAlign w:val="center"/>
                </w:tcPr>
                <w:p>
                  <w:pPr>
                    <w:pStyle w:val="74"/>
                    <w:rPr>
                      <w:rFonts w:ascii="Times New Roman" w:hAnsi="Times New Roman" w:cs="Times New Roman"/>
                      <w:sz w:val="21"/>
                      <w:szCs w:val="21"/>
                    </w:rPr>
                  </w:pPr>
                  <w:r>
                    <w:rPr>
                      <w:rFonts w:ascii="Times New Roman" w:hAnsi="Times New Roman" w:cs="Times New Roman"/>
                      <w:sz w:val="21"/>
                      <w:szCs w:val="21"/>
                    </w:rPr>
                    <w:t>100</w:t>
                  </w:r>
                </w:p>
              </w:tc>
              <w:tc>
                <w:tcPr>
                  <w:tcW w:w="422" w:type="pct"/>
                  <w:vAlign w:val="center"/>
                </w:tcPr>
                <w:p>
                  <w:pPr>
                    <w:pStyle w:val="74"/>
                    <w:rPr>
                      <w:rFonts w:ascii="Times New Roman" w:hAnsi="Times New Roman" w:cs="Times New Roman"/>
                      <w:sz w:val="21"/>
                      <w:szCs w:val="21"/>
                    </w:rPr>
                  </w:pPr>
                  <w:r>
                    <w:rPr>
                      <w:rFonts w:ascii="Times New Roman" w:hAnsi="Times New Roman" w:cs="Times New Roman"/>
                      <w:sz w:val="21"/>
                      <w:szCs w:val="21"/>
                    </w:rPr>
                    <w:t>150</w:t>
                  </w:r>
                </w:p>
              </w:tc>
              <w:tc>
                <w:tcPr>
                  <w:tcW w:w="422" w:type="pct"/>
                  <w:vAlign w:val="center"/>
                </w:tcPr>
                <w:p>
                  <w:pPr>
                    <w:pStyle w:val="74"/>
                    <w:rPr>
                      <w:rFonts w:ascii="Times New Roman" w:hAnsi="Times New Roman" w:cs="Times New Roman"/>
                      <w:sz w:val="21"/>
                      <w:szCs w:val="21"/>
                    </w:rPr>
                  </w:pPr>
                  <w:r>
                    <w:rPr>
                      <w:rFonts w:ascii="Times New Roman" w:hAnsi="Times New Roman" w:cs="Times New Roman"/>
                      <w:sz w:val="21"/>
                      <w:szCs w:val="21"/>
                    </w:rPr>
                    <w:t>200</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3</w:t>
                  </w:r>
                  <w:r>
                    <w:rPr>
                      <w:rFonts w:ascii="Times New Roman" w:hAnsi="Times New Roman" w:cs="Times New Roman"/>
                      <w:sz w:val="21"/>
                      <w:szCs w:val="21"/>
                    </w:rPr>
                    <w:t>00</w:t>
                  </w:r>
                </w:p>
              </w:tc>
              <w:tc>
                <w:tcPr>
                  <w:tcW w:w="422" w:type="pct"/>
                  <w:vAlign w:val="center"/>
                </w:tcPr>
                <w:p>
                  <w:pPr>
                    <w:pStyle w:val="74"/>
                    <w:rPr>
                      <w:rFonts w:ascii="Times New Roman" w:hAnsi="Times New Roman" w:cs="Times New Roman"/>
                      <w:sz w:val="21"/>
                      <w:szCs w:val="21"/>
                    </w:rPr>
                  </w:pPr>
                  <w:r>
                    <w:rPr>
                      <w:rFonts w:ascii="Times New Roman" w:hAnsi="Times New Roman" w:cs="Times New Roman"/>
                      <w:sz w:val="21"/>
                      <w:szCs w:val="21"/>
                    </w:rPr>
                    <w:t>600</w:t>
                  </w:r>
                </w:p>
              </w:tc>
              <w:tc>
                <w:tcPr>
                  <w:tcW w:w="422" w:type="pct"/>
                  <w:vAlign w:val="center"/>
                </w:tcPr>
                <w:p>
                  <w:pPr>
                    <w:pStyle w:val="74"/>
                    <w:rPr>
                      <w:rFonts w:ascii="Times New Roman" w:hAnsi="Times New Roman" w:cs="Times New Roman"/>
                      <w:sz w:val="21"/>
                      <w:szCs w:val="21"/>
                    </w:rPr>
                  </w:pPr>
                  <w:r>
                    <w:rPr>
                      <w:rFonts w:ascii="Times New Roman" w:hAnsi="Times New Roman" w:cs="Times New Roman"/>
                      <w:sz w:val="21"/>
                      <w:szCs w:val="21"/>
                    </w:rPr>
                    <w:t>800</w:t>
                  </w:r>
                </w:p>
              </w:tc>
              <w:tc>
                <w:tcPr>
                  <w:tcW w:w="461"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9</w:t>
                  </w:r>
                  <w:r>
                    <w:rPr>
                      <w:rFonts w:ascii="Times New Roman" w:hAnsi="Times New Roman" w:cs="Times New Roman"/>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9" w:type="pct"/>
                  <w:vAlign w:val="center"/>
                </w:tcPr>
                <w:p>
                  <w:pPr>
                    <w:pStyle w:val="74"/>
                    <w:rPr>
                      <w:rFonts w:ascii="Times New Roman" w:hAnsi="Times New Roman" w:cs="Times New Roman"/>
                      <w:sz w:val="21"/>
                      <w:szCs w:val="21"/>
                    </w:rPr>
                  </w:pPr>
                  <w:r>
                    <w:rPr>
                      <w:rFonts w:ascii="Times New Roman" w:hAnsi="Times New Roman" w:cs="Times New Roman"/>
                      <w:sz w:val="21"/>
                      <w:szCs w:val="21"/>
                    </w:rPr>
                    <w:t>1</w:t>
                  </w:r>
                </w:p>
              </w:tc>
              <w:tc>
                <w:tcPr>
                  <w:tcW w:w="928" w:type="pct"/>
                  <w:vAlign w:val="center"/>
                </w:tcPr>
                <w:p>
                  <w:pPr>
                    <w:pStyle w:val="74"/>
                    <w:rPr>
                      <w:rFonts w:ascii="Times New Roman" w:hAnsi="Times New Roman" w:cs="Times New Roman"/>
                      <w:sz w:val="21"/>
                      <w:szCs w:val="21"/>
                    </w:rPr>
                  </w:pPr>
                  <w:r>
                    <w:rPr>
                      <w:rFonts w:ascii="Times New Roman" w:hAnsi="Times New Roman" w:cs="Times New Roman"/>
                      <w:sz w:val="21"/>
                      <w:szCs w:val="21"/>
                    </w:rPr>
                    <w:t>挖土机</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7</w:t>
                  </w:r>
                  <w:r>
                    <w:rPr>
                      <w:rFonts w:ascii="Times New Roman" w:hAnsi="Times New Roman" w:cs="Times New Roman"/>
                      <w:sz w:val="21"/>
                      <w:szCs w:val="21"/>
                    </w:rPr>
                    <w:t>6</w:t>
                  </w:r>
                </w:p>
              </w:tc>
              <w:tc>
                <w:tcPr>
                  <w:tcW w:w="384"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2</w:t>
                  </w:r>
                </w:p>
              </w:tc>
              <w:tc>
                <w:tcPr>
                  <w:tcW w:w="376"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6</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3</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0</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61"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9" w:type="pct"/>
                  <w:vAlign w:val="center"/>
                </w:tcPr>
                <w:p>
                  <w:pPr>
                    <w:pStyle w:val="74"/>
                    <w:rPr>
                      <w:rFonts w:ascii="Times New Roman" w:hAnsi="Times New Roman" w:cs="Times New Roman"/>
                      <w:sz w:val="21"/>
                      <w:szCs w:val="21"/>
                    </w:rPr>
                  </w:pPr>
                  <w:r>
                    <w:rPr>
                      <w:rFonts w:ascii="Times New Roman" w:hAnsi="Times New Roman" w:cs="Times New Roman"/>
                      <w:sz w:val="21"/>
                      <w:szCs w:val="21"/>
                    </w:rPr>
                    <w:t>2</w:t>
                  </w:r>
                </w:p>
              </w:tc>
              <w:tc>
                <w:tcPr>
                  <w:tcW w:w="928" w:type="pct"/>
                  <w:vAlign w:val="center"/>
                </w:tcPr>
                <w:p>
                  <w:pPr>
                    <w:pStyle w:val="74"/>
                    <w:rPr>
                      <w:rFonts w:ascii="Times New Roman" w:hAnsi="Times New Roman" w:cs="Times New Roman"/>
                      <w:sz w:val="21"/>
                      <w:szCs w:val="21"/>
                    </w:rPr>
                  </w:pPr>
                  <w:r>
                    <w:rPr>
                      <w:rFonts w:ascii="Times New Roman" w:hAnsi="Times New Roman" w:cs="Times New Roman"/>
                      <w:sz w:val="21"/>
                      <w:szCs w:val="21"/>
                    </w:rPr>
                    <w:t>打桩机</w:t>
                  </w:r>
                </w:p>
              </w:tc>
              <w:tc>
                <w:tcPr>
                  <w:tcW w:w="422" w:type="pct"/>
                  <w:vAlign w:val="center"/>
                </w:tcPr>
                <w:p>
                  <w:pPr>
                    <w:pStyle w:val="74"/>
                    <w:rPr>
                      <w:rFonts w:ascii="Times New Roman" w:hAnsi="Times New Roman" w:cs="Times New Roman"/>
                      <w:sz w:val="21"/>
                      <w:szCs w:val="21"/>
                    </w:rPr>
                  </w:pPr>
                  <w:r>
                    <w:rPr>
                      <w:rFonts w:ascii="Times New Roman" w:hAnsi="Times New Roman" w:cs="Times New Roman"/>
                      <w:sz w:val="21"/>
                      <w:szCs w:val="21"/>
                    </w:rPr>
                    <w:t>90</w:t>
                  </w:r>
                </w:p>
              </w:tc>
              <w:tc>
                <w:tcPr>
                  <w:tcW w:w="384"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7</w:t>
                  </w:r>
                  <w:r>
                    <w:rPr>
                      <w:rFonts w:ascii="Times New Roman" w:hAnsi="Times New Roman" w:cs="Times New Roman"/>
                      <w:sz w:val="21"/>
                      <w:szCs w:val="21"/>
                    </w:rPr>
                    <w:t>6</w:t>
                  </w:r>
                </w:p>
              </w:tc>
              <w:tc>
                <w:tcPr>
                  <w:tcW w:w="376"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7</w:t>
                  </w:r>
                  <w:r>
                    <w:rPr>
                      <w:rFonts w:ascii="Times New Roman" w:hAnsi="Times New Roman" w:cs="Times New Roman"/>
                      <w:sz w:val="21"/>
                      <w:szCs w:val="21"/>
                    </w:rPr>
                    <w:t>0</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7</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4</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0</w:t>
                  </w:r>
                </w:p>
              </w:tc>
              <w:tc>
                <w:tcPr>
                  <w:tcW w:w="422" w:type="pct"/>
                  <w:vAlign w:val="center"/>
                </w:tcPr>
                <w:p>
                  <w:pPr>
                    <w:pStyle w:val="74"/>
                    <w:rPr>
                      <w:rFonts w:ascii="Times New Roman" w:hAnsi="Times New Roman" w:cs="Times New Roman"/>
                      <w:sz w:val="21"/>
                      <w:szCs w:val="21"/>
                    </w:rPr>
                  </w:pPr>
                  <w:r>
                    <w:rPr>
                      <w:rFonts w:ascii="Times New Roman" w:hAnsi="Times New Roman" w:cs="Times New Roman"/>
                      <w:sz w:val="21"/>
                      <w:szCs w:val="21"/>
                    </w:rPr>
                    <w:t>54</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2</w:t>
                  </w:r>
                </w:p>
              </w:tc>
              <w:tc>
                <w:tcPr>
                  <w:tcW w:w="461"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9" w:type="pct"/>
                  <w:vAlign w:val="center"/>
                </w:tcPr>
                <w:p>
                  <w:pPr>
                    <w:pStyle w:val="74"/>
                    <w:rPr>
                      <w:rFonts w:ascii="Times New Roman" w:hAnsi="Times New Roman" w:cs="Times New Roman"/>
                      <w:sz w:val="21"/>
                      <w:szCs w:val="21"/>
                    </w:rPr>
                  </w:pPr>
                  <w:r>
                    <w:rPr>
                      <w:rFonts w:ascii="Times New Roman" w:hAnsi="Times New Roman" w:cs="Times New Roman"/>
                      <w:sz w:val="21"/>
                      <w:szCs w:val="21"/>
                    </w:rPr>
                    <w:t>3</w:t>
                  </w:r>
                </w:p>
              </w:tc>
              <w:tc>
                <w:tcPr>
                  <w:tcW w:w="928" w:type="pct"/>
                  <w:vAlign w:val="center"/>
                </w:tcPr>
                <w:p>
                  <w:pPr>
                    <w:pStyle w:val="74"/>
                    <w:rPr>
                      <w:rFonts w:ascii="Times New Roman" w:hAnsi="Times New Roman" w:cs="Times New Roman"/>
                      <w:sz w:val="21"/>
                      <w:szCs w:val="21"/>
                    </w:rPr>
                  </w:pPr>
                  <w:r>
                    <w:rPr>
                      <w:rFonts w:ascii="Times New Roman" w:hAnsi="Times New Roman" w:cs="Times New Roman"/>
                      <w:sz w:val="21"/>
                      <w:szCs w:val="21"/>
                    </w:rPr>
                    <w:t>起重机</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5</w:t>
                  </w:r>
                </w:p>
              </w:tc>
              <w:tc>
                <w:tcPr>
                  <w:tcW w:w="384"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1</w:t>
                  </w:r>
                </w:p>
              </w:tc>
              <w:tc>
                <w:tcPr>
                  <w:tcW w:w="376"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5</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61"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9" w:type="pct"/>
                  <w:vAlign w:val="center"/>
                </w:tcPr>
                <w:p>
                  <w:pPr>
                    <w:pStyle w:val="74"/>
                    <w:rPr>
                      <w:rFonts w:ascii="Times New Roman" w:hAnsi="Times New Roman" w:cs="Times New Roman"/>
                      <w:sz w:val="21"/>
                      <w:szCs w:val="21"/>
                    </w:rPr>
                  </w:pPr>
                  <w:r>
                    <w:rPr>
                      <w:rFonts w:ascii="Times New Roman" w:hAnsi="Times New Roman" w:cs="Times New Roman"/>
                      <w:sz w:val="21"/>
                      <w:szCs w:val="21"/>
                    </w:rPr>
                    <w:t>4</w:t>
                  </w:r>
                </w:p>
              </w:tc>
              <w:tc>
                <w:tcPr>
                  <w:tcW w:w="928" w:type="pct"/>
                  <w:vAlign w:val="center"/>
                </w:tcPr>
                <w:p>
                  <w:pPr>
                    <w:pStyle w:val="74"/>
                    <w:rPr>
                      <w:rFonts w:ascii="Times New Roman" w:hAnsi="Times New Roman" w:cs="Times New Roman"/>
                      <w:sz w:val="21"/>
                      <w:szCs w:val="21"/>
                    </w:rPr>
                  </w:pPr>
                  <w:r>
                    <w:rPr>
                      <w:rFonts w:ascii="Times New Roman" w:hAnsi="Times New Roman" w:cs="Times New Roman"/>
                      <w:sz w:val="21"/>
                      <w:szCs w:val="21"/>
                    </w:rPr>
                    <w:t>推土机</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8</w:t>
                  </w:r>
                </w:p>
              </w:tc>
              <w:tc>
                <w:tcPr>
                  <w:tcW w:w="384"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4</w:t>
                  </w:r>
                </w:p>
              </w:tc>
              <w:tc>
                <w:tcPr>
                  <w:tcW w:w="376"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8</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61"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9" w:type="pct"/>
                  <w:vAlign w:val="center"/>
                </w:tcPr>
                <w:p>
                  <w:pPr>
                    <w:pStyle w:val="74"/>
                    <w:rPr>
                      <w:rFonts w:ascii="Times New Roman" w:hAnsi="Times New Roman" w:cs="Times New Roman"/>
                      <w:sz w:val="21"/>
                      <w:szCs w:val="21"/>
                    </w:rPr>
                  </w:pPr>
                  <w:r>
                    <w:rPr>
                      <w:rFonts w:ascii="Times New Roman" w:hAnsi="Times New Roman" w:cs="Times New Roman"/>
                      <w:sz w:val="21"/>
                      <w:szCs w:val="21"/>
                    </w:rPr>
                    <w:t>5</w:t>
                  </w:r>
                </w:p>
              </w:tc>
              <w:tc>
                <w:tcPr>
                  <w:tcW w:w="928" w:type="pct"/>
                  <w:vAlign w:val="center"/>
                </w:tcPr>
                <w:p>
                  <w:pPr>
                    <w:pStyle w:val="74"/>
                    <w:rPr>
                      <w:rFonts w:ascii="Times New Roman" w:hAnsi="Times New Roman" w:cs="Times New Roman"/>
                      <w:sz w:val="21"/>
                      <w:szCs w:val="21"/>
                    </w:rPr>
                  </w:pPr>
                  <w:r>
                    <w:rPr>
                      <w:rFonts w:ascii="Times New Roman" w:hAnsi="Times New Roman" w:cs="Times New Roman"/>
                      <w:sz w:val="21"/>
                      <w:szCs w:val="21"/>
                    </w:rPr>
                    <w:t>运输车辆</w:t>
                  </w:r>
                </w:p>
              </w:tc>
              <w:tc>
                <w:tcPr>
                  <w:tcW w:w="422"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8</w:t>
                  </w:r>
                </w:p>
              </w:tc>
              <w:tc>
                <w:tcPr>
                  <w:tcW w:w="384"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4</w:t>
                  </w:r>
                </w:p>
              </w:tc>
              <w:tc>
                <w:tcPr>
                  <w:tcW w:w="376"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8</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22"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c>
                <w:tcPr>
                  <w:tcW w:w="461" w:type="pct"/>
                </w:tcPr>
                <w:p>
                  <w:pPr>
                    <w:pStyle w:val="74"/>
                    <w:rPr>
                      <w:rFonts w:ascii="Times New Roman" w:hAnsi="Times New Roman" w:cs="Times New Roman"/>
                      <w:sz w:val="21"/>
                      <w:szCs w:val="21"/>
                    </w:rPr>
                  </w:pPr>
                  <w:r>
                    <w:rPr>
                      <w:rFonts w:hint="eastAsia" w:ascii="Times New Roman" w:hAnsi="Times New Roman" w:cs="Times New Roman"/>
                      <w:sz w:val="21"/>
                      <w:szCs w:val="21"/>
                    </w:rPr>
                    <w:t>-</w:t>
                  </w:r>
                </w:p>
              </w:tc>
            </w:tr>
          </w:tbl>
          <w:p>
            <w:pPr>
              <w:spacing w:line="360" w:lineRule="auto"/>
              <w:ind w:firstLine="480"/>
              <w:rPr>
                <w:rFonts w:ascii="宋体" w:hAnsi="宋体" w:cs="宋体"/>
              </w:rPr>
            </w:pPr>
            <w:r>
              <w:rPr>
                <w:kern w:val="0"/>
              </w:rPr>
              <w:t>由上表计算结果可知，昼间施工机械最大超标范围为300m以内，夜间最大超标范围为</w:t>
            </w:r>
            <w:r>
              <w:rPr>
                <w:rFonts w:hint="eastAsia"/>
                <w:kern w:val="0"/>
              </w:rPr>
              <w:t>9</w:t>
            </w:r>
            <w:r>
              <w:rPr>
                <w:kern w:val="0"/>
              </w:rPr>
              <w:t>00m。为减小施工噪声对周围环境产生的影响，环评</w:t>
            </w:r>
            <w:r>
              <w:rPr>
                <w:lang w:val="zh-CN"/>
              </w:rPr>
              <w:t>要求采取以下控制措施</w:t>
            </w:r>
            <w:r>
              <w:rPr>
                <w:rFonts w:cs="Times New Roman"/>
              </w:rPr>
              <w:t>，因此环评要求：</w:t>
            </w:r>
          </w:p>
          <w:p>
            <w:pPr>
              <w:autoSpaceDE w:val="0"/>
              <w:autoSpaceDN w:val="0"/>
              <w:adjustRightInd w:val="0"/>
              <w:snapToGrid w:val="0"/>
              <w:spacing w:line="360" w:lineRule="auto"/>
              <w:ind w:firstLine="480" w:firstLineChars="200"/>
            </w:pPr>
            <w:r>
              <w:rPr>
                <w:rFonts w:hint="eastAsia"/>
              </w:rPr>
              <w:t>①</w:t>
            </w:r>
            <w:r>
              <w:rPr>
                <w:lang w:val="zh-CN"/>
              </w:rPr>
              <w:t>在施工过程中，施工单位应严格执行《建筑施工场界环境噪声排放标准》（</w:t>
            </w:r>
            <w:r>
              <w:t>GB12523-2011</w:t>
            </w:r>
            <w:r>
              <w:rPr>
                <w:lang w:val="zh-CN"/>
              </w:rPr>
              <w:t>）中的有关规定，避免施工扰民事件的发生。</w:t>
            </w:r>
          </w:p>
          <w:p>
            <w:pPr>
              <w:autoSpaceDE w:val="0"/>
              <w:autoSpaceDN w:val="0"/>
              <w:adjustRightInd w:val="0"/>
              <w:snapToGrid w:val="0"/>
              <w:spacing w:line="360" w:lineRule="auto"/>
              <w:ind w:firstLine="480"/>
              <w:rPr>
                <w:lang w:val="zh-CN"/>
              </w:rPr>
            </w:pPr>
            <w:r>
              <w:rPr>
                <w:rFonts w:hint="eastAsia"/>
                <w:lang w:val="zh-CN"/>
              </w:rPr>
              <w:t>②</w:t>
            </w:r>
            <w:r>
              <w:rPr>
                <w:lang w:val="zh-CN"/>
              </w:rPr>
              <w:t>施工单位要合理安排施工作业时间，夜间（22:00～6:00）、中午（12:00~14:00）禁止一切产噪设备施工，如因建筑工程工艺要求或特殊需要必须连续作业而进行夜间施工的，施工单位必须提前7日持建管部门的证明向当地环境保护主管部门申报施工日期和时间，并在周围噪声敏感点张贴告示，经环境保护主管部门批准备案后方可进行夜间施工。</w:t>
            </w:r>
            <w:r>
              <w:rPr>
                <w:rFonts w:hint="eastAsia"/>
                <w:lang w:val="zh-CN"/>
              </w:rPr>
              <w:t>项目</w:t>
            </w:r>
            <w:r>
              <w:rPr>
                <w:lang w:val="zh-CN"/>
              </w:rPr>
              <w:t>严格执行中高考禁噪的要求</w:t>
            </w:r>
            <w:r>
              <w:rPr>
                <w:rFonts w:hint="eastAsia"/>
                <w:lang w:val="zh-CN"/>
              </w:rPr>
              <w:t>。</w:t>
            </w:r>
          </w:p>
          <w:p>
            <w:pPr>
              <w:autoSpaceDE w:val="0"/>
              <w:autoSpaceDN w:val="0"/>
              <w:adjustRightInd w:val="0"/>
              <w:snapToGrid w:val="0"/>
              <w:spacing w:line="360" w:lineRule="auto"/>
              <w:ind w:firstLine="480" w:firstLineChars="200"/>
            </w:pPr>
            <w:r>
              <w:rPr>
                <w:rFonts w:hint="eastAsia"/>
              </w:rPr>
              <w:t>③</w:t>
            </w:r>
            <w:r>
              <w:rPr>
                <w:lang w:val="zh-CN"/>
              </w:rPr>
              <w:t>施工机械产生的噪声往往具有突发、无规则、不连续和高强度等特点，施工单位应采取合理安排施工机械操作时间的方法加以缓解，并减少同时作业的高噪施工机械数量，尽可能减轻声源叠加影响。</w:t>
            </w:r>
          </w:p>
          <w:p>
            <w:pPr>
              <w:autoSpaceDE w:val="0"/>
              <w:autoSpaceDN w:val="0"/>
              <w:adjustRightInd w:val="0"/>
              <w:snapToGrid w:val="0"/>
              <w:spacing w:line="360" w:lineRule="auto"/>
              <w:ind w:firstLine="480" w:firstLineChars="200"/>
              <w:rPr>
                <w:lang w:val="zh-CN"/>
              </w:rPr>
            </w:pPr>
            <w:r>
              <w:rPr>
                <w:rFonts w:hint="eastAsia"/>
              </w:rPr>
              <w:t>④</w:t>
            </w:r>
            <w:r>
              <w:rPr>
                <w:lang w:val="zh-CN"/>
              </w:rPr>
              <w:t>对于施工期间的材料运输、敲击、人的喊叫等噪声源，要求施工单位文明施工、加强有效管理以缓解其影响。</w:t>
            </w:r>
          </w:p>
          <w:p>
            <w:pPr>
              <w:spacing w:line="360" w:lineRule="auto"/>
              <w:ind w:firstLine="480"/>
              <w:rPr>
                <w:rFonts w:cs="Times New Roman"/>
              </w:rPr>
            </w:pPr>
            <w:r>
              <w:rPr>
                <w:rFonts w:hint="eastAsia"/>
                <w:lang w:bidi="ar"/>
              </w:rPr>
              <w:t>⑤</w:t>
            </w:r>
            <w:r>
              <w:rPr>
                <w:lang w:bidi="ar"/>
              </w:rPr>
              <w:t>针对</w:t>
            </w:r>
            <w:r>
              <w:rPr>
                <w:rFonts w:hint="eastAsia"/>
                <w:lang w:bidi="ar"/>
              </w:rPr>
              <w:t>马嘶村</w:t>
            </w:r>
            <w:r>
              <w:rPr>
                <w:lang w:bidi="ar"/>
              </w:rPr>
              <w:t>村民等噪声敏感目标，管网的铺设应该增加施工人员，加快施工进度，缩短施工期；由于项目采取分段施工，完工一段即平整一段，采取以上措施后，涉及噪声敏感目标的管网建设施工期很短，管网一旦铺设完成后，施工期的噪声也将随之消失。从施工噪声对当地声环境影响的角度分析，本项目的施工建设是可行的</w:t>
            </w:r>
            <w:r>
              <w:rPr>
                <w:rFonts w:hint="eastAsia"/>
                <w:lang w:bidi="ar"/>
              </w:rPr>
              <w:t>。</w:t>
            </w:r>
          </w:p>
          <w:p>
            <w:pPr>
              <w:spacing w:line="360" w:lineRule="auto"/>
              <w:ind w:firstLine="480"/>
              <w:rPr>
                <w:rFonts w:cs="Times New Roman"/>
              </w:rPr>
            </w:pPr>
            <w:r>
              <w:rPr>
                <w:rFonts w:cs="Times New Roman"/>
                <w:u w:val="single"/>
              </w:rPr>
              <w:t>项目施工期间声级较强的噪声为暂时的短期行为，随施工结束，项目施工噪声影响就消失，不会对区域声环境产生影响。</w:t>
            </w:r>
          </w:p>
          <w:p>
            <w:pPr>
              <w:spacing w:line="360" w:lineRule="auto"/>
              <w:rPr>
                <w:rFonts w:cs="Times New Roman"/>
                <w:szCs w:val="24"/>
              </w:rPr>
            </w:pPr>
            <w:r>
              <w:rPr>
                <w:rFonts w:cs="Times New Roman"/>
                <w:b/>
                <w:szCs w:val="24"/>
              </w:rPr>
              <w:t>（四）施工期固废影响分析</w:t>
            </w:r>
          </w:p>
          <w:p>
            <w:pPr>
              <w:adjustRightInd w:val="0"/>
              <w:snapToGrid w:val="0"/>
              <w:spacing w:line="360" w:lineRule="auto"/>
              <w:ind w:firstLine="480" w:firstLineChars="200"/>
            </w:pPr>
            <w:r>
              <w:t>施工期固体废物主要为清理、开挖过程中产生的表层土、施工单位产生的生活垃圾和工地施工产生的建筑垃圾。</w:t>
            </w:r>
          </w:p>
          <w:p>
            <w:pPr>
              <w:adjustRightInd w:val="0"/>
              <w:snapToGrid w:val="0"/>
              <w:spacing w:line="360" w:lineRule="auto"/>
              <w:ind w:firstLine="480" w:firstLineChars="200"/>
            </w:pPr>
            <w:r>
              <w:t>为防止和减少施工期固体废物对环境的影响，建议采取如下措施：</w:t>
            </w:r>
          </w:p>
          <w:p>
            <w:pPr>
              <w:pStyle w:val="188"/>
              <w:adjustRightInd w:val="0"/>
              <w:snapToGrid w:val="0"/>
              <w:spacing w:line="360" w:lineRule="auto"/>
              <w:ind w:firstLine="482"/>
              <w:rPr>
                <w:rFonts w:cs="Times New Roman"/>
              </w:rPr>
            </w:pPr>
            <w:r>
              <w:rPr>
                <w:rFonts w:hint="eastAsia" w:cs="Times New Roman"/>
                <w:b/>
              </w:rPr>
              <w:t>（1）</w:t>
            </w:r>
            <w:r>
              <w:rPr>
                <w:rFonts w:cs="Times New Roman"/>
                <w:b/>
              </w:rPr>
              <w:t>施工人员产生的生活垃圾</w:t>
            </w:r>
          </w:p>
          <w:p>
            <w:pPr>
              <w:adjustRightInd w:val="0"/>
              <w:snapToGrid w:val="0"/>
              <w:spacing w:line="360" w:lineRule="auto"/>
              <w:ind w:firstLine="480" w:firstLineChars="200"/>
              <w:rPr>
                <w:rFonts w:cs="Times New Roman"/>
              </w:rPr>
            </w:pPr>
            <w:r>
              <w:t>施工单位驻地产生的生活垃圾经定点收集后及时清运交由当地环卫部门统一处理</w:t>
            </w:r>
            <w:r>
              <w:rPr>
                <w:rFonts w:cs="Times New Roman"/>
              </w:rPr>
              <w:t>。</w:t>
            </w:r>
          </w:p>
          <w:p>
            <w:pPr>
              <w:adjustRightInd w:val="0"/>
              <w:snapToGrid w:val="0"/>
              <w:spacing w:line="360" w:lineRule="auto"/>
              <w:ind w:right="91" w:firstLine="482"/>
              <w:rPr>
                <w:rFonts w:cs="Times New Roman"/>
              </w:rPr>
            </w:pPr>
            <w:r>
              <w:rPr>
                <w:rFonts w:hint="eastAsia" w:ascii="宋体" w:hAnsi="宋体" w:cs="宋体"/>
                <w:b/>
              </w:rPr>
              <w:t>（2）</w:t>
            </w:r>
            <w:r>
              <w:rPr>
                <w:rFonts w:cs="Times New Roman"/>
                <w:b/>
              </w:rPr>
              <w:t>施工现场建筑废物</w:t>
            </w:r>
          </w:p>
          <w:p>
            <w:pPr>
              <w:adjustRightInd w:val="0"/>
              <w:snapToGrid w:val="0"/>
              <w:spacing w:line="360" w:lineRule="auto"/>
              <w:ind w:firstLine="480" w:firstLineChars="200"/>
            </w:pPr>
            <w:r>
              <w:t>建筑垃圾主要包括砂石、石块、废混凝土、包装材料等杂物。</w:t>
            </w:r>
          </w:p>
          <w:p>
            <w:pPr>
              <w:adjustRightInd w:val="0"/>
              <w:snapToGrid w:val="0"/>
              <w:spacing w:line="360" w:lineRule="auto"/>
              <w:ind w:firstLine="480" w:firstLineChars="200"/>
              <w:rPr>
                <w:rFonts w:cs="Times New Roman"/>
              </w:rPr>
            </w:pPr>
            <w:r>
              <w:t>防治措施：废物收集堆放于指定地点。在施工期加强对废物的收集和管理，将建筑垃圾中能回收的废材料、废包装等出售给废品回收公司处理，不能回收的建筑垃圾运往建设部门指定地点处理。</w:t>
            </w:r>
          </w:p>
          <w:p>
            <w:pPr>
              <w:adjustRightInd w:val="0"/>
              <w:snapToGrid w:val="0"/>
              <w:spacing w:line="360" w:lineRule="auto"/>
              <w:ind w:firstLine="482" w:firstLineChars="200"/>
              <w:rPr>
                <w:rFonts w:cs="Times New Roman"/>
              </w:rPr>
            </w:pPr>
            <w:r>
              <w:rPr>
                <w:rFonts w:hint="eastAsia" w:ascii="宋体" w:hAnsi="宋体" w:cs="宋体"/>
                <w:b/>
              </w:rPr>
              <w:t>（3）开挖土方</w:t>
            </w:r>
          </w:p>
          <w:p>
            <w:pPr>
              <w:adjustRightInd w:val="0"/>
              <w:snapToGrid w:val="0"/>
              <w:spacing w:line="360" w:lineRule="auto"/>
              <w:ind w:firstLine="480" w:firstLineChars="200"/>
              <w:rPr>
                <w:rFonts w:cs="Times New Roman"/>
              </w:rPr>
            </w:pPr>
            <w:r>
              <w:rPr>
                <w:rFonts w:cs="Times New Roman"/>
              </w:rPr>
              <w:t>施工期</w:t>
            </w:r>
            <w:r>
              <w:rPr>
                <w:rFonts w:hint="eastAsia" w:cs="Times New Roman"/>
              </w:rPr>
              <w:t>污水处理站施工开挖挖方全部</w:t>
            </w:r>
            <w:r>
              <w:rPr>
                <w:rFonts w:cs="Times New Roman"/>
              </w:rPr>
              <w:t>用于项目周边场地平整，表土用于</w:t>
            </w:r>
            <w:r>
              <w:rPr>
                <w:rFonts w:hint="eastAsia" w:cs="Times New Roman"/>
              </w:rPr>
              <w:t>后期绿化覆土</w:t>
            </w:r>
            <w:r>
              <w:rPr>
                <w:rFonts w:cs="Times New Roman"/>
              </w:rPr>
              <w:t>。施工期</w:t>
            </w:r>
            <w:r>
              <w:rPr>
                <w:rFonts w:hint="eastAsia" w:cs="Times New Roman"/>
              </w:rPr>
              <w:t>管网开挖挖方部分回填后剩余部分全部</w:t>
            </w:r>
            <w:r>
              <w:rPr>
                <w:rFonts w:cs="Times New Roman"/>
              </w:rPr>
              <w:t>用于</w:t>
            </w:r>
            <w:r>
              <w:rPr>
                <w:rFonts w:hint="eastAsia" w:cs="Times New Roman"/>
              </w:rPr>
              <w:t>后期污水处理站站内绿化用土。项目</w:t>
            </w:r>
            <w:r>
              <w:rPr>
                <w:rFonts w:cs="Times New Roman"/>
              </w:rPr>
              <w:t>可实现土石方平衡，无弃方产生。</w:t>
            </w:r>
          </w:p>
          <w:p>
            <w:pPr>
              <w:adjustRightInd w:val="0"/>
              <w:snapToGrid w:val="0"/>
              <w:spacing w:line="360" w:lineRule="auto"/>
              <w:ind w:firstLine="480" w:firstLineChars="200"/>
            </w:pPr>
            <w:r>
              <w:rPr>
                <w:rFonts w:hint="eastAsia"/>
              </w:rPr>
              <w:t>临时堆土</w:t>
            </w:r>
            <w:r>
              <w:t>前需修建排洪沟、截水沟等工程措施，并且应采取覆盖措施，尽可能避免</w:t>
            </w:r>
            <w:r>
              <w:rPr>
                <w:rFonts w:hint="eastAsia"/>
              </w:rPr>
              <w:t>土方</w:t>
            </w:r>
            <w:r>
              <w:t>流失</w:t>
            </w:r>
            <w:r>
              <w:rPr>
                <w:rFonts w:hint="eastAsia"/>
              </w:rPr>
              <w:t>，土方尽快回填。</w:t>
            </w:r>
          </w:p>
          <w:p>
            <w:pPr>
              <w:spacing w:line="360" w:lineRule="auto"/>
              <w:ind w:firstLine="480"/>
              <w:rPr>
                <w:rFonts w:cs="Times New Roman"/>
                <w:szCs w:val="24"/>
                <w:u w:val="single"/>
              </w:rPr>
            </w:pPr>
            <w:r>
              <w:rPr>
                <w:rFonts w:cs="Times New Roman"/>
                <w:szCs w:val="24"/>
                <w:u w:val="single"/>
              </w:rPr>
              <w:t>采取以上措施后，固体废物对周围环境影响较小，不会造成二次污染。</w:t>
            </w:r>
          </w:p>
          <w:p>
            <w:pPr>
              <w:spacing w:line="360" w:lineRule="auto"/>
              <w:rPr>
                <w:rFonts w:cs="Times New Roman"/>
                <w:szCs w:val="24"/>
              </w:rPr>
            </w:pPr>
            <w:r>
              <w:rPr>
                <w:rFonts w:cs="Times New Roman"/>
                <w:b/>
                <w:szCs w:val="24"/>
              </w:rPr>
              <w:t>（五）施工期水土流失环境影响分析</w:t>
            </w:r>
          </w:p>
          <w:p>
            <w:pPr>
              <w:adjustRightInd w:val="0"/>
              <w:snapToGrid w:val="0"/>
              <w:spacing w:line="360" w:lineRule="auto"/>
              <w:ind w:firstLine="480" w:firstLineChars="200"/>
            </w:pPr>
            <w:r>
              <w:t>拟建污水处理设施厂址场地开阔，地势较平坦，周围无保护的珍稀动物或濒危动植物，项目施工期对周围生态环境影响不大。</w:t>
            </w:r>
          </w:p>
          <w:p>
            <w:pPr>
              <w:adjustRightInd w:val="0"/>
              <w:snapToGrid w:val="0"/>
              <w:spacing w:line="360" w:lineRule="auto"/>
              <w:ind w:firstLine="480" w:firstLineChars="200"/>
            </w:pPr>
            <w:r>
              <w:t>施工过程地面没有大量松散土长久存在，加上地面较为平缓，不会产生持久的明显土壤侵蚀流失，水土流失相对较轻。管槽开挖后随即覆土，因而水土流失时间较短，可使土壤迅速恢复到无明显侵蚀的正常允许状态。</w:t>
            </w:r>
          </w:p>
          <w:p>
            <w:pPr>
              <w:adjustRightInd w:val="0"/>
              <w:snapToGrid w:val="0"/>
              <w:spacing w:line="360" w:lineRule="auto"/>
              <w:ind w:firstLine="480" w:firstLineChars="200"/>
            </w:pPr>
            <w:r>
              <w:t>根据相关资料表明，在采取较为完备的水土保持措施后（施工期间采取平整、压实、建立沉砂池等积极有效的措施），水土流失强度和水土流失量下降很多，其水土流失强度可达到微度侵蚀水平，采取较完备的水土保持措施条件下的水土流失量是不采取水保措施时的2.6%。由此可见，在施工期间和工程完工后采取较完备的水土保持措施是十分有必要的。施工期的生态环境保护保护措施与建议如下：</w:t>
            </w:r>
          </w:p>
          <w:p>
            <w:pPr>
              <w:adjustRightInd w:val="0"/>
              <w:snapToGrid w:val="0"/>
              <w:spacing w:line="360" w:lineRule="auto"/>
              <w:ind w:firstLine="480" w:firstLineChars="200"/>
            </w:pPr>
            <w:r>
              <w:t>（1）对施工现场采取遮挡措施，降低施工粉尘和施工噪声对外界的影响，并缓解施工队城镇景观带来的不良影响。做好场地排水，保持排污沟的畅通。</w:t>
            </w:r>
          </w:p>
          <w:p>
            <w:pPr>
              <w:adjustRightInd w:val="0"/>
              <w:snapToGrid w:val="0"/>
              <w:spacing w:line="360" w:lineRule="auto"/>
              <w:ind w:firstLine="480" w:firstLineChars="200"/>
            </w:pPr>
            <w:r>
              <w:t>（2）施工时应在雨前压实回填的松土；土料要及时回填，尽量减少松土的存在。</w:t>
            </w:r>
          </w:p>
          <w:p>
            <w:pPr>
              <w:adjustRightInd w:val="0"/>
              <w:snapToGrid w:val="0"/>
              <w:spacing w:line="360" w:lineRule="auto"/>
              <w:ind w:firstLine="480" w:firstLineChars="200"/>
            </w:pPr>
            <w:r>
              <w:t>（3）在建设后期，应即采取绿化措施，以减少常年降雨的侵蚀。</w:t>
            </w:r>
          </w:p>
          <w:p>
            <w:pPr>
              <w:adjustRightInd w:val="0"/>
              <w:snapToGrid w:val="0"/>
              <w:spacing w:line="360" w:lineRule="auto"/>
              <w:ind w:firstLine="480" w:firstLineChars="200"/>
            </w:pPr>
            <w:r>
              <w:t>（4）合理安排施工时段，尽可能避开暴雨季节施工，以降低因降雨对水土产生的水力侵蚀，如无法避开雨季施工，应和气象部门保持联系，降雨前对施工区加以覆盖，减轻水土流失。</w:t>
            </w:r>
          </w:p>
          <w:p>
            <w:pPr>
              <w:spacing w:line="360" w:lineRule="auto"/>
              <w:ind w:firstLine="480"/>
              <w:rPr>
                <w:rFonts w:cs="Times New Roman"/>
                <w:szCs w:val="24"/>
              </w:rPr>
            </w:pPr>
            <w:r>
              <w:t>（5）做好施工规划，对设计和施工人员进行生态环境保护教育，认识本地区生态环境保护的重要性，做到人人关心和注意生态保护；施工结束后尽快进行植被恢复和绿化</w:t>
            </w:r>
            <w:r>
              <w:rPr>
                <w:rFonts w:cs="Times New Roman"/>
                <w:szCs w:val="24"/>
              </w:rPr>
              <w:t>。</w:t>
            </w:r>
          </w:p>
          <w:p>
            <w:pPr>
              <w:spacing w:line="360" w:lineRule="auto"/>
              <w:ind w:firstLine="480"/>
              <w:rPr>
                <w:rFonts w:cs="Times New Roman"/>
                <w:szCs w:val="24"/>
              </w:rPr>
            </w:pPr>
            <w:r>
              <w:rPr>
                <w:rFonts w:cs="Times New Roman"/>
                <w:szCs w:val="24"/>
              </w:rPr>
              <w:t>因此，</w:t>
            </w:r>
            <w:r>
              <w:rPr>
                <w:rFonts w:cs="Times New Roman"/>
                <w:szCs w:val="24"/>
                <w:u w:val="single"/>
              </w:rPr>
              <w:t>施工期对项目区的生态影响是可以接受的。</w:t>
            </w:r>
          </w:p>
          <w:p>
            <w:pPr>
              <w:spacing w:line="360" w:lineRule="auto"/>
              <w:ind w:firstLine="480"/>
              <w:rPr>
                <w:rFonts w:cs="Times New Roman"/>
                <w:szCs w:val="24"/>
                <w:u w:val="single"/>
              </w:rPr>
            </w:pPr>
            <w:r>
              <w:rPr>
                <w:rFonts w:cs="Times New Roman"/>
                <w:b/>
                <w:szCs w:val="24"/>
              </w:rPr>
              <w:t>综上所述</w:t>
            </w:r>
            <w:r>
              <w:rPr>
                <w:rFonts w:cs="Times New Roman"/>
                <w:szCs w:val="24"/>
              </w:rPr>
              <w:t>，</w:t>
            </w:r>
            <w:r>
              <w:rPr>
                <w:rFonts w:cs="Times New Roman"/>
                <w:szCs w:val="24"/>
                <w:u w:val="single"/>
              </w:rPr>
              <w:t>施工期对环境产生的上述影响，均为可逆的、短期的。建设单位和施工单位在施工过程中只要切实强化扬尘、噪声、固体废物的管理和控制措施的落实，施工期环境影响将得到有效控制。</w:t>
            </w:r>
          </w:p>
          <w:p>
            <w:pPr>
              <w:adjustRightInd w:val="0"/>
              <w:snapToGrid w:val="0"/>
              <w:spacing w:line="360" w:lineRule="auto"/>
              <w:outlineLvl w:val="1"/>
              <w:rPr>
                <w:b/>
              </w:rPr>
            </w:pPr>
            <w:r>
              <w:rPr>
                <w:rFonts w:hint="eastAsia"/>
                <w:b/>
                <w:lang w:bidi="ar"/>
              </w:rPr>
              <w:t>（六）</w:t>
            </w:r>
            <w:r>
              <w:rPr>
                <w:b/>
                <w:lang w:bidi="ar"/>
              </w:rPr>
              <w:t>对交通及居民出行的影响及防治措施分析</w:t>
            </w:r>
          </w:p>
          <w:p>
            <w:pPr>
              <w:adjustRightInd w:val="0"/>
              <w:snapToGrid w:val="0"/>
              <w:spacing w:line="360" w:lineRule="auto"/>
              <w:ind w:firstLine="480" w:firstLineChars="200"/>
            </w:pPr>
            <w:r>
              <w:t>在本项目管网建设中，将有部分管道沿现有的乡村道路铺设，两侧居民也多，因此，在施工段对这些路上交通和居民出行有一定影响。针对本项目对交通及居民出行的影响</w:t>
            </w:r>
            <w:r>
              <w:rPr>
                <w:b/>
              </w:rPr>
              <w:t>，</w:t>
            </w:r>
            <w:r>
              <w:t>施工单位应采取以下防治措施：</w:t>
            </w:r>
          </w:p>
          <w:p>
            <w:pPr>
              <w:adjustRightInd w:val="0"/>
              <w:snapToGrid w:val="0"/>
              <w:spacing w:line="360" w:lineRule="auto"/>
              <w:ind w:firstLine="480" w:firstLineChars="200"/>
            </w:pPr>
            <w:r>
              <w:t>A、对于经过居民较集中的区域，管网应有计划有步骤组织施工，做到连续作业、快速施工，避免管网施工两侧堆积大量弃土；</w:t>
            </w:r>
          </w:p>
          <w:p>
            <w:pPr>
              <w:adjustRightInd w:val="0"/>
              <w:snapToGrid w:val="0"/>
              <w:spacing w:line="360" w:lineRule="auto"/>
              <w:ind w:firstLine="480" w:firstLineChars="200"/>
            </w:pPr>
            <w:r>
              <w:t>B、分段施工，尽可能缩短工期，及时清运弃土和恢复道路，保证交通畅通；现场应做好封闭围护和组织，施工期间禁止非施工机动车进入。</w:t>
            </w:r>
          </w:p>
          <w:p>
            <w:pPr>
              <w:adjustRightInd w:val="0"/>
              <w:snapToGrid w:val="0"/>
              <w:spacing w:line="360" w:lineRule="auto"/>
              <w:ind w:firstLine="480" w:firstLineChars="200"/>
            </w:pPr>
            <w:r>
              <w:t>C、合理设置弃土弃渣的临时存放点，在道路和人行道上不得随意堆放。</w:t>
            </w:r>
          </w:p>
          <w:p>
            <w:pPr>
              <w:adjustRightInd w:val="0"/>
              <w:snapToGrid w:val="0"/>
              <w:spacing w:line="360" w:lineRule="auto"/>
              <w:ind w:firstLine="480" w:firstLineChars="200"/>
            </w:pPr>
            <w:r>
              <w:t>D、搭建简易栈道，减轻管线施工的阻隔给居民的出行带来的影响。</w:t>
            </w:r>
          </w:p>
          <w:p>
            <w:pPr>
              <w:adjustRightInd w:val="0"/>
              <w:snapToGrid w:val="0"/>
              <w:spacing w:line="360" w:lineRule="auto"/>
              <w:ind w:firstLine="480" w:firstLineChars="200"/>
            </w:pPr>
            <w:r>
              <w:t>E、文明施工，人口较为集中的地方设置警示牌。</w:t>
            </w:r>
          </w:p>
          <w:p>
            <w:pPr>
              <w:adjustRightInd w:val="0"/>
              <w:snapToGrid w:val="0"/>
              <w:spacing w:line="360" w:lineRule="auto"/>
              <w:ind w:firstLine="480" w:firstLineChars="200"/>
              <w:rPr>
                <w:b/>
              </w:rPr>
            </w:pPr>
            <w:r>
              <w:rPr>
                <w:lang w:bidi="ar"/>
              </w:rPr>
              <w:t>F、在施工期间向村民作出通告，通过协调让</w:t>
            </w:r>
            <w:r>
              <w:rPr>
                <w:rFonts w:hint="eastAsia"/>
                <w:lang w:bidi="ar"/>
              </w:rPr>
              <w:t>村民</w:t>
            </w:r>
            <w:r>
              <w:rPr>
                <w:lang w:bidi="ar"/>
              </w:rPr>
              <w:t>充分理解和支持。</w:t>
            </w:r>
          </w:p>
          <w:p>
            <w:pPr>
              <w:adjustRightInd w:val="0"/>
              <w:snapToGrid w:val="0"/>
              <w:spacing w:line="360" w:lineRule="auto"/>
              <w:ind w:firstLine="480" w:firstLineChars="200"/>
            </w:pPr>
            <w:r>
              <w:rPr>
                <w:lang w:bidi="ar"/>
              </w:rPr>
              <w:t>工程管线施工过程中，管线两侧约2米范围会作为临时施工便道、施工营地、材料堆放加工场地等。这种临时占地对生态环境的影响主要表现在对提土地利用格局的变化和施工期水土流失这两个方面。为了减轻工程施工对这两方面的影响，环评提出以下保护措施：</w:t>
            </w:r>
          </w:p>
          <w:p>
            <w:pPr>
              <w:numPr>
                <w:ilvl w:val="0"/>
                <w:numId w:val="3"/>
              </w:numPr>
              <w:adjustRightInd w:val="0"/>
              <w:snapToGrid w:val="0"/>
              <w:spacing w:line="360" w:lineRule="auto"/>
              <w:ind w:firstLine="480" w:firstLineChars="200"/>
              <w:rPr>
                <w:lang w:bidi="ar"/>
              </w:rPr>
            </w:pPr>
            <w:r>
              <w:rPr>
                <w:lang w:bidi="ar"/>
              </w:rPr>
              <w:t>施工期间，应确定施工区域和运输线路。严格施工管理，机具摆放有序，严禁乱堆乱放，以减少扰动的土地面积。</w:t>
            </w:r>
          </w:p>
          <w:p>
            <w:pPr>
              <w:numPr>
                <w:ilvl w:val="0"/>
                <w:numId w:val="3"/>
              </w:numPr>
              <w:adjustRightInd w:val="0"/>
              <w:snapToGrid w:val="0"/>
              <w:spacing w:line="360" w:lineRule="auto"/>
              <w:ind w:firstLine="480" w:firstLineChars="200"/>
            </w:pPr>
            <w:r>
              <w:rPr>
                <w:lang w:bidi="ar"/>
              </w:rPr>
              <w:t>管道施工完成后及时恢复原有土地使用功能，需要绿化的地块及时绿化。</w:t>
            </w:r>
          </w:p>
          <w:p>
            <w:pPr>
              <w:numPr>
                <w:ilvl w:val="0"/>
                <w:numId w:val="3"/>
              </w:numPr>
              <w:adjustRightInd w:val="0"/>
              <w:snapToGrid w:val="0"/>
              <w:spacing w:line="360" w:lineRule="auto"/>
              <w:ind w:firstLine="480" w:firstLineChars="200"/>
            </w:pPr>
            <w:r>
              <w:rPr>
                <w:lang w:bidi="ar"/>
              </w:rPr>
              <w:t>施工结束后，拆除临建设施，建筑垃圾运至指定场所处置。</w:t>
            </w:r>
          </w:p>
          <w:p>
            <w:pPr>
              <w:numPr>
                <w:ilvl w:val="0"/>
                <w:numId w:val="3"/>
              </w:numPr>
              <w:adjustRightInd w:val="0"/>
              <w:snapToGrid w:val="0"/>
              <w:spacing w:line="360" w:lineRule="auto"/>
              <w:ind w:firstLine="480" w:firstLineChars="200"/>
            </w:pPr>
            <w:r>
              <w:rPr>
                <w:lang w:bidi="ar"/>
              </w:rPr>
              <w:t>在建设期对主体工程区周边以及施工场地、道路影响范围内加强监督与管理、预防保护工作为主。</w:t>
            </w:r>
          </w:p>
          <w:p>
            <w:pPr>
              <w:numPr>
                <w:ilvl w:val="0"/>
                <w:numId w:val="3"/>
              </w:numPr>
              <w:adjustRightInd w:val="0"/>
              <w:snapToGrid w:val="0"/>
              <w:spacing w:line="360" w:lineRule="auto"/>
              <w:ind w:firstLine="480" w:firstLineChars="200"/>
            </w:pPr>
            <w:r>
              <w:rPr>
                <w:lang w:bidi="ar"/>
              </w:rPr>
              <w:t>加快施工进度，管网施工实施分段施工。</w:t>
            </w:r>
          </w:p>
          <w:p>
            <w:pPr>
              <w:widowControl/>
              <w:adjustRightInd w:val="0"/>
              <w:snapToGrid w:val="0"/>
              <w:spacing w:line="360" w:lineRule="auto"/>
              <w:ind w:firstLine="480" w:firstLineChars="200"/>
              <w:rPr>
                <w:lang w:bidi="ar"/>
              </w:rPr>
            </w:pPr>
            <w:r>
              <w:rPr>
                <w:lang w:bidi="ar"/>
              </w:rPr>
              <w:t>由于项目建设量不大，施工范围小，施工期也不长，施工期对环境的影响随着施工期结束而消除。通过采取防治措施后，本项目施工期对</w:t>
            </w:r>
            <w:r>
              <w:rPr>
                <w:bCs/>
                <w:lang w:bidi="ar"/>
              </w:rPr>
              <w:t>交通及居民出行</w:t>
            </w:r>
            <w:r>
              <w:rPr>
                <w:lang w:bidi="ar"/>
              </w:rPr>
              <w:t>可以接受。</w:t>
            </w:r>
          </w:p>
          <w:p>
            <w:pPr>
              <w:tabs>
                <w:tab w:val="left" w:pos="1080"/>
              </w:tabs>
              <w:adjustRightInd w:val="0"/>
              <w:snapToGrid w:val="0"/>
              <w:spacing w:line="360" w:lineRule="auto"/>
              <w:outlineLvl w:val="3"/>
              <w:rPr>
                <w:b/>
              </w:rPr>
            </w:pPr>
            <w:r>
              <w:rPr>
                <w:rFonts w:hint="eastAsia"/>
                <w:b/>
              </w:rPr>
              <w:t>（七）</w:t>
            </w:r>
            <w:r>
              <w:rPr>
                <w:b/>
              </w:rPr>
              <w:t>施工期对地下水环境的影响</w:t>
            </w:r>
          </w:p>
          <w:p>
            <w:pPr>
              <w:adjustRightInd w:val="0"/>
              <w:snapToGrid w:val="0"/>
              <w:spacing w:line="360" w:lineRule="auto"/>
              <w:ind w:firstLine="480" w:firstLineChars="200"/>
              <w:rPr>
                <w:bCs/>
              </w:rPr>
            </w:pPr>
            <w:r>
              <w:rPr>
                <w:bCs/>
              </w:rPr>
              <w:t>1、污水处理站建设对地下水环境的影响</w:t>
            </w:r>
          </w:p>
          <w:p>
            <w:pPr>
              <w:adjustRightInd w:val="0"/>
              <w:snapToGrid w:val="0"/>
              <w:spacing w:line="360" w:lineRule="auto"/>
              <w:ind w:firstLine="480" w:firstLineChars="200"/>
              <w:rPr>
                <w:bCs/>
              </w:rPr>
            </w:pPr>
            <w:r>
              <w:rPr>
                <w:bCs/>
              </w:rPr>
              <w:t>拟建建筑物基础在开挖时应考虑采用必要的降水处理措施，并注意建筑物（构筑物）的抗浮设计，如加大建筑物（构筑物）的恒载或采用面状均匀布置的锚杆措施。降水措施抽出的地下涌水采用管道收集后进入临时沉淀池处理后作为施工用水进行回用。</w:t>
            </w:r>
          </w:p>
          <w:p>
            <w:pPr>
              <w:adjustRightInd w:val="0"/>
              <w:snapToGrid w:val="0"/>
              <w:spacing w:line="360" w:lineRule="auto"/>
              <w:ind w:firstLine="480" w:firstLineChars="200"/>
              <w:rPr>
                <w:bCs/>
              </w:rPr>
            </w:pPr>
            <w:r>
              <w:rPr>
                <w:bCs/>
              </w:rPr>
              <w:t>由于项目施工面积不大，因此对区域地下水影响不大。</w:t>
            </w:r>
          </w:p>
          <w:p>
            <w:pPr>
              <w:adjustRightInd w:val="0"/>
              <w:snapToGrid w:val="0"/>
              <w:spacing w:line="360" w:lineRule="auto"/>
              <w:ind w:firstLine="480" w:firstLineChars="200"/>
              <w:rPr>
                <w:bCs/>
              </w:rPr>
            </w:pPr>
            <w:r>
              <w:rPr>
                <w:bCs/>
              </w:rPr>
              <w:t>2、管网工程建设对地下水环境的影响</w:t>
            </w:r>
          </w:p>
          <w:p>
            <w:pPr>
              <w:widowControl/>
              <w:adjustRightInd w:val="0"/>
              <w:snapToGrid w:val="0"/>
              <w:spacing w:line="360" w:lineRule="auto"/>
              <w:ind w:firstLine="480" w:firstLineChars="200"/>
              <w:rPr>
                <w:rFonts w:cs="Times New Roman"/>
                <w:szCs w:val="24"/>
                <w:u w:val="single"/>
              </w:rPr>
            </w:pPr>
            <w:r>
              <w:rPr>
                <w:bCs/>
              </w:rPr>
              <w:t>管网工程施工期间，施工场地内堆放的各种建筑材料、施工废弃物以及机械漏油在雨水的冲刷下可能导致污染物下渗进入地下水，造成地下水污染。施工过程中保证施工机械和车辆清洁并正常运行的条件下，产生的油污很少，且容易浮于泥浆之上被带走。部分管道施工段所在区域地下水埋深较浅，管道开挖过程可能造成地下水涌水。为此，为保护地下水环境，防止地下水漏失，在管道施工时对渗、漏水处理应坚持“以堵为主，防治结合”的原则。在施工前对管道填埋区要进行较详细的地质和水文地质勘察，查清地下水赋存规律和补、径、排条件，判断有无大的导水构造，制定详细的施工防治水方案。</w:t>
            </w:r>
          </w:p>
          <w:p>
            <w:pPr>
              <w:spacing w:line="360" w:lineRule="auto"/>
              <w:rPr>
                <w:rFonts w:cs="Times New Roman"/>
                <w:b/>
                <w:sz w:val="28"/>
                <w:szCs w:val="28"/>
              </w:rPr>
            </w:pPr>
            <w:r>
              <w:rPr>
                <w:rFonts w:hint="eastAsia" w:cs="Times New Roman"/>
                <w:b/>
                <w:sz w:val="28"/>
                <w:szCs w:val="28"/>
              </w:rPr>
              <w:t>二</w:t>
            </w:r>
            <w:r>
              <w:rPr>
                <w:rFonts w:cs="Times New Roman"/>
                <w:b/>
                <w:sz w:val="28"/>
                <w:szCs w:val="28"/>
              </w:rPr>
              <w:t>、</w:t>
            </w:r>
            <w:r>
              <w:rPr>
                <w:rFonts w:hint="eastAsia" w:cs="Times New Roman"/>
                <w:b/>
                <w:sz w:val="28"/>
                <w:szCs w:val="28"/>
              </w:rPr>
              <w:t>运营期</w:t>
            </w:r>
            <w:r>
              <w:rPr>
                <w:rFonts w:cs="Times New Roman"/>
                <w:b/>
                <w:sz w:val="28"/>
                <w:szCs w:val="28"/>
              </w:rPr>
              <w:t>环境影响分析</w:t>
            </w:r>
          </w:p>
          <w:p>
            <w:pPr>
              <w:pStyle w:val="13"/>
              <w:adjustRightInd w:val="0"/>
              <w:snapToGrid w:val="0"/>
              <w:ind w:firstLine="0" w:firstLineChars="0"/>
              <w:rPr>
                <w:b/>
                <w:szCs w:val="24"/>
              </w:rPr>
            </w:pPr>
            <w:r>
              <w:rPr>
                <w:rFonts w:hint="eastAsia"/>
                <w:b/>
                <w:szCs w:val="24"/>
              </w:rPr>
              <w:t>（一）</w:t>
            </w:r>
            <w:r>
              <w:rPr>
                <w:b/>
                <w:szCs w:val="24"/>
              </w:rPr>
              <w:t>大气环境影响分析及其防治措施</w:t>
            </w:r>
          </w:p>
          <w:p>
            <w:pPr>
              <w:adjustRightInd w:val="0"/>
              <w:snapToGrid w:val="0"/>
              <w:spacing w:line="360" w:lineRule="auto"/>
              <w:ind w:firstLine="480" w:firstLineChars="200"/>
              <w:jc w:val="left"/>
            </w:pPr>
            <w:r>
              <w:t>（1）恶臭源分析</w:t>
            </w:r>
          </w:p>
          <w:p>
            <w:pPr>
              <w:adjustRightInd w:val="0"/>
              <w:snapToGrid w:val="0"/>
              <w:spacing w:line="360" w:lineRule="auto"/>
              <w:ind w:firstLine="480" w:firstLineChars="200"/>
              <w:jc w:val="left"/>
            </w:pPr>
            <w:r>
              <w:t>恶臭污染是由恶臭物质引起的感觉公害。当恶臭物质直接作用于人器官时，不仅给人以感官上的刺激，使人产生不愉快和厌恶感，而且也对体健康造成同程度的危害。污水处理厂恶臭气体的主要成分为氨、硫化氢等，恶臭物质的恶臭特征见表7-7。</w:t>
            </w:r>
          </w:p>
          <w:p>
            <w:pPr>
              <w:adjustRightInd w:val="0"/>
              <w:snapToGrid w:val="0"/>
              <w:spacing w:line="360" w:lineRule="auto"/>
              <w:ind w:firstLine="482" w:firstLineChars="200"/>
              <w:jc w:val="center"/>
              <w:rPr>
                <w:rFonts w:cs="Times New Roman"/>
                <w:b/>
                <w:szCs w:val="24"/>
              </w:rPr>
            </w:pPr>
            <w:r>
              <w:rPr>
                <w:rFonts w:cs="Times New Roman"/>
                <w:b/>
                <w:szCs w:val="24"/>
              </w:rPr>
              <w:t>表7-7  主要恶臭物质的恶臭特征</w:t>
            </w:r>
          </w:p>
          <w:tbl>
            <w:tblPr>
              <w:tblStyle w:val="30"/>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767"/>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7" w:type="dxa"/>
                </w:tcPr>
                <w:p>
                  <w:pPr>
                    <w:adjustRightInd w:val="0"/>
                    <w:snapToGrid w:val="0"/>
                    <w:jc w:val="center"/>
                    <w:rPr>
                      <w:b/>
                      <w:bCs/>
                      <w:szCs w:val="21"/>
                    </w:rPr>
                  </w:pPr>
                  <w:r>
                    <w:rPr>
                      <w:b/>
                      <w:bCs/>
                    </w:rPr>
                    <w:t>恶臭物质</w:t>
                  </w:r>
                </w:p>
              </w:tc>
              <w:tc>
                <w:tcPr>
                  <w:tcW w:w="2767" w:type="dxa"/>
                </w:tcPr>
                <w:p>
                  <w:pPr>
                    <w:pStyle w:val="24"/>
                    <w:adjustRightInd w:val="0"/>
                    <w:snapToGrid w:val="0"/>
                    <w:spacing w:line="240" w:lineRule="auto"/>
                    <w:ind w:left="547" w:firstLine="316"/>
                    <w:jc w:val="center"/>
                    <w:rPr>
                      <w:b/>
                      <w:bCs/>
                      <w:sz w:val="21"/>
                      <w:szCs w:val="21"/>
                    </w:rPr>
                  </w:pPr>
                  <w:r>
                    <w:rPr>
                      <w:b/>
                      <w:bCs/>
                      <w:sz w:val="21"/>
                    </w:rPr>
                    <w:t>硫化氢</w:t>
                  </w:r>
                </w:p>
              </w:tc>
              <w:tc>
                <w:tcPr>
                  <w:tcW w:w="2768" w:type="dxa"/>
                </w:tcPr>
                <w:p>
                  <w:pPr>
                    <w:pStyle w:val="24"/>
                    <w:adjustRightInd w:val="0"/>
                    <w:snapToGrid w:val="0"/>
                    <w:spacing w:line="240" w:lineRule="auto"/>
                    <w:ind w:left="547" w:firstLine="316"/>
                    <w:jc w:val="center"/>
                    <w:rPr>
                      <w:b/>
                      <w:bCs/>
                      <w:sz w:val="21"/>
                      <w:szCs w:val="21"/>
                    </w:rPr>
                  </w:pPr>
                  <w:r>
                    <w:rPr>
                      <w:b/>
                      <w:bCs/>
                      <w:sz w:val="21"/>
                    </w:rPr>
                    <w:t>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7" w:type="dxa"/>
                </w:tcPr>
                <w:p>
                  <w:pPr>
                    <w:pStyle w:val="24"/>
                    <w:adjustRightInd w:val="0"/>
                    <w:snapToGrid w:val="0"/>
                    <w:spacing w:line="240" w:lineRule="auto"/>
                    <w:ind w:left="547" w:firstLine="315"/>
                    <w:jc w:val="center"/>
                    <w:rPr>
                      <w:b/>
                      <w:bCs/>
                      <w:sz w:val="21"/>
                      <w:szCs w:val="21"/>
                    </w:rPr>
                  </w:pPr>
                  <w:r>
                    <w:rPr>
                      <w:sz w:val="21"/>
                    </w:rPr>
                    <w:t>臭气性质</w:t>
                  </w:r>
                </w:p>
              </w:tc>
              <w:tc>
                <w:tcPr>
                  <w:tcW w:w="2767" w:type="dxa"/>
                </w:tcPr>
                <w:p>
                  <w:pPr>
                    <w:pStyle w:val="24"/>
                    <w:adjustRightInd w:val="0"/>
                    <w:snapToGrid w:val="0"/>
                    <w:spacing w:line="240" w:lineRule="auto"/>
                    <w:ind w:left="547" w:firstLine="315"/>
                    <w:jc w:val="center"/>
                    <w:rPr>
                      <w:b/>
                      <w:bCs/>
                      <w:sz w:val="21"/>
                      <w:szCs w:val="21"/>
                    </w:rPr>
                  </w:pPr>
                  <w:r>
                    <w:rPr>
                      <w:sz w:val="21"/>
                    </w:rPr>
                    <w:t>腐烂性蛋臭</w:t>
                  </w:r>
                </w:p>
              </w:tc>
              <w:tc>
                <w:tcPr>
                  <w:tcW w:w="2768" w:type="dxa"/>
                </w:tcPr>
                <w:p>
                  <w:pPr>
                    <w:pStyle w:val="24"/>
                    <w:adjustRightInd w:val="0"/>
                    <w:snapToGrid w:val="0"/>
                    <w:spacing w:line="240" w:lineRule="auto"/>
                    <w:ind w:left="547" w:firstLine="315"/>
                    <w:jc w:val="center"/>
                    <w:rPr>
                      <w:b/>
                      <w:bCs/>
                      <w:sz w:val="21"/>
                      <w:szCs w:val="21"/>
                    </w:rPr>
                  </w:pPr>
                  <w:r>
                    <w:rPr>
                      <w:sz w:val="21"/>
                    </w:rPr>
                    <w:t>特殊的刺激性臭</w:t>
                  </w:r>
                </w:p>
              </w:tc>
            </w:tr>
          </w:tbl>
          <w:p>
            <w:pPr>
              <w:adjustRightInd w:val="0"/>
              <w:snapToGrid w:val="0"/>
              <w:spacing w:line="360" w:lineRule="auto"/>
              <w:ind w:firstLine="480" w:firstLineChars="200"/>
              <w:jc w:val="left"/>
            </w:pPr>
            <w:r>
              <w:t>本项目主要的恶臭排放源是格栅</w:t>
            </w:r>
            <w:r>
              <w:rPr>
                <w:rFonts w:hint="eastAsia"/>
              </w:rPr>
              <w:t>调节池、M</w:t>
            </w:r>
            <w:r>
              <w:t>BR</w:t>
            </w:r>
            <w:r>
              <w:rPr>
                <w:rFonts w:hint="eastAsia"/>
              </w:rPr>
              <w:t>一体化设备</w:t>
            </w:r>
            <w:r>
              <w:t>等。</w:t>
            </w:r>
          </w:p>
          <w:p>
            <w:pPr>
              <w:adjustRightInd w:val="0"/>
              <w:snapToGrid w:val="0"/>
              <w:spacing w:line="360" w:lineRule="auto"/>
              <w:ind w:firstLine="482" w:firstLineChars="200"/>
              <w:jc w:val="center"/>
              <w:rPr>
                <w:rFonts w:cs="Times New Roman"/>
                <w:b/>
                <w:szCs w:val="24"/>
              </w:rPr>
            </w:pPr>
            <w:r>
              <w:rPr>
                <w:rFonts w:cs="Times New Roman"/>
                <w:b/>
                <w:szCs w:val="24"/>
              </w:rPr>
              <w:t>表7-8  项目恶臭气体排放情况表</w:t>
            </w:r>
          </w:p>
          <w:tbl>
            <w:tblPr>
              <w:tblStyle w:val="30"/>
              <w:tblW w:w="8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6"/>
              <w:gridCol w:w="862"/>
              <w:gridCol w:w="754"/>
              <w:gridCol w:w="627"/>
              <w:gridCol w:w="509"/>
              <w:gridCol w:w="451"/>
              <w:gridCol w:w="568"/>
              <w:gridCol w:w="981"/>
              <w:gridCol w:w="820"/>
              <w:gridCol w:w="461"/>
              <w:gridCol w:w="947"/>
              <w:gridCol w:w="83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40" w:hRule="atLeast"/>
                <w:tblHeader/>
                <w:jc w:val="center"/>
              </w:trPr>
              <w:tc>
                <w:tcPr>
                  <w:tcW w:w="466" w:type="dxa"/>
                  <w:vMerge w:val="restart"/>
                  <w:vAlign w:val="center"/>
                </w:tcPr>
                <w:p>
                  <w:pPr>
                    <w:jc w:val="center"/>
                    <w:rPr>
                      <w:sz w:val="18"/>
                      <w:szCs w:val="18"/>
                    </w:rPr>
                  </w:pPr>
                  <w:r>
                    <w:rPr>
                      <w:sz w:val="18"/>
                      <w:szCs w:val="18"/>
                    </w:rPr>
                    <w:t>名称</w:t>
                  </w:r>
                </w:p>
              </w:tc>
              <w:tc>
                <w:tcPr>
                  <w:tcW w:w="1616" w:type="dxa"/>
                  <w:gridSpan w:val="2"/>
                  <w:vAlign w:val="center"/>
                </w:tcPr>
                <w:p>
                  <w:pPr>
                    <w:jc w:val="center"/>
                    <w:rPr>
                      <w:sz w:val="18"/>
                      <w:szCs w:val="18"/>
                    </w:rPr>
                  </w:pPr>
                  <w:r>
                    <w:rPr>
                      <w:sz w:val="18"/>
                      <w:szCs w:val="18"/>
                    </w:rPr>
                    <w:t>面源起点坐标</w:t>
                  </w:r>
                </w:p>
              </w:tc>
              <w:tc>
                <w:tcPr>
                  <w:tcW w:w="627" w:type="dxa"/>
                  <w:vMerge w:val="restart"/>
                  <w:vAlign w:val="center"/>
                </w:tcPr>
                <w:p>
                  <w:pPr>
                    <w:jc w:val="center"/>
                    <w:rPr>
                      <w:sz w:val="18"/>
                      <w:szCs w:val="18"/>
                    </w:rPr>
                  </w:pPr>
                  <w:r>
                    <w:rPr>
                      <w:sz w:val="18"/>
                      <w:szCs w:val="18"/>
                    </w:rPr>
                    <w:t>面源海拔高度/m</w:t>
                  </w:r>
                </w:p>
              </w:tc>
              <w:tc>
                <w:tcPr>
                  <w:tcW w:w="509" w:type="dxa"/>
                  <w:vMerge w:val="restart"/>
                  <w:vAlign w:val="center"/>
                </w:tcPr>
                <w:p>
                  <w:pPr>
                    <w:jc w:val="center"/>
                    <w:rPr>
                      <w:sz w:val="18"/>
                      <w:szCs w:val="18"/>
                    </w:rPr>
                  </w:pPr>
                  <w:r>
                    <w:rPr>
                      <w:sz w:val="18"/>
                      <w:szCs w:val="18"/>
                    </w:rPr>
                    <w:t>面源</w:t>
                  </w:r>
                </w:p>
                <w:p>
                  <w:pPr>
                    <w:jc w:val="center"/>
                    <w:rPr>
                      <w:sz w:val="18"/>
                      <w:szCs w:val="18"/>
                    </w:rPr>
                  </w:pPr>
                  <w:r>
                    <w:rPr>
                      <w:sz w:val="18"/>
                      <w:szCs w:val="18"/>
                    </w:rPr>
                    <w:t>长度/m</w:t>
                  </w:r>
                </w:p>
              </w:tc>
              <w:tc>
                <w:tcPr>
                  <w:tcW w:w="451" w:type="dxa"/>
                  <w:vMerge w:val="restart"/>
                  <w:vAlign w:val="center"/>
                </w:tcPr>
                <w:p>
                  <w:pPr>
                    <w:jc w:val="center"/>
                    <w:rPr>
                      <w:sz w:val="18"/>
                      <w:szCs w:val="18"/>
                    </w:rPr>
                  </w:pPr>
                  <w:r>
                    <w:rPr>
                      <w:sz w:val="18"/>
                      <w:szCs w:val="18"/>
                    </w:rPr>
                    <w:t>面源</w:t>
                  </w:r>
                </w:p>
                <w:p>
                  <w:pPr>
                    <w:jc w:val="center"/>
                    <w:rPr>
                      <w:sz w:val="18"/>
                      <w:szCs w:val="18"/>
                    </w:rPr>
                  </w:pPr>
                  <w:r>
                    <w:rPr>
                      <w:sz w:val="18"/>
                      <w:szCs w:val="18"/>
                    </w:rPr>
                    <w:t>宽度/m</w:t>
                  </w:r>
                </w:p>
              </w:tc>
              <w:tc>
                <w:tcPr>
                  <w:tcW w:w="568" w:type="dxa"/>
                  <w:vMerge w:val="restart"/>
                  <w:vAlign w:val="center"/>
                </w:tcPr>
                <w:p>
                  <w:pPr>
                    <w:jc w:val="center"/>
                    <w:rPr>
                      <w:sz w:val="18"/>
                      <w:szCs w:val="18"/>
                    </w:rPr>
                  </w:pPr>
                  <w:r>
                    <w:rPr>
                      <w:sz w:val="18"/>
                      <w:szCs w:val="18"/>
                    </w:rPr>
                    <w:t>与正北夹角/</w:t>
                  </w:r>
                  <w:r>
                    <w:rPr>
                      <w:sz w:val="18"/>
                      <w:szCs w:val="18"/>
                      <w:vertAlign w:val="superscript"/>
                    </w:rPr>
                    <w:t>o</w:t>
                  </w:r>
                </w:p>
              </w:tc>
              <w:tc>
                <w:tcPr>
                  <w:tcW w:w="981" w:type="dxa"/>
                  <w:vMerge w:val="restart"/>
                  <w:vAlign w:val="center"/>
                </w:tcPr>
                <w:p>
                  <w:pPr>
                    <w:jc w:val="center"/>
                    <w:rPr>
                      <w:sz w:val="18"/>
                      <w:szCs w:val="18"/>
                    </w:rPr>
                  </w:pPr>
                  <w:r>
                    <w:rPr>
                      <w:sz w:val="18"/>
                      <w:szCs w:val="18"/>
                    </w:rPr>
                    <w:t>面源有效排放高度/m</w:t>
                  </w:r>
                </w:p>
              </w:tc>
              <w:tc>
                <w:tcPr>
                  <w:tcW w:w="820" w:type="dxa"/>
                  <w:vMerge w:val="restart"/>
                  <w:vAlign w:val="center"/>
                </w:tcPr>
                <w:p>
                  <w:pPr>
                    <w:jc w:val="center"/>
                    <w:rPr>
                      <w:sz w:val="18"/>
                      <w:szCs w:val="18"/>
                    </w:rPr>
                  </w:pPr>
                  <w:r>
                    <w:rPr>
                      <w:sz w:val="18"/>
                      <w:szCs w:val="18"/>
                    </w:rPr>
                    <w:t>年排放小时数/h</w:t>
                  </w:r>
                </w:p>
              </w:tc>
              <w:tc>
                <w:tcPr>
                  <w:tcW w:w="461" w:type="dxa"/>
                  <w:vMerge w:val="restart"/>
                  <w:vAlign w:val="center"/>
                </w:tcPr>
                <w:p>
                  <w:pPr>
                    <w:jc w:val="center"/>
                    <w:rPr>
                      <w:sz w:val="18"/>
                      <w:szCs w:val="18"/>
                    </w:rPr>
                  </w:pPr>
                  <w:r>
                    <w:rPr>
                      <w:sz w:val="18"/>
                      <w:szCs w:val="18"/>
                    </w:rPr>
                    <w:t>排放工况</w:t>
                  </w:r>
                </w:p>
              </w:tc>
              <w:tc>
                <w:tcPr>
                  <w:tcW w:w="1783" w:type="dxa"/>
                  <w:gridSpan w:val="2"/>
                  <w:vAlign w:val="center"/>
                </w:tcPr>
                <w:p>
                  <w:pPr>
                    <w:jc w:val="center"/>
                    <w:rPr>
                      <w:sz w:val="18"/>
                      <w:szCs w:val="18"/>
                    </w:rPr>
                  </w:pPr>
                  <w:r>
                    <w:rPr>
                      <w:sz w:val="18"/>
                      <w:szCs w:val="18"/>
                    </w:rPr>
                    <w:t>污染物排放速率（kg/h）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6" w:hRule="atLeast"/>
                <w:tblHeader/>
                <w:jc w:val="center"/>
              </w:trPr>
              <w:tc>
                <w:tcPr>
                  <w:tcW w:w="466" w:type="dxa"/>
                  <w:vMerge w:val="continue"/>
                  <w:vAlign w:val="center"/>
                </w:tcPr>
                <w:p>
                  <w:pPr>
                    <w:jc w:val="center"/>
                    <w:rPr>
                      <w:sz w:val="18"/>
                      <w:szCs w:val="18"/>
                    </w:rPr>
                  </w:pPr>
                </w:p>
              </w:tc>
              <w:tc>
                <w:tcPr>
                  <w:tcW w:w="862" w:type="dxa"/>
                  <w:vAlign w:val="center"/>
                </w:tcPr>
                <w:p>
                  <w:pPr>
                    <w:jc w:val="center"/>
                    <w:rPr>
                      <w:sz w:val="18"/>
                      <w:szCs w:val="18"/>
                    </w:rPr>
                  </w:pPr>
                  <w:r>
                    <w:rPr>
                      <w:sz w:val="18"/>
                      <w:szCs w:val="18"/>
                    </w:rPr>
                    <w:t>经度</w:t>
                  </w:r>
                </w:p>
              </w:tc>
              <w:tc>
                <w:tcPr>
                  <w:tcW w:w="754" w:type="dxa"/>
                  <w:vAlign w:val="center"/>
                </w:tcPr>
                <w:p>
                  <w:pPr>
                    <w:jc w:val="center"/>
                    <w:rPr>
                      <w:sz w:val="18"/>
                      <w:szCs w:val="18"/>
                    </w:rPr>
                  </w:pPr>
                  <w:r>
                    <w:rPr>
                      <w:sz w:val="18"/>
                      <w:szCs w:val="18"/>
                    </w:rPr>
                    <w:t>纬度</w:t>
                  </w:r>
                </w:p>
              </w:tc>
              <w:tc>
                <w:tcPr>
                  <w:tcW w:w="627" w:type="dxa"/>
                  <w:vMerge w:val="continue"/>
                  <w:vAlign w:val="center"/>
                </w:tcPr>
                <w:p>
                  <w:pPr>
                    <w:jc w:val="center"/>
                    <w:rPr>
                      <w:sz w:val="18"/>
                      <w:szCs w:val="18"/>
                    </w:rPr>
                  </w:pPr>
                </w:p>
              </w:tc>
              <w:tc>
                <w:tcPr>
                  <w:tcW w:w="509" w:type="dxa"/>
                  <w:vMerge w:val="continue"/>
                  <w:vAlign w:val="center"/>
                </w:tcPr>
                <w:p>
                  <w:pPr>
                    <w:jc w:val="center"/>
                    <w:rPr>
                      <w:sz w:val="18"/>
                      <w:szCs w:val="18"/>
                    </w:rPr>
                  </w:pPr>
                </w:p>
              </w:tc>
              <w:tc>
                <w:tcPr>
                  <w:tcW w:w="451" w:type="dxa"/>
                  <w:vMerge w:val="continue"/>
                  <w:vAlign w:val="center"/>
                </w:tcPr>
                <w:p>
                  <w:pPr>
                    <w:jc w:val="center"/>
                    <w:rPr>
                      <w:sz w:val="18"/>
                      <w:szCs w:val="18"/>
                    </w:rPr>
                  </w:pPr>
                </w:p>
              </w:tc>
              <w:tc>
                <w:tcPr>
                  <w:tcW w:w="568" w:type="dxa"/>
                  <w:vMerge w:val="continue"/>
                  <w:vAlign w:val="center"/>
                </w:tcPr>
                <w:p>
                  <w:pPr>
                    <w:jc w:val="center"/>
                    <w:rPr>
                      <w:sz w:val="18"/>
                      <w:szCs w:val="18"/>
                    </w:rPr>
                  </w:pPr>
                </w:p>
              </w:tc>
              <w:tc>
                <w:tcPr>
                  <w:tcW w:w="981" w:type="dxa"/>
                  <w:vMerge w:val="continue"/>
                  <w:vAlign w:val="center"/>
                </w:tcPr>
                <w:p>
                  <w:pPr>
                    <w:jc w:val="center"/>
                    <w:rPr>
                      <w:sz w:val="18"/>
                      <w:szCs w:val="18"/>
                    </w:rPr>
                  </w:pPr>
                </w:p>
              </w:tc>
              <w:tc>
                <w:tcPr>
                  <w:tcW w:w="820" w:type="dxa"/>
                  <w:vMerge w:val="continue"/>
                  <w:vAlign w:val="center"/>
                </w:tcPr>
                <w:p>
                  <w:pPr>
                    <w:jc w:val="center"/>
                    <w:rPr>
                      <w:sz w:val="18"/>
                      <w:szCs w:val="18"/>
                    </w:rPr>
                  </w:pPr>
                </w:p>
              </w:tc>
              <w:tc>
                <w:tcPr>
                  <w:tcW w:w="461" w:type="dxa"/>
                  <w:vMerge w:val="continue"/>
                  <w:vAlign w:val="center"/>
                </w:tcPr>
                <w:p>
                  <w:pPr>
                    <w:jc w:val="center"/>
                    <w:rPr>
                      <w:sz w:val="18"/>
                      <w:szCs w:val="18"/>
                    </w:rPr>
                  </w:pPr>
                </w:p>
              </w:tc>
              <w:tc>
                <w:tcPr>
                  <w:tcW w:w="947" w:type="dxa"/>
                  <w:tcBorders>
                    <w:right w:val="single" w:color="auto" w:sz="4" w:space="0"/>
                  </w:tcBorders>
                  <w:vAlign w:val="center"/>
                </w:tcPr>
                <w:p>
                  <w:pPr>
                    <w:adjustRightInd w:val="0"/>
                    <w:snapToGrid w:val="0"/>
                    <w:jc w:val="center"/>
                    <w:rPr>
                      <w:kern w:val="0"/>
                      <w:sz w:val="18"/>
                      <w:szCs w:val="18"/>
                    </w:rPr>
                  </w:pPr>
                  <w:r>
                    <w:rPr>
                      <w:kern w:val="0"/>
                      <w:sz w:val="18"/>
                      <w:szCs w:val="18"/>
                    </w:rPr>
                    <w:t>NH</w:t>
                  </w:r>
                  <w:r>
                    <w:rPr>
                      <w:kern w:val="0"/>
                      <w:sz w:val="18"/>
                      <w:szCs w:val="18"/>
                      <w:vertAlign w:val="subscript"/>
                    </w:rPr>
                    <w:t>3</w:t>
                  </w:r>
                </w:p>
              </w:tc>
              <w:tc>
                <w:tcPr>
                  <w:tcW w:w="836" w:type="dxa"/>
                  <w:tcBorders>
                    <w:left w:val="single" w:color="auto" w:sz="4" w:space="0"/>
                  </w:tcBorders>
                  <w:vAlign w:val="center"/>
                </w:tcPr>
                <w:p>
                  <w:pPr>
                    <w:adjustRightInd w:val="0"/>
                    <w:snapToGrid w:val="0"/>
                    <w:ind w:firstLine="90" w:firstLineChars="50"/>
                    <w:jc w:val="center"/>
                    <w:rPr>
                      <w:kern w:val="0"/>
                      <w:sz w:val="18"/>
                      <w:szCs w:val="18"/>
                    </w:rPr>
                  </w:pPr>
                  <w:r>
                    <w:rPr>
                      <w:kern w:val="0"/>
                      <w:sz w:val="18"/>
                      <w:szCs w:val="18"/>
                    </w:rPr>
                    <w:t>H</w:t>
                  </w:r>
                  <w:r>
                    <w:rPr>
                      <w:kern w:val="0"/>
                      <w:sz w:val="18"/>
                      <w:szCs w:val="18"/>
                      <w:vertAlign w:val="subscript"/>
                    </w:rPr>
                    <w:t>2</w:t>
                  </w:r>
                  <w:r>
                    <w:rPr>
                      <w:kern w:val="0"/>
                      <w:sz w:val="18"/>
                      <w:szCs w:val="18"/>
                    </w:rPr>
                    <w:t>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36" w:hRule="atLeast"/>
                <w:jc w:val="center"/>
              </w:trPr>
              <w:tc>
                <w:tcPr>
                  <w:tcW w:w="466" w:type="dxa"/>
                  <w:vAlign w:val="center"/>
                </w:tcPr>
                <w:p>
                  <w:pPr>
                    <w:adjustRightInd w:val="0"/>
                    <w:snapToGrid w:val="0"/>
                    <w:jc w:val="center"/>
                    <w:rPr>
                      <w:sz w:val="18"/>
                      <w:szCs w:val="18"/>
                    </w:rPr>
                  </w:pPr>
                  <w:r>
                    <w:rPr>
                      <w:sz w:val="18"/>
                      <w:szCs w:val="18"/>
                    </w:rPr>
                    <w:t>等效面源</w:t>
                  </w:r>
                </w:p>
              </w:tc>
              <w:tc>
                <w:tcPr>
                  <w:tcW w:w="862" w:type="dxa"/>
                  <w:vAlign w:val="center"/>
                </w:tcPr>
                <w:p>
                  <w:pPr>
                    <w:jc w:val="center"/>
                    <w:rPr>
                      <w:sz w:val="18"/>
                      <w:szCs w:val="18"/>
                    </w:rPr>
                  </w:pPr>
                  <w:r>
                    <w:rPr>
                      <w:sz w:val="18"/>
                      <w:szCs w:val="18"/>
                    </w:rPr>
                    <w:t>103.2788</w:t>
                  </w:r>
                </w:p>
              </w:tc>
              <w:tc>
                <w:tcPr>
                  <w:tcW w:w="754" w:type="dxa"/>
                  <w:vAlign w:val="center"/>
                </w:tcPr>
                <w:p>
                  <w:pPr>
                    <w:jc w:val="center"/>
                    <w:rPr>
                      <w:sz w:val="18"/>
                      <w:szCs w:val="18"/>
                    </w:rPr>
                  </w:pPr>
                  <w:r>
                    <w:rPr>
                      <w:sz w:val="18"/>
                      <w:szCs w:val="18"/>
                    </w:rPr>
                    <w:t>29.2591</w:t>
                  </w:r>
                </w:p>
              </w:tc>
              <w:tc>
                <w:tcPr>
                  <w:tcW w:w="627" w:type="dxa"/>
                  <w:vAlign w:val="center"/>
                </w:tcPr>
                <w:p>
                  <w:pPr>
                    <w:adjustRightInd w:val="0"/>
                    <w:snapToGrid w:val="0"/>
                    <w:jc w:val="center"/>
                    <w:rPr>
                      <w:sz w:val="18"/>
                      <w:szCs w:val="18"/>
                    </w:rPr>
                  </w:pPr>
                  <w:r>
                    <w:rPr>
                      <w:sz w:val="18"/>
                      <w:szCs w:val="18"/>
                    </w:rPr>
                    <w:t>532</w:t>
                  </w:r>
                </w:p>
              </w:tc>
              <w:tc>
                <w:tcPr>
                  <w:tcW w:w="509" w:type="dxa"/>
                  <w:vAlign w:val="center"/>
                </w:tcPr>
                <w:p>
                  <w:pPr>
                    <w:widowControl/>
                    <w:adjustRightInd w:val="0"/>
                    <w:snapToGrid w:val="0"/>
                    <w:jc w:val="center"/>
                    <w:rPr>
                      <w:kern w:val="0"/>
                      <w:sz w:val="18"/>
                      <w:szCs w:val="18"/>
                    </w:rPr>
                  </w:pPr>
                  <w:r>
                    <w:rPr>
                      <w:kern w:val="0"/>
                      <w:sz w:val="18"/>
                      <w:szCs w:val="18"/>
                    </w:rPr>
                    <w:t>25</w:t>
                  </w:r>
                </w:p>
              </w:tc>
              <w:tc>
                <w:tcPr>
                  <w:tcW w:w="451" w:type="dxa"/>
                  <w:vAlign w:val="center"/>
                </w:tcPr>
                <w:p>
                  <w:pPr>
                    <w:widowControl/>
                    <w:adjustRightInd w:val="0"/>
                    <w:snapToGrid w:val="0"/>
                    <w:jc w:val="center"/>
                    <w:rPr>
                      <w:kern w:val="0"/>
                      <w:sz w:val="18"/>
                      <w:szCs w:val="18"/>
                    </w:rPr>
                  </w:pPr>
                  <w:r>
                    <w:rPr>
                      <w:kern w:val="0"/>
                      <w:sz w:val="18"/>
                      <w:szCs w:val="18"/>
                    </w:rPr>
                    <w:t>8</w:t>
                  </w:r>
                </w:p>
              </w:tc>
              <w:tc>
                <w:tcPr>
                  <w:tcW w:w="568" w:type="dxa"/>
                  <w:vAlign w:val="center"/>
                </w:tcPr>
                <w:p>
                  <w:pPr>
                    <w:widowControl/>
                    <w:adjustRightInd w:val="0"/>
                    <w:snapToGrid w:val="0"/>
                    <w:jc w:val="center"/>
                    <w:rPr>
                      <w:kern w:val="0"/>
                      <w:sz w:val="18"/>
                      <w:szCs w:val="18"/>
                    </w:rPr>
                  </w:pPr>
                  <w:r>
                    <w:rPr>
                      <w:kern w:val="0"/>
                      <w:sz w:val="18"/>
                      <w:szCs w:val="18"/>
                    </w:rPr>
                    <w:t>0</w:t>
                  </w:r>
                </w:p>
              </w:tc>
              <w:tc>
                <w:tcPr>
                  <w:tcW w:w="981" w:type="dxa"/>
                  <w:vAlign w:val="center"/>
                </w:tcPr>
                <w:p>
                  <w:pPr>
                    <w:widowControl/>
                    <w:adjustRightInd w:val="0"/>
                    <w:snapToGrid w:val="0"/>
                    <w:jc w:val="center"/>
                    <w:rPr>
                      <w:kern w:val="0"/>
                      <w:sz w:val="18"/>
                      <w:szCs w:val="18"/>
                    </w:rPr>
                  </w:pPr>
                  <w:r>
                    <w:rPr>
                      <w:rFonts w:hint="eastAsia"/>
                      <w:kern w:val="0"/>
                      <w:sz w:val="18"/>
                      <w:szCs w:val="18"/>
                    </w:rPr>
                    <w:t>3</w:t>
                  </w:r>
                  <w:r>
                    <w:rPr>
                      <w:kern w:val="0"/>
                      <w:sz w:val="18"/>
                      <w:szCs w:val="18"/>
                    </w:rPr>
                    <w:t>.0</w:t>
                  </w:r>
                </w:p>
              </w:tc>
              <w:tc>
                <w:tcPr>
                  <w:tcW w:w="820" w:type="dxa"/>
                  <w:vAlign w:val="center"/>
                </w:tcPr>
                <w:p>
                  <w:pPr>
                    <w:widowControl/>
                    <w:adjustRightInd w:val="0"/>
                    <w:snapToGrid w:val="0"/>
                    <w:jc w:val="center"/>
                    <w:rPr>
                      <w:kern w:val="0"/>
                      <w:sz w:val="18"/>
                      <w:szCs w:val="18"/>
                    </w:rPr>
                  </w:pPr>
                  <w:r>
                    <w:rPr>
                      <w:kern w:val="0"/>
                      <w:sz w:val="18"/>
                      <w:szCs w:val="18"/>
                    </w:rPr>
                    <w:t>8760</w:t>
                  </w:r>
                </w:p>
              </w:tc>
              <w:tc>
                <w:tcPr>
                  <w:tcW w:w="461" w:type="dxa"/>
                  <w:vAlign w:val="center"/>
                </w:tcPr>
                <w:p>
                  <w:pPr>
                    <w:widowControl/>
                    <w:adjustRightInd w:val="0"/>
                    <w:snapToGrid w:val="0"/>
                    <w:jc w:val="center"/>
                    <w:rPr>
                      <w:kern w:val="0"/>
                      <w:sz w:val="18"/>
                      <w:szCs w:val="18"/>
                    </w:rPr>
                  </w:pPr>
                  <w:r>
                    <w:rPr>
                      <w:kern w:val="0"/>
                      <w:sz w:val="18"/>
                      <w:szCs w:val="18"/>
                    </w:rPr>
                    <w:t>连续</w:t>
                  </w:r>
                </w:p>
              </w:tc>
              <w:tc>
                <w:tcPr>
                  <w:tcW w:w="947" w:type="dxa"/>
                  <w:tcBorders>
                    <w:right w:val="single" w:color="auto" w:sz="4" w:space="0"/>
                  </w:tcBorders>
                  <w:vAlign w:val="center"/>
                </w:tcPr>
                <w:p>
                  <w:pPr>
                    <w:jc w:val="center"/>
                    <w:rPr>
                      <w:kern w:val="0"/>
                      <w:sz w:val="18"/>
                      <w:szCs w:val="18"/>
                    </w:rPr>
                  </w:pPr>
                  <w:r>
                    <w:rPr>
                      <w:kern w:val="0"/>
                      <w:sz w:val="18"/>
                      <w:szCs w:val="18"/>
                    </w:rPr>
                    <w:t>0.0005</w:t>
                  </w:r>
                </w:p>
              </w:tc>
              <w:tc>
                <w:tcPr>
                  <w:tcW w:w="836" w:type="dxa"/>
                  <w:tcBorders>
                    <w:left w:val="single" w:color="auto" w:sz="4" w:space="0"/>
                  </w:tcBorders>
                  <w:vAlign w:val="center"/>
                </w:tcPr>
                <w:p>
                  <w:pPr>
                    <w:jc w:val="center"/>
                    <w:rPr>
                      <w:kern w:val="0"/>
                      <w:sz w:val="18"/>
                      <w:szCs w:val="18"/>
                    </w:rPr>
                  </w:pPr>
                  <w:r>
                    <w:rPr>
                      <w:kern w:val="0"/>
                      <w:sz w:val="18"/>
                      <w:szCs w:val="18"/>
                    </w:rPr>
                    <w:t>0.00005</w:t>
                  </w:r>
                </w:p>
              </w:tc>
            </w:tr>
          </w:tbl>
          <w:p>
            <w:pPr>
              <w:adjustRightInd w:val="0"/>
              <w:snapToGrid w:val="0"/>
              <w:spacing w:line="360" w:lineRule="auto"/>
              <w:ind w:firstLine="480" w:firstLineChars="200"/>
            </w:pPr>
            <w:r>
              <w:rPr>
                <w:szCs w:val="21"/>
              </w:rPr>
              <w:t>注：NH</w:t>
            </w:r>
            <w:r>
              <w:rPr>
                <w:szCs w:val="21"/>
                <w:vertAlign w:val="subscript"/>
              </w:rPr>
              <w:t>3</w:t>
            </w:r>
            <w:r>
              <w:rPr>
                <w:szCs w:val="21"/>
              </w:rPr>
              <w:t>和H</w:t>
            </w:r>
            <w:r>
              <w:rPr>
                <w:szCs w:val="21"/>
                <w:vertAlign w:val="subscript"/>
              </w:rPr>
              <w:t>2</w:t>
            </w:r>
            <w:r>
              <w:rPr>
                <w:szCs w:val="21"/>
              </w:rPr>
              <w:t>S质量标准执行《环境影响评价技术导则 大气环境》（HJ 2.2-2018）附录D中的浓度限值。</w:t>
            </w:r>
          </w:p>
          <w:p>
            <w:pPr>
              <w:adjustRightInd w:val="0"/>
              <w:snapToGrid w:val="0"/>
              <w:spacing w:line="360" w:lineRule="auto"/>
              <w:ind w:firstLine="480" w:firstLineChars="200"/>
              <w:jc w:val="left"/>
            </w:pPr>
            <w:r>
              <w:t>（2）评价等级</w:t>
            </w:r>
          </w:p>
          <w:p>
            <w:pPr>
              <w:adjustRightInd w:val="0"/>
              <w:snapToGrid w:val="0"/>
              <w:spacing w:line="360" w:lineRule="auto"/>
              <w:ind w:firstLine="480" w:firstLineChars="200"/>
              <w:jc w:val="left"/>
            </w:pPr>
            <w:r>
              <w:t xml:space="preserve">根据《环境影响评价技术导则 </w:t>
            </w:r>
            <w:r>
              <w:rPr>
                <w:szCs w:val="21"/>
              </w:rPr>
              <w:t>大气环境</w:t>
            </w:r>
            <w:r>
              <w:t>》（HJ2.2-2018）中推荐的大气评价工作等级划分原则，选择1-3种主要污染物，分别计算每一种污染物的最大地面浓度占率Pi。</w:t>
            </w:r>
          </w:p>
          <w:p>
            <w:pPr>
              <w:adjustRightInd w:val="0"/>
              <w:snapToGrid w:val="0"/>
              <w:spacing w:line="360" w:lineRule="auto"/>
              <w:ind w:firstLine="480" w:firstLineChars="200"/>
              <w:jc w:val="left"/>
            </w:pPr>
            <w:r>
              <w:t>计算公式如下：</w:t>
            </w:r>
          </w:p>
          <w:p>
            <w:pPr>
              <w:adjustRightInd w:val="0"/>
              <w:snapToGrid w:val="0"/>
              <w:spacing w:line="360" w:lineRule="auto"/>
              <w:ind w:firstLine="422" w:firstLineChars="176"/>
              <w:jc w:val="center"/>
            </w:pPr>
            <m:oMathPara>
              <m:oMath>
                <m:sSub>
                  <m:sSubPr>
                    <m:ctrlPr>
                      <w:rPr>
                        <w:rFonts w:ascii="Cambria Math" w:hAnsi="Cambria Math" w:cs="Times New Roman"/>
                        <w:szCs w:val="24"/>
                      </w:rPr>
                    </m:ctrlPr>
                  </m:sSubPr>
                  <m:e>
                    <m:r>
                      <w:rPr>
                        <w:rFonts w:ascii="Cambria Math" w:hAnsi="Cambria Math" w:cs="Times New Roman"/>
                        <w:szCs w:val="24"/>
                      </w:rPr>
                      <m:t>P</m:t>
                    </m:r>
                    <m:ctrlPr>
                      <w:rPr>
                        <w:rFonts w:ascii="Cambria Math" w:hAnsi="Cambria Math" w:cs="Times New Roman"/>
                        <w:szCs w:val="24"/>
                      </w:rPr>
                    </m:ctrlPr>
                  </m:e>
                  <m:sub>
                    <m:r>
                      <w:rPr>
                        <w:rFonts w:ascii="Cambria Math" w:hAnsi="Cambria Math" w:cs="Times New Roman"/>
                        <w:szCs w:val="24"/>
                      </w:rPr>
                      <m:t>i</m:t>
                    </m:r>
                    <m:ctrlPr>
                      <w:rPr>
                        <w:rFonts w:ascii="Cambria Math" w:hAnsi="Cambria Math" w:cs="Times New Roman"/>
                        <w:szCs w:val="24"/>
                      </w:rPr>
                    </m:ctrlPr>
                  </m:sub>
                </m:sSub>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i/>
                            <w:szCs w:val="24"/>
                          </w:rPr>
                        </m:ctrlPr>
                      </m:sSubPr>
                      <m:e>
                        <m:r>
                          <w:rPr>
                            <w:rFonts w:ascii="Cambria Math" w:hAnsi="Cambria Math" w:cs="Times New Roman"/>
                            <w:szCs w:val="24"/>
                          </w:rPr>
                          <m:t>C</m:t>
                        </m:r>
                        <m:ctrlPr>
                          <w:rPr>
                            <w:rFonts w:ascii="Cambria Math" w:hAnsi="Cambria Math" w:cs="Times New Roman"/>
                            <w:i/>
                            <w:szCs w:val="24"/>
                          </w:rPr>
                        </m:ctrlPr>
                      </m:e>
                      <m:sub>
                        <m:r>
                          <w:rPr>
                            <w:rFonts w:ascii="Cambria Math" w:hAnsi="Cambria Math" w:cs="Times New Roman"/>
                            <w:szCs w:val="24"/>
                          </w:rPr>
                          <m:t>i</m:t>
                        </m:r>
                        <m:ctrlPr>
                          <w:rPr>
                            <w:rFonts w:ascii="Cambria Math" w:hAnsi="Cambria Math" w:cs="Times New Roman"/>
                            <w:i/>
                            <w:szCs w:val="24"/>
                          </w:rPr>
                        </m:ctrlPr>
                      </m:sub>
                    </m:sSub>
                    <m:ctrlPr>
                      <w:rPr>
                        <w:rFonts w:ascii="Cambria Math" w:hAnsi="Cambria Math" w:cs="Times New Roman"/>
                        <w:szCs w:val="24"/>
                      </w:rPr>
                    </m:ctrlPr>
                  </m:num>
                  <m:den>
                    <m:sSub>
                      <m:sSubPr>
                        <m:ctrlPr>
                          <w:rPr>
                            <w:rFonts w:ascii="Cambria Math" w:hAnsi="Cambria Math" w:cs="Times New Roman"/>
                            <w:i/>
                            <w:szCs w:val="24"/>
                          </w:rPr>
                        </m:ctrlPr>
                      </m:sSubPr>
                      <m:e>
                        <m:r>
                          <w:rPr>
                            <w:rFonts w:ascii="Cambria Math" w:hAnsi="Cambria Math" w:cs="Times New Roman"/>
                            <w:szCs w:val="24"/>
                          </w:rPr>
                          <m:t>C</m:t>
                        </m:r>
                        <m:ctrlPr>
                          <w:rPr>
                            <w:rFonts w:ascii="Cambria Math" w:hAnsi="Cambria Math" w:cs="Times New Roman"/>
                            <w:i/>
                            <w:szCs w:val="24"/>
                          </w:rPr>
                        </m:ctrlPr>
                      </m:e>
                      <m:sub>
                        <m:r>
                          <w:rPr>
                            <w:rFonts w:ascii="Cambria Math" w:hAnsi="Cambria Math" w:cs="Times New Roman"/>
                            <w:szCs w:val="24"/>
                          </w:rPr>
                          <m:t>0i</m:t>
                        </m:r>
                        <m:ctrlPr>
                          <w:rPr>
                            <w:rFonts w:ascii="Cambria Math" w:hAnsi="Cambria Math" w:cs="Times New Roman"/>
                            <w:i/>
                            <w:szCs w:val="24"/>
                          </w:rPr>
                        </m:ctrlPr>
                      </m:sub>
                    </m:sSub>
                    <m:ctrlPr>
                      <w:rPr>
                        <w:rFonts w:ascii="Cambria Math" w:hAnsi="Cambria Math" w:cs="Times New Roman"/>
                        <w:szCs w:val="24"/>
                      </w:rPr>
                    </m:ctrlPr>
                  </m:den>
                </m:f>
                <m:r>
                  <w:rPr>
                    <w:rFonts w:ascii="Cambria Math" w:hAnsi="Cambria Math" w:cs="Times New Roman"/>
                    <w:szCs w:val="24"/>
                  </w:rPr>
                  <m:t>×100%</m:t>
                </m:r>
              </m:oMath>
            </m:oMathPara>
          </w:p>
          <w:p>
            <w:pPr>
              <w:adjustRightInd w:val="0"/>
              <w:snapToGrid w:val="0"/>
              <w:spacing w:line="360" w:lineRule="auto"/>
              <w:ind w:firstLine="480" w:firstLineChars="200"/>
              <w:jc w:val="left"/>
            </w:pPr>
            <m:oMath>
              <m:sSub>
                <m:sSubPr>
                  <m:ctrlPr>
                    <w:rPr>
                      <w:rFonts w:ascii="Cambria Math" w:hAnsi="Cambria Math" w:cs="Times New Roman"/>
                      <w:szCs w:val="24"/>
                    </w:rPr>
                  </m:ctrlPr>
                </m:sSubPr>
                <m:e>
                  <m:r>
                    <w:rPr>
                      <w:rFonts w:ascii="Cambria Math" w:hAnsi="Cambria Math" w:cs="Times New Roman"/>
                      <w:szCs w:val="24"/>
                    </w:rPr>
                    <m:t>P</m:t>
                  </m:r>
                  <m:ctrlPr>
                    <w:rPr>
                      <w:rFonts w:ascii="Cambria Math" w:hAnsi="Cambria Math" w:cs="Times New Roman"/>
                      <w:szCs w:val="24"/>
                    </w:rPr>
                  </m:ctrlPr>
                </m:e>
                <m:sub>
                  <m:r>
                    <w:rPr>
                      <w:rFonts w:ascii="Cambria Math" w:hAnsi="Cambria Math" w:cs="Times New Roman"/>
                      <w:szCs w:val="24"/>
                    </w:rPr>
                    <m:t>i</m:t>
                  </m:r>
                  <m:ctrlPr>
                    <w:rPr>
                      <w:rFonts w:ascii="Cambria Math" w:hAnsi="Cambria Math" w:cs="Times New Roman"/>
                      <w:szCs w:val="24"/>
                    </w:rPr>
                  </m:ctrlPr>
                </m:sub>
              </m:sSub>
            </m:oMath>
            <w:r>
              <w:t>——第i个污染物的最大地面空气质量浓度占标率，%；</w:t>
            </w:r>
          </w:p>
          <w:p>
            <w:pPr>
              <w:adjustRightInd w:val="0"/>
              <w:snapToGrid w:val="0"/>
              <w:spacing w:line="360" w:lineRule="auto"/>
              <w:ind w:firstLine="480" w:firstLineChars="200"/>
            </w:pPr>
            <m:oMath>
              <m:sSub>
                <m:sSubPr>
                  <m:ctrlPr>
                    <w:rPr>
                      <w:rFonts w:ascii="Cambria Math" w:hAnsi="Cambria Math" w:cs="Times New Roman"/>
                      <w:i/>
                      <w:szCs w:val="24"/>
                    </w:rPr>
                  </m:ctrlPr>
                </m:sSubPr>
                <m:e>
                  <m:r>
                    <w:rPr>
                      <w:rFonts w:ascii="Cambria Math" w:hAnsi="Cambria Math" w:cs="Times New Roman"/>
                      <w:szCs w:val="24"/>
                    </w:rPr>
                    <m:t>C</m:t>
                  </m:r>
                  <m:ctrlPr>
                    <w:rPr>
                      <w:rFonts w:ascii="Cambria Math" w:hAnsi="Cambria Math" w:cs="Times New Roman"/>
                      <w:i/>
                      <w:szCs w:val="24"/>
                    </w:rPr>
                  </m:ctrlPr>
                </m:e>
                <m:sub>
                  <m:r>
                    <w:rPr>
                      <w:rFonts w:ascii="Cambria Math" w:hAnsi="Cambria Math" w:cs="Times New Roman"/>
                      <w:szCs w:val="24"/>
                    </w:rPr>
                    <m:t>i</m:t>
                  </m:r>
                  <m:ctrlPr>
                    <w:rPr>
                      <w:rFonts w:ascii="Cambria Math" w:hAnsi="Cambria Math" w:cs="Times New Roman"/>
                      <w:i/>
                      <w:szCs w:val="24"/>
                    </w:rPr>
                  </m:ctrlPr>
                </m:sub>
              </m:sSub>
            </m:oMath>
            <w:r>
              <w:t>——采用估算模型计算的第i个污染物的最大1h地面空气质量浓度，μg/m</w:t>
            </w:r>
            <w:r>
              <w:rPr>
                <w:vertAlign w:val="superscript"/>
              </w:rPr>
              <w:t>3</w:t>
            </w:r>
            <w:r>
              <w:t>；</w:t>
            </w:r>
          </w:p>
          <w:p>
            <w:pPr>
              <w:adjustRightInd w:val="0"/>
              <w:snapToGrid w:val="0"/>
              <w:spacing w:line="360" w:lineRule="auto"/>
              <w:ind w:firstLine="480" w:firstLineChars="200"/>
              <w:jc w:val="left"/>
            </w:pPr>
            <m:oMath>
              <m:sSub>
                <m:sSubPr>
                  <m:ctrlPr>
                    <w:rPr>
                      <w:rFonts w:ascii="Cambria Math" w:hAnsi="Cambria Math" w:cs="Times New Roman"/>
                      <w:i/>
                      <w:szCs w:val="24"/>
                    </w:rPr>
                  </m:ctrlPr>
                </m:sSubPr>
                <m:e>
                  <m:r>
                    <w:rPr>
                      <w:rFonts w:ascii="Cambria Math" w:hAnsi="Cambria Math" w:cs="Times New Roman"/>
                      <w:szCs w:val="24"/>
                    </w:rPr>
                    <m:t>C</m:t>
                  </m:r>
                  <m:ctrlPr>
                    <w:rPr>
                      <w:rFonts w:ascii="Cambria Math" w:hAnsi="Cambria Math" w:cs="Times New Roman"/>
                      <w:i/>
                      <w:szCs w:val="24"/>
                    </w:rPr>
                  </m:ctrlPr>
                </m:e>
                <m:sub>
                  <m:r>
                    <w:rPr>
                      <w:rFonts w:ascii="Cambria Math" w:hAnsi="Cambria Math" w:cs="Times New Roman"/>
                      <w:szCs w:val="24"/>
                    </w:rPr>
                    <m:t>0i</m:t>
                  </m:r>
                  <m:ctrlPr>
                    <w:rPr>
                      <w:rFonts w:ascii="Cambria Math" w:hAnsi="Cambria Math" w:cs="Times New Roman"/>
                      <w:i/>
                      <w:szCs w:val="24"/>
                    </w:rPr>
                  </m:ctrlPr>
                </m:sub>
              </m:sSub>
            </m:oMath>
            <w:r>
              <w:t>——第i个污染物的环境空气质量浓度标准，μg/m</w:t>
            </w:r>
            <w:r>
              <w:rPr>
                <w:vertAlign w:val="superscript"/>
              </w:rPr>
              <w:t>3</w:t>
            </w:r>
            <w:r>
              <w:rPr>
                <w:rFonts w:hint="eastAsia"/>
              </w:rPr>
              <w:t>；</w:t>
            </w:r>
          </w:p>
          <w:p>
            <w:pPr>
              <w:adjustRightInd w:val="0"/>
              <w:snapToGrid w:val="0"/>
              <w:spacing w:line="360" w:lineRule="auto"/>
              <w:ind w:firstLine="480" w:firstLineChars="200"/>
              <w:jc w:val="left"/>
            </w:pPr>
            <w:r>
              <w:t>C</w:t>
            </w:r>
            <w:r>
              <w:rPr>
                <w:vertAlign w:val="subscript"/>
              </w:rPr>
              <w:t>0i</w:t>
            </w:r>
            <w:r>
              <w:t>第i个污染物的环境空气质量浓度标准，μg/m</w:t>
            </w:r>
            <w:r>
              <w:rPr>
                <w:vertAlign w:val="superscript"/>
              </w:rPr>
              <w:t>3</w:t>
            </w:r>
            <w:r>
              <w:t xml:space="preserve">。一般选用GB3095中h平均质量浓度的二级浓度限值，如项目位于一类环境空气功能区，应选择相应的一级浓度限值；对仅有8h平均质量浓度限值、日平均质量浓度限值或年平均量浓度限值的，可分别按2倍、3倍、6倍折算为1h平均质量浓度限值。本项目参照《环境影响评价技术导则 </w:t>
            </w:r>
            <w:r>
              <w:rPr>
                <w:szCs w:val="21"/>
              </w:rPr>
              <w:t>大气环境</w:t>
            </w:r>
            <w:r>
              <w:t>》（HJ2.2-2018）附录D中的浓度限值。</w:t>
            </w:r>
          </w:p>
          <w:p>
            <w:pPr>
              <w:adjustRightInd w:val="0"/>
              <w:snapToGrid w:val="0"/>
              <w:spacing w:line="360" w:lineRule="auto"/>
              <w:ind w:firstLine="480" w:firstLineChars="200"/>
              <w:jc w:val="left"/>
            </w:pPr>
            <w:r>
              <w:t>评价工作等级按下表的分级判据进行划分，如果污染物数i大于1，取P值中最大者（Pmax）和其对于的D</w:t>
            </w:r>
            <w:r>
              <w:rPr>
                <w:vertAlign w:val="subscript"/>
              </w:rPr>
              <w:t>10</w:t>
            </w:r>
            <w:r>
              <w:t>%，D</w:t>
            </w:r>
            <w:r>
              <w:rPr>
                <w:vertAlign w:val="subscript"/>
              </w:rPr>
              <w:t>10</w:t>
            </w:r>
            <w:r>
              <w:t>%为污染物的地面浓度达到标准限值10%时所对应的最远距离。</w:t>
            </w:r>
          </w:p>
          <w:p>
            <w:pPr>
              <w:adjustRightInd w:val="0"/>
              <w:snapToGrid w:val="0"/>
              <w:spacing w:line="360" w:lineRule="auto"/>
              <w:ind w:firstLine="482" w:firstLineChars="200"/>
              <w:jc w:val="center"/>
              <w:rPr>
                <w:rFonts w:cs="Times New Roman"/>
                <w:b/>
                <w:szCs w:val="24"/>
              </w:rPr>
            </w:pPr>
            <w:r>
              <w:rPr>
                <w:rFonts w:cs="Times New Roman"/>
                <w:b/>
                <w:szCs w:val="24"/>
              </w:rPr>
              <w:t>表7-9  评价工作等级</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2"/>
              <w:gridCol w:w="4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2" w:type="dxa"/>
                  <w:vAlign w:val="center"/>
                </w:tcPr>
                <w:p>
                  <w:pPr>
                    <w:adjustRightInd w:val="0"/>
                    <w:snapToGrid w:val="0"/>
                    <w:jc w:val="center"/>
                    <w:rPr>
                      <w:b/>
                      <w:bCs/>
                      <w:sz w:val="21"/>
                      <w:szCs w:val="21"/>
                    </w:rPr>
                  </w:pPr>
                  <w:r>
                    <w:rPr>
                      <w:b/>
                      <w:bCs/>
                      <w:sz w:val="21"/>
                      <w:szCs w:val="21"/>
                    </w:rPr>
                    <w:t>评价工作等级</w:t>
                  </w:r>
                </w:p>
              </w:tc>
              <w:tc>
                <w:tcPr>
                  <w:tcW w:w="4190" w:type="dxa"/>
                  <w:vAlign w:val="center"/>
                </w:tcPr>
                <w:p>
                  <w:pPr>
                    <w:adjustRightInd w:val="0"/>
                    <w:snapToGrid w:val="0"/>
                    <w:jc w:val="center"/>
                    <w:rPr>
                      <w:b/>
                      <w:bCs/>
                      <w:sz w:val="21"/>
                      <w:szCs w:val="21"/>
                    </w:rPr>
                  </w:pPr>
                  <w:r>
                    <w:rPr>
                      <w:b/>
                      <w:bCs/>
                      <w:sz w:val="21"/>
                      <w:szCs w:val="21"/>
                    </w:rPr>
                    <w:t>评价工作分级判据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2" w:type="dxa"/>
                  <w:vAlign w:val="center"/>
                </w:tcPr>
                <w:p>
                  <w:pPr>
                    <w:adjustRightInd w:val="0"/>
                    <w:snapToGrid w:val="0"/>
                    <w:jc w:val="center"/>
                    <w:rPr>
                      <w:sz w:val="21"/>
                      <w:szCs w:val="21"/>
                    </w:rPr>
                  </w:pPr>
                  <w:r>
                    <w:rPr>
                      <w:sz w:val="21"/>
                      <w:szCs w:val="21"/>
                    </w:rPr>
                    <w:t>一级评价</w:t>
                  </w:r>
                </w:p>
              </w:tc>
              <w:tc>
                <w:tcPr>
                  <w:tcW w:w="4190" w:type="dxa"/>
                  <w:vAlign w:val="center"/>
                </w:tcPr>
                <w:p>
                  <w:pPr>
                    <w:adjustRightInd w:val="0"/>
                    <w:snapToGrid w:val="0"/>
                    <w:jc w:val="center"/>
                    <w:rPr>
                      <w:sz w:val="21"/>
                      <w:szCs w:val="21"/>
                    </w:rPr>
                  </w:pPr>
                  <w:r>
                    <w:rPr>
                      <w:sz w:val="21"/>
                      <w:szCs w:val="21"/>
                    </w:rPr>
                    <w:t>Pmax</w:t>
                  </w:r>
                  <w:r>
                    <w:rPr>
                      <w:rFonts w:hint="eastAsia" w:ascii="宋体" w:hAnsi="宋体" w:cs="宋体"/>
                      <w:sz w:val="21"/>
                      <w:szCs w:val="21"/>
                    </w:rPr>
                    <w:t>≧</w:t>
                  </w:r>
                  <w:r>
                    <w:rPr>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2" w:type="dxa"/>
                  <w:vAlign w:val="center"/>
                </w:tcPr>
                <w:p>
                  <w:pPr>
                    <w:adjustRightInd w:val="0"/>
                    <w:snapToGrid w:val="0"/>
                    <w:jc w:val="center"/>
                    <w:rPr>
                      <w:sz w:val="21"/>
                      <w:szCs w:val="21"/>
                    </w:rPr>
                  </w:pPr>
                  <w:r>
                    <w:rPr>
                      <w:sz w:val="21"/>
                      <w:szCs w:val="21"/>
                    </w:rPr>
                    <w:t>二级评价</w:t>
                  </w:r>
                </w:p>
              </w:tc>
              <w:tc>
                <w:tcPr>
                  <w:tcW w:w="4190" w:type="dxa"/>
                  <w:vAlign w:val="center"/>
                </w:tcPr>
                <w:p>
                  <w:pPr>
                    <w:adjustRightInd w:val="0"/>
                    <w:snapToGrid w:val="0"/>
                    <w:jc w:val="center"/>
                    <w:rPr>
                      <w:sz w:val="21"/>
                      <w:szCs w:val="21"/>
                    </w:rPr>
                  </w:pPr>
                  <w:r>
                    <w:rPr>
                      <w:sz w:val="21"/>
                      <w:szCs w:val="21"/>
                    </w:rPr>
                    <w:t>1%</w:t>
                  </w:r>
                  <w:r>
                    <w:rPr>
                      <w:rFonts w:hint="eastAsia" w:ascii="宋体" w:hAnsi="宋体" w:cs="宋体"/>
                      <w:sz w:val="21"/>
                      <w:szCs w:val="21"/>
                    </w:rPr>
                    <w:t>≦</w:t>
                  </w:r>
                  <w:r>
                    <w:rPr>
                      <w:sz w:val="21"/>
                      <w:szCs w:val="21"/>
                    </w:rPr>
                    <w:t>Pmax&lt;10%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2" w:type="dxa"/>
                  <w:vAlign w:val="center"/>
                </w:tcPr>
                <w:p>
                  <w:pPr>
                    <w:adjustRightInd w:val="0"/>
                    <w:snapToGrid w:val="0"/>
                    <w:jc w:val="center"/>
                    <w:rPr>
                      <w:sz w:val="21"/>
                      <w:szCs w:val="21"/>
                    </w:rPr>
                  </w:pPr>
                  <w:r>
                    <w:rPr>
                      <w:sz w:val="21"/>
                      <w:szCs w:val="21"/>
                    </w:rPr>
                    <w:t>三级评价</w:t>
                  </w:r>
                </w:p>
              </w:tc>
              <w:tc>
                <w:tcPr>
                  <w:tcW w:w="4190" w:type="dxa"/>
                  <w:vAlign w:val="center"/>
                </w:tcPr>
                <w:p>
                  <w:pPr>
                    <w:adjustRightInd w:val="0"/>
                    <w:snapToGrid w:val="0"/>
                    <w:jc w:val="center"/>
                    <w:rPr>
                      <w:sz w:val="21"/>
                      <w:szCs w:val="21"/>
                    </w:rPr>
                  </w:pPr>
                  <w:r>
                    <w:rPr>
                      <w:sz w:val="21"/>
                      <w:szCs w:val="21"/>
                    </w:rPr>
                    <w:t>Pmax&lt;1%</w:t>
                  </w:r>
                </w:p>
              </w:tc>
            </w:tr>
          </w:tbl>
          <w:p>
            <w:pPr>
              <w:widowControl/>
              <w:adjustRightInd w:val="0"/>
              <w:snapToGrid w:val="0"/>
              <w:spacing w:line="360" w:lineRule="auto"/>
              <w:ind w:firstLine="480" w:firstLineChars="200"/>
              <w:jc w:val="left"/>
            </w:pPr>
            <w:r>
              <w:t>（3）污染物评价标准</w:t>
            </w:r>
          </w:p>
          <w:p>
            <w:pPr>
              <w:widowControl/>
              <w:adjustRightInd w:val="0"/>
              <w:snapToGrid w:val="0"/>
              <w:spacing w:line="360" w:lineRule="auto"/>
              <w:ind w:firstLine="480" w:firstLineChars="200"/>
              <w:jc w:val="left"/>
            </w:pPr>
            <w:r>
              <w:t>污染物评价标准和来源见下表。</w:t>
            </w:r>
          </w:p>
          <w:p>
            <w:pPr>
              <w:adjustRightInd w:val="0"/>
              <w:snapToGrid w:val="0"/>
              <w:spacing w:line="360" w:lineRule="auto"/>
              <w:jc w:val="center"/>
              <w:rPr>
                <w:rFonts w:cs="Times New Roman"/>
                <w:b/>
                <w:szCs w:val="24"/>
              </w:rPr>
            </w:pPr>
            <w:r>
              <w:rPr>
                <w:rFonts w:cs="Times New Roman"/>
                <w:b/>
                <w:szCs w:val="24"/>
              </w:rPr>
              <w:t>表7-10  污染物评价标准</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1120"/>
              <w:gridCol w:w="1351"/>
              <w:gridCol w:w="1372"/>
              <w:gridCol w:w="3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Align w:val="center"/>
                </w:tcPr>
                <w:p>
                  <w:pPr>
                    <w:widowControl/>
                    <w:adjustRightInd w:val="0"/>
                    <w:snapToGrid w:val="0"/>
                    <w:jc w:val="center"/>
                    <w:rPr>
                      <w:b/>
                      <w:bCs/>
                      <w:sz w:val="21"/>
                      <w:szCs w:val="21"/>
                    </w:rPr>
                  </w:pPr>
                  <w:r>
                    <w:rPr>
                      <w:b/>
                      <w:bCs/>
                      <w:sz w:val="21"/>
                      <w:szCs w:val="21"/>
                    </w:rPr>
                    <w:t>污染物名称</w:t>
                  </w:r>
                </w:p>
              </w:tc>
              <w:tc>
                <w:tcPr>
                  <w:tcW w:w="1120" w:type="dxa"/>
                  <w:vAlign w:val="center"/>
                </w:tcPr>
                <w:p>
                  <w:pPr>
                    <w:widowControl/>
                    <w:adjustRightInd w:val="0"/>
                    <w:snapToGrid w:val="0"/>
                    <w:jc w:val="center"/>
                    <w:rPr>
                      <w:b/>
                      <w:bCs/>
                      <w:sz w:val="21"/>
                      <w:szCs w:val="21"/>
                    </w:rPr>
                  </w:pPr>
                  <w:r>
                    <w:rPr>
                      <w:b/>
                      <w:bCs/>
                      <w:sz w:val="21"/>
                      <w:szCs w:val="21"/>
                    </w:rPr>
                    <w:t>功能区</w:t>
                  </w:r>
                </w:p>
              </w:tc>
              <w:tc>
                <w:tcPr>
                  <w:tcW w:w="1351" w:type="dxa"/>
                  <w:vAlign w:val="center"/>
                </w:tcPr>
                <w:p>
                  <w:pPr>
                    <w:widowControl/>
                    <w:adjustRightInd w:val="0"/>
                    <w:snapToGrid w:val="0"/>
                    <w:jc w:val="center"/>
                    <w:rPr>
                      <w:b/>
                      <w:bCs/>
                      <w:sz w:val="21"/>
                      <w:szCs w:val="21"/>
                    </w:rPr>
                  </w:pPr>
                  <w:r>
                    <w:rPr>
                      <w:b/>
                      <w:bCs/>
                      <w:sz w:val="21"/>
                      <w:szCs w:val="21"/>
                    </w:rPr>
                    <w:t>取值时间</w:t>
                  </w:r>
                </w:p>
              </w:tc>
              <w:tc>
                <w:tcPr>
                  <w:tcW w:w="1372" w:type="dxa"/>
                  <w:vAlign w:val="center"/>
                </w:tcPr>
                <w:p>
                  <w:pPr>
                    <w:widowControl/>
                    <w:adjustRightInd w:val="0"/>
                    <w:snapToGrid w:val="0"/>
                    <w:jc w:val="center"/>
                    <w:rPr>
                      <w:b/>
                      <w:bCs/>
                      <w:sz w:val="21"/>
                      <w:szCs w:val="21"/>
                    </w:rPr>
                  </w:pPr>
                  <w:r>
                    <w:rPr>
                      <w:b/>
                      <w:bCs/>
                      <w:sz w:val="21"/>
                      <w:szCs w:val="21"/>
                    </w:rPr>
                    <w:t>标准值</w:t>
                  </w:r>
                </w:p>
                <w:p>
                  <w:pPr>
                    <w:widowControl/>
                    <w:adjustRightInd w:val="0"/>
                    <w:snapToGrid w:val="0"/>
                    <w:jc w:val="center"/>
                    <w:rPr>
                      <w:b/>
                      <w:bCs/>
                      <w:sz w:val="21"/>
                      <w:szCs w:val="21"/>
                    </w:rPr>
                  </w:pPr>
                  <w:bookmarkStart w:id="5" w:name="OLE_LINK14"/>
                  <w:bookmarkStart w:id="6" w:name="OLE_LINK15"/>
                  <w:r>
                    <w:rPr>
                      <w:b/>
                      <w:bCs/>
                      <w:sz w:val="21"/>
                      <w:szCs w:val="21"/>
                    </w:rPr>
                    <w:t>(μg/m</w:t>
                  </w:r>
                  <w:r>
                    <w:rPr>
                      <w:b/>
                      <w:bCs/>
                      <w:sz w:val="21"/>
                      <w:szCs w:val="21"/>
                      <w:vertAlign w:val="superscript"/>
                    </w:rPr>
                    <w:t>3</w:t>
                  </w:r>
                  <w:r>
                    <w:rPr>
                      <w:b/>
                      <w:bCs/>
                      <w:sz w:val="21"/>
                      <w:szCs w:val="21"/>
                    </w:rPr>
                    <w:t>)</w:t>
                  </w:r>
                  <w:bookmarkEnd w:id="5"/>
                  <w:bookmarkEnd w:id="6"/>
                </w:p>
              </w:tc>
              <w:tc>
                <w:tcPr>
                  <w:tcW w:w="3078" w:type="dxa"/>
                  <w:vAlign w:val="center"/>
                </w:tcPr>
                <w:p>
                  <w:pPr>
                    <w:widowControl/>
                    <w:adjustRightInd w:val="0"/>
                    <w:snapToGrid w:val="0"/>
                    <w:jc w:val="center"/>
                    <w:rPr>
                      <w:b/>
                      <w:bCs/>
                      <w:sz w:val="21"/>
                      <w:szCs w:val="21"/>
                    </w:rPr>
                  </w:pPr>
                  <w:r>
                    <w:rPr>
                      <w:b/>
                      <w:bCs/>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Align w:val="center"/>
                </w:tcPr>
                <w:p>
                  <w:pPr>
                    <w:widowControl/>
                    <w:adjustRightInd w:val="0"/>
                    <w:snapToGrid w:val="0"/>
                    <w:jc w:val="center"/>
                    <w:rPr>
                      <w:sz w:val="21"/>
                      <w:szCs w:val="21"/>
                    </w:rPr>
                  </w:pPr>
                  <w:r>
                    <w:rPr>
                      <w:sz w:val="21"/>
                      <w:szCs w:val="21"/>
                    </w:rPr>
                    <w:t>NH</w:t>
                  </w:r>
                  <w:r>
                    <w:rPr>
                      <w:sz w:val="21"/>
                      <w:szCs w:val="21"/>
                      <w:vertAlign w:val="subscript"/>
                    </w:rPr>
                    <w:t>3</w:t>
                  </w:r>
                </w:p>
              </w:tc>
              <w:tc>
                <w:tcPr>
                  <w:tcW w:w="1120" w:type="dxa"/>
                  <w:vMerge w:val="restart"/>
                  <w:vAlign w:val="center"/>
                </w:tcPr>
                <w:p>
                  <w:pPr>
                    <w:widowControl/>
                    <w:adjustRightInd w:val="0"/>
                    <w:snapToGrid w:val="0"/>
                    <w:jc w:val="center"/>
                    <w:rPr>
                      <w:sz w:val="21"/>
                      <w:szCs w:val="21"/>
                    </w:rPr>
                  </w:pPr>
                  <w:r>
                    <w:rPr>
                      <w:sz w:val="21"/>
                      <w:szCs w:val="21"/>
                    </w:rPr>
                    <w:t>二类限区</w:t>
                  </w:r>
                </w:p>
              </w:tc>
              <w:tc>
                <w:tcPr>
                  <w:tcW w:w="1351" w:type="dxa"/>
                  <w:vMerge w:val="restart"/>
                  <w:vAlign w:val="center"/>
                </w:tcPr>
                <w:p>
                  <w:pPr>
                    <w:widowControl/>
                    <w:adjustRightInd w:val="0"/>
                    <w:snapToGrid w:val="0"/>
                    <w:jc w:val="center"/>
                    <w:rPr>
                      <w:sz w:val="21"/>
                      <w:szCs w:val="21"/>
                    </w:rPr>
                  </w:pPr>
                  <w:r>
                    <w:rPr>
                      <w:sz w:val="21"/>
                      <w:szCs w:val="21"/>
                    </w:rPr>
                    <w:t>一小时</w:t>
                  </w:r>
                </w:p>
              </w:tc>
              <w:tc>
                <w:tcPr>
                  <w:tcW w:w="1372" w:type="dxa"/>
                  <w:vAlign w:val="center"/>
                </w:tcPr>
                <w:p>
                  <w:pPr>
                    <w:widowControl/>
                    <w:adjustRightInd w:val="0"/>
                    <w:snapToGrid w:val="0"/>
                    <w:jc w:val="center"/>
                    <w:rPr>
                      <w:sz w:val="21"/>
                      <w:szCs w:val="21"/>
                    </w:rPr>
                  </w:pPr>
                  <w:r>
                    <w:rPr>
                      <w:sz w:val="21"/>
                      <w:szCs w:val="21"/>
                    </w:rPr>
                    <w:t>200</w:t>
                  </w:r>
                </w:p>
              </w:tc>
              <w:tc>
                <w:tcPr>
                  <w:tcW w:w="3078" w:type="dxa"/>
                  <w:vMerge w:val="restart"/>
                  <w:vAlign w:val="center"/>
                </w:tcPr>
                <w:p>
                  <w:pPr>
                    <w:widowControl/>
                    <w:adjustRightInd w:val="0"/>
                    <w:snapToGrid w:val="0"/>
                    <w:jc w:val="center"/>
                    <w:rPr>
                      <w:sz w:val="21"/>
                      <w:szCs w:val="21"/>
                    </w:rPr>
                  </w:pPr>
                  <w:r>
                    <w:rPr>
                      <w:sz w:val="21"/>
                      <w:szCs w:val="21"/>
                    </w:rPr>
                    <w:t>《环境影响评价技术导则 大气环境》HJ 2.2-2018附录D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Align w:val="center"/>
                </w:tcPr>
                <w:p>
                  <w:pPr>
                    <w:widowControl/>
                    <w:adjustRightInd w:val="0"/>
                    <w:snapToGrid w:val="0"/>
                    <w:jc w:val="center"/>
                    <w:rPr>
                      <w:sz w:val="21"/>
                      <w:szCs w:val="21"/>
                      <w:highlight w:val="yellow"/>
                    </w:rPr>
                  </w:pPr>
                  <w:r>
                    <w:rPr>
                      <w:sz w:val="21"/>
                      <w:szCs w:val="21"/>
                    </w:rPr>
                    <w:t>H</w:t>
                  </w:r>
                  <w:r>
                    <w:rPr>
                      <w:sz w:val="21"/>
                      <w:szCs w:val="21"/>
                      <w:vertAlign w:val="subscript"/>
                    </w:rPr>
                    <w:t>2</w:t>
                  </w:r>
                  <w:r>
                    <w:rPr>
                      <w:sz w:val="21"/>
                      <w:szCs w:val="21"/>
                    </w:rPr>
                    <w:t>S</w:t>
                  </w:r>
                </w:p>
              </w:tc>
              <w:tc>
                <w:tcPr>
                  <w:tcW w:w="1120" w:type="dxa"/>
                  <w:vMerge w:val="continue"/>
                  <w:vAlign w:val="center"/>
                </w:tcPr>
                <w:p>
                  <w:pPr>
                    <w:widowControl/>
                    <w:adjustRightInd w:val="0"/>
                    <w:snapToGrid w:val="0"/>
                    <w:jc w:val="center"/>
                    <w:rPr>
                      <w:sz w:val="21"/>
                      <w:szCs w:val="21"/>
                      <w:highlight w:val="yellow"/>
                    </w:rPr>
                  </w:pPr>
                </w:p>
              </w:tc>
              <w:tc>
                <w:tcPr>
                  <w:tcW w:w="1351" w:type="dxa"/>
                  <w:vMerge w:val="continue"/>
                  <w:vAlign w:val="center"/>
                </w:tcPr>
                <w:p>
                  <w:pPr>
                    <w:widowControl/>
                    <w:adjustRightInd w:val="0"/>
                    <w:snapToGrid w:val="0"/>
                    <w:jc w:val="center"/>
                    <w:rPr>
                      <w:sz w:val="21"/>
                      <w:szCs w:val="21"/>
                      <w:highlight w:val="yellow"/>
                    </w:rPr>
                  </w:pPr>
                </w:p>
              </w:tc>
              <w:tc>
                <w:tcPr>
                  <w:tcW w:w="1372" w:type="dxa"/>
                  <w:vAlign w:val="center"/>
                </w:tcPr>
                <w:p>
                  <w:pPr>
                    <w:widowControl/>
                    <w:adjustRightInd w:val="0"/>
                    <w:snapToGrid w:val="0"/>
                    <w:jc w:val="center"/>
                    <w:rPr>
                      <w:sz w:val="21"/>
                      <w:szCs w:val="21"/>
                      <w:highlight w:val="yellow"/>
                    </w:rPr>
                  </w:pPr>
                  <w:r>
                    <w:rPr>
                      <w:sz w:val="21"/>
                      <w:szCs w:val="21"/>
                    </w:rPr>
                    <w:t>10</w:t>
                  </w:r>
                </w:p>
              </w:tc>
              <w:tc>
                <w:tcPr>
                  <w:tcW w:w="3078" w:type="dxa"/>
                  <w:vMerge w:val="continue"/>
                  <w:vAlign w:val="center"/>
                </w:tcPr>
                <w:p>
                  <w:pPr>
                    <w:widowControl/>
                    <w:adjustRightInd w:val="0"/>
                    <w:snapToGrid w:val="0"/>
                    <w:jc w:val="center"/>
                    <w:rPr>
                      <w:sz w:val="21"/>
                      <w:szCs w:val="21"/>
                      <w:highlight w:val="yellow"/>
                    </w:rPr>
                  </w:pPr>
                </w:p>
              </w:tc>
            </w:tr>
          </w:tbl>
          <w:p>
            <w:pPr>
              <w:widowControl/>
              <w:adjustRightInd w:val="0"/>
              <w:snapToGrid w:val="0"/>
              <w:spacing w:line="360" w:lineRule="auto"/>
              <w:ind w:firstLine="480" w:firstLineChars="200"/>
              <w:jc w:val="left"/>
            </w:pPr>
            <w:r>
              <w:t>（4）项目参数</w:t>
            </w:r>
          </w:p>
          <w:p>
            <w:pPr>
              <w:widowControl/>
              <w:adjustRightInd w:val="0"/>
              <w:snapToGrid w:val="0"/>
              <w:spacing w:line="360" w:lineRule="auto"/>
              <w:ind w:firstLine="480" w:firstLineChars="200"/>
              <w:jc w:val="left"/>
              <w:rPr>
                <w:highlight w:val="yellow"/>
              </w:rPr>
            </w:pPr>
            <w:r>
              <w:t>本次大气环境影响预测采用《环境影响评价技术导则 大气环境》（HJ2.2-2018）推荐模式清单中的AERSCREEN模型进行预测，计算各预测因子最大落地地面浓度值。根据项目所在地环境特点，项目估算模型参数详见下表：</w:t>
            </w:r>
          </w:p>
          <w:p>
            <w:pPr>
              <w:adjustRightInd w:val="0"/>
              <w:snapToGrid w:val="0"/>
              <w:spacing w:line="360" w:lineRule="auto"/>
              <w:jc w:val="center"/>
              <w:rPr>
                <w:rFonts w:cs="Times New Roman"/>
                <w:b/>
                <w:szCs w:val="24"/>
              </w:rPr>
            </w:pPr>
            <w:r>
              <w:rPr>
                <w:rFonts w:cs="Times New Roman"/>
                <w:b/>
                <w:szCs w:val="24"/>
              </w:rPr>
              <w:t>表7-11  估算模型参数表</w:t>
            </w:r>
          </w:p>
          <w:tbl>
            <w:tblPr>
              <w:tblStyle w:val="30"/>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4"/>
              <w:gridCol w:w="1394"/>
              <w:gridCol w:w="1380"/>
              <w:gridCol w:w="2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58" w:type="dxa"/>
                  <w:gridSpan w:val="2"/>
                  <w:vAlign w:val="center"/>
                </w:tcPr>
                <w:p>
                  <w:pPr>
                    <w:jc w:val="center"/>
                    <w:rPr>
                      <w:sz w:val="21"/>
                      <w:szCs w:val="21"/>
                    </w:rPr>
                  </w:pPr>
                  <w:r>
                    <w:rPr>
                      <w:sz w:val="21"/>
                      <w:szCs w:val="21"/>
                    </w:rPr>
                    <w:t>参数</w:t>
                  </w:r>
                </w:p>
              </w:tc>
              <w:tc>
                <w:tcPr>
                  <w:tcW w:w="4144" w:type="dxa"/>
                  <w:gridSpan w:val="2"/>
                  <w:vAlign w:val="center"/>
                </w:tcPr>
                <w:p>
                  <w:pPr>
                    <w:jc w:val="center"/>
                    <w:rPr>
                      <w:sz w:val="21"/>
                      <w:szCs w:val="21"/>
                    </w:rPr>
                  </w:pPr>
                  <w:r>
                    <w:rPr>
                      <w:sz w:val="21"/>
                      <w:szCs w:val="21"/>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4" w:type="dxa"/>
                  <w:vMerge w:val="restart"/>
                  <w:vAlign w:val="center"/>
                </w:tcPr>
                <w:p>
                  <w:pPr>
                    <w:jc w:val="center"/>
                    <w:rPr>
                      <w:sz w:val="21"/>
                      <w:szCs w:val="21"/>
                    </w:rPr>
                  </w:pPr>
                  <w:r>
                    <w:rPr>
                      <w:sz w:val="21"/>
                      <w:szCs w:val="21"/>
                    </w:rPr>
                    <w:t>城市/农村选项</w:t>
                  </w:r>
                </w:p>
              </w:tc>
              <w:tc>
                <w:tcPr>
                  <w:tcW w:w="2774" w:type="dxa"/>
                  <w:gridSpan w:val="2"/>
                  <w:vAlign w:val="center"/>
                </w:tcPr>
                <w:p>
                  <w:pPr>
                    <w:jc w:val="center"/>
                    <w:rPr>
                      <w:sz w:val="21"/>
                      <w:szCs w:val="21"/>
                    </w:rPr>
                  </w:pPr>
                  <w:r>
                    <w:rPr>
                      <w:sz w:val="21"/>
                      <w:szCs w:val="21"/>
                    </w:rPr>
                    <w:t>城市/农村</w:t>
                  </w:r>
                </w:p>
              </w:tc>
              <w:tc>
                <w:tcPr>
                  <w:tcW w:w="2764" w:type="dxa"/>
                  <w:vAlign w:val="center"/>
                </w:tcPr>
                <w:p>
                  <w:pPr>
                    <w:jc w:val="center"/>
                    <w:rPr>
                      <w:sz w:val="21"/>
                      <w:szCs w:val="21"/>
                    </w:rPr>
                  </w:pPr>
                  <w:r>
                    <w:rPr>
                      <w:sz w:val="21"/>
                      <w:szCs w:val="21"/>
                    </w:rPr>
                    <w:t>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4" w:type="dxa"/>
                  <w:vMerge w:val="continue"/>
                  <w:vAlign w:val="center"/>
                </w:tcPr>
                <w:p>
                  <w:pPr>
                    <w:jc w:val="center"/>
                    <w:rPr>
                      <w:sz w:val="21"/>
                      <w:szCs w:val="21"/>
                    </w:rPr>
                  </w:pPr>
                </w:p>
              </w:tc>
              <w:tc>
                <w:tcPr>
                  <w:tcW w:w="2774" w:type="dxa"/>
                  <w:gridSpan w:val="2"/>
                  <w:vAlign w:val="center"/>
                </w:tcPr>
                <w:p>
                  <w:pPr>
                    <w:jc w:val="center"/>
                    <w:rPr>
                      <w:sz w:val="21"/>
                      <w:szCs w:val="21"/>
                    </w:rPr>
                  </w:pPr>
                  <w:r>
                    <w:rPr>
                      <w:sz w:val="21"/>
                      <w:szCs w:val="21"/>
                    </w:rPr>
                    <w:t>人口数(城市人口数)</w:t>
                  </w:r>
                </w:p>
              </w:tc>
              <w:tc>
                <w:tcPr>
                  <w:tcW w:w="2764" w:type="dxa"/>
                  <w:vAlign w:val="center"/>
                </w:tcPr>
                <w:p>
                  <w:pPr>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58" w:type="dxa"/>
                  <w:gridSpan w:val="2"/>
                  <w:vAlign w:val="center"/>
                </w:tcPr>
                <w:p>
                  <w:pPr>
                    <w:jc w:val="center"/>
                    <w:rPr>
                      <w:sz w:val="21"/>
                      <w:szCs w:val="21"/>
                    </w:rPr>
                  </w:pPr>
                  <w:r>
                    <w:rPr>
                      <w:sz w:val="21"/>
                      <w:szCs w:val="21"/>
                    </w:rPr>
                    <w:t>最高环境温度</w:t>
                  </w:r>
                </w:p>
              </w:tc>
              <w:tc>
                <w:tcPr>
                  <w:tcW w:w="4144" w:type="dxa"/>
                  <w:gridSpan w:val="2"/>
                  <w:vAlign w:val="center"/>
                </w:tcPr>
                <w:p>
                  <w:pPr>
                    <w:jc w:val="center"/>
                    <w:rPr>
                      <w:sz w:val="21"/>
                      <w:szCs w:val="21"/>
                    </w:rPr>
                  </w:pPr>
                  <w:r>
                    <w:rPr>
                      <w:rFonts w:hint="eastAsia"/>
                      <w:sz w:val="21"/>
                      <w:szCs w:val="21"/>
                    </w:rPr>
                    <w:t>3</w:t>
                  </w:r>
                  <w:r>
                    <w:rPr>
                      <w:sz w:val="21"/>
                      <w:szCs w:val="21"/>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58" w:type="dxa"/>
                  <w:gridSpan w:val="2"/>
                  <w:vAlign w:val="center"/>
                </w:tcPr>
                <w:p>
                  <w:pPr>
                    <w:jc w:val="center"/>
                    <w:rPr>
                      <w:sz w:val="21"/>
                      <w:szCs w:val="21"/>
                    </w:rPr>
                  </w:pPr>
                  <w:r>
                    <w:rPr>
                      <w:sz w:val="21"/>
                      <w:szCs w:val="21"/>
                    </w:rPr>
                    <w:t>最低环境温度</w:t>
                  </w:r>
                </w:p>
              </w:tc>
              <w:tc>
                <w:tcPr>
                  <w:tcW w:w="4144" w:type="dxa"/>
                  <w:gridSpan w:val="2"/>
                  <w:vAlign w:val="center"/>
                </w:tcPr>
                <w:p>
                  <w:pPr>
                    <w:jc w:val="center"/>
                    <w:rPr>
                      <w:sz w:val="21"/>
                      <w:szCs w:val="21"/>
                    </w:rPr>
                  </w:pPr>
                  <w:r>
                    <w:rPr>
                      <w:sz w:val="21"/>
                      <w:szCs w:val="21"/>
                    </w:rPr>
                    <w:t>-</w:t>
                  </w:r>
                  <w:r>
                    <w:rPr>
                      <w:rFonts w:hint="eastAsia"/>
                      <w:sz w:val="21"/>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58" w:type="dxa"/>
                  <w:gridSpan w:val="2"/>
                  <w:vAlign w:val="center"/>
                </w:tcPr>
                <w:p>
                  <w:pPr>
                    <w:jc w:val="center"/>
                    <w:rPr>
                      <w:sz w:val="21"/>
                      <w:szCs w:val="21"/>
                    </w:rPr>
                  </w:pPr>
                  <w:r>
                    <w:rPr>
                      <w:sz w:val="21"/>
                      <w:szCs w:val="21"/>
                    </w:rPr>
                    <w:t>土地利用类型</w:t>
                  </w:r>
                </w:p>
              </w:tc>
              <w:tc>
                <w:tcPr>
                  <w:tcW w:w="4144" w:type="dxa"/>
                  <w:gridSpan w:val="2"/>
                  <w:vAlign w:val="center"/>
                </w:tcPr>
                <w:p>
                  <w:pPr>
                    <w:jc w:val="center"/>
                    <w:rPr>
                      <w:sz w:val="21"/>
                      <w:szCs w:val="21"/>
                    </w:rPr>
                  </w:pPr>
                  <w:r>
                    <w:rPr>
                      <w:sz w:val="21"/>
                      <w:szCs w:val="21"/>
                    </w:rPr>
                    <w:t>阔叶林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58" w:type="dxa"/>
                  <w:gridSpan w:val="2"/>
                  <w:vAlign w:val="center"/>
                </w:tcPr>
                <w:p>
                  <w:pPr>
                    <w:jc w:val="center"/>
                    <w:rPr>
                      <w:sz w:val="21"/>
                      <w:szCs w:val="21"/>
                    </w:rPr>
                  </w:pPr>
                  <w:r>
                    <w:rPr>
                      <w:sz w:val="21"/>
                      <w:szCs w:val="21"/>
                    </w:rPr>
                    <w:t>区域湿度条件</w:t>
                  </w:r>
                </w:p>
              </w:tc>
              <w:tc>
                <w:tcPr>
                  <w:tcW w:w="4144" w:type="dxa"/>
                  <w:gridSpan w:val="2"/>
                  <w:vAlign w:val="center"/>
                </w:tcPr>
                <w:p>
                  <w:pPr>
                    <w:jc w:val="center"/>
                    <w:rPr>
                      <w:sz w:val="21"/>
                      <w:szCs w:val="21"/>
                    </w:rPr>
                  </w:pPr>
                  <w:r>
                    <w:rPr>
                      <w:sz w:val="21"/>
                      <w:szCs w:val="21"/>
                    </w:rPr>
                    <w:t>潮湿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4" w:type="dxa"/>
                  <w:vMerge w:val="restart"/>
                  <w:vAlign w:val="center"/>
                </w:tcPr>
                <w:p>
                  <w:pPr>
                    <w:jc w:val="center"/>
                    <w:rPr>
                      <w:sz w:val="21"/>
                      <w:szCs w:val="21"/>
                    </w:rPr>
                  </w:pPr>
                  <w:r>
                    <w:rPr>
                      <w:sz w:val="21"/>
                      <w:szCs w:val="21"/>
                    </w:rPr>
                    <w:t>是否考虑地形</w:t>
                  </w:r>
                </w:p>
              </w:tc>
              <w:tc>
                <w:tcPr>
                  <w:tcW w:w="2774" w:type="dxa"/>
                  <w:gridSpan w:val="2"/>
                  <w:vAlign w:val="center"/>
                </w:tcPr>
                <w:p>
                  <w:pPr>
                    <w:jc w:val="center"/>
                    <w:rPr>
                      <w:sz w:val="21"/>
                      <w:szCs w:val="21"/>
                    </w:rPr>
                  </w:pPr>
                  <w:r>
                    <w:rPr>
                      <w:sz w:val="21"/>
                      <w:szCs w:val="21"/>
                    </w:rPr>
                    <w:t>考虑地形</w:t>
                  </w:r>
                </w:p>
              </w:tc>
              <w:tc>
                <w:tcPr>
                  <w:tcW w:w="2764" w:type="dxa"/>
                  <w:vAlign w:val="center"/>
                </w:tcPr>
                <w:p>
                  <w:pPr>
                    <w:jc w:val="center"/>
                    <w:rPr>
                      <w:sz w:val="21"/>
                      <w:szCs w:val="21"/>
                    </w:rPr>
                  </w:pPr>
                  <w:r>
                    <w:rPr>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4" w:type="dxa"/>
                  <w:vMerge w:val="continue"/>
                  <w:vAlign w:val="center"/>
                </w:tcPr>
                <w:p>
                  <w:pPr>
                    <w:jc w:val="center"/>
                    <w:rPr>
                      <w:sz w:val="21"/>
                      <w:szCs w:val="21"/>
                    </w:rPr>
                  </w:pPr>
                </w:p>
              </w:tc>
              <w:tc>
                <w:tcPr>
                  <w:tcW w:w="2774" w:type="dxa"/>
                  <w:gridSpan w:val="2"/>
                  <w:vAlign w:val="center"/>
                </w:tcPr>
                <w:p>
                  <w:pPr>
                    <w:jc w:val="center"/>
                    <w:rPr>
                      <w:sz w:val="21"/>
                      <w:szCs w:val="21"/>
                    </w:rPr>
                  </w:pPr>
                  <w:r>
                    <w:rPr>
                      <w:sz w:val="21"/>
                      <w:szCs w:val="21"/>
                    </w:rPr>
                    <w:t>地形数据分辨率(m)</w:t>
                  </w:r>
                </w:p>
              </w:tc>
              <w:tc>
                <w:tcPr>
                  <w:tcW w:w="2764" w:type="dxa"/>
                  <w:vAlign w:val="center"/>
                </w:tcPr>
                <w:p>
                  <w:pPr>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4" w:type="dxa"/>
                  <w:vMerge w:val="restart"/>
                  <w:vAlign w:val="center"/>
                </w:tcPr>
                <w:p>
                  <w:pPr>
                    <w:jc w:val="center"/>
                    <w:rPr>
                      <w:sz w:val="21"/>
                      <w:szCs w:val="21"/>
                    </w:rPr>
                  </w:pPr>
                  <w:r>
                    <w:rPr>
                      <w:sz w:val="21"/>
                      <w:szCs w:val="21"/>
                    </w:rPr>
                    <w:t>是否考虑岸线熏烟</w:t>
                  </w:r>
                </w:p>
              </w:tc>
              <w:tc>
                <w:tcPr>
                  <w:tcW w:w="2774" w:type="dxa"/>
                  <w:gridSpan w:val="2"/>
                  <w:vAlign w:val="center"/>
                </w:tcPr>
                <w:p>
                  <w:pPr>
                    <w:jc w:val="center"/>
                    <w:rPr>
                      <w:sz w:val="21"/>
                      <w:szCs w:val="21"/>
                    </w:rPr>
                  </w:pPr>
                  <w:r>
                    <w:rPr>
                      <w:sz w:val="21"/>
                      <w:szCs w:val="21"/>
                    </w:rPr>
                    <w:t>考虑岸线熏烟</w:t>
                  </w:r>
                </w:p>
              </w:tc>
              <w:tc>
                <w:tcPr>
                  <w:tcW w:w="2764" w:type="dxa"/>
                  <w:vAlign w:val="center"/>
                </w:tcPr>
                <w:p>
                  <w:pPr>
                    <w:jc w:val="center"/>
                    <w:rPr>
                      <w:sz w:val="21"/>
                      <w:szCs w:val="21"/>
                    </w:rPr>
                  </w:pPr>
                  <w:r>
                    <w:rPr>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4" w:type="dxa"/>
                  <w:vMerge w:val="continue"/>
                  <w:vAlign w:val="center"/>
                </w:tcPr>
                <w:p>
                  <w:pPr>
                    <w:jc w:val="center"/>
                    <w:rPr>
                      <w:sz w:val="21"/>
                      <w:szCs w:val="21"/>
                    </w:rPr>
                  </w:pPr>
                </w:p>
              </w:tc>
              <w:tc>
                <w:tcPr>
                  <w:tcW w:w="2774" w:type="dxa"/>
                  <w:gridSpan w:val="2"/>
                  <w:vAlign w:val="center"/>
                </w:tcPr>
                <w:p>
                  <w:pPr>
                    <w:jc w:val="center"/>
                    <w:rPr>
                      <w:sz w:val="21"/>
                      <w:szCs w:val="21"/>
                    </w:rPr>
                  </w:pPr>
                  <w:r>
                    <w:rPr>
                      <w:sz w:val="21"/>
                      <w:szCs w:val="21"/>
                    </w:rPr>
                    <w:t>岸线距离/m</w:t>
                  </w:r>
                </w:p>
              </w:tc>
              <w:tc>
                <w:tcPr>
                  <w:tcW w:w="2764" w:type="dxa"/>
                  <w:vAlign w:val="center"/>
                </w:tcPr>
                <w:p>
                  <w:pPr>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4" w:type="dxa"/>
                  <w:vMerge w:val="continue"/>
                  <w:vAlign w:val="center"/>
                </w:tcPr>
                <w:p>
                  <w:pPr>
                    <w:jc w:val="center"/>
                    <w:rPr>
                      <w:sz w:val="21"/>
                      <w:szCs w:val="21"/>
                    </w:rPr>
                  </w:pPr>
                </w:p>
              </w:tc>
              <w:tc>
                <w:tcPr>
                  <w:tcW w:w="2774" w:type="dxa"/>
                  <w:gridSpan w:val="2"/>
                  <w:vAlign w:val="center"/>
                </w:tcPr>
                <w:p>
                  <w:pPr>
                    <w:jc w:val="center"/>
                    <w:rPr>
                      <w:sz w:val="21"/>
                      <w:szCs w:val="21"/>
                    </w:rPr>
                  </w:pPr>
                  <w:r>
                    <w:rPr>
                      <w:sz w:val="21"/>
                      <w:szCs w:val="21"/>
                    </w:rPr>
                    <w:t>岸线方向/°</w:t>
                  </w:r>
                </w:p>
              </w:tc>
              <w:tc>
                <w:tcPr>
                  <w:tcW w:w="2764" w:type="dxa"/>
                  <w:vAlign w:val="center"/>
                </w:tcPr>
                <w:p>
                  <w:pPr>
                    <w:jc w:val="center"/>
                    <w:rPr>
                      <w:sz w:val="21"/>
                      <w:szCs w:val="21"/>
                    </w:rPr>
                  </w:pPr>
                  <w:r>
                    <w:rPr>
                      <w:sz w:val="21"/>
                      <w:szCs w:val="21"/>
                    </w:rPr>
                    <w:t>/</w:t>
                  </w:r>
                </w:p>
              </w:tc>
            </w:tr>
          </w:tbl>
          <w:p>
            <w:pPr>
              <w:pStyle w:val="19"/>
              <w:adjustRightInd w:val="0"/>
              <w:snapToGrid w:val="0"/>
              <w:spacing w:line="360" w:lineRule="auto"/>
              <w:ind w:left="0" w:firstLine="480" w:firstLineChars="200"/>
              <w:rPr>
                <w:rStyle w:val="199"/>
                <w:color w:val="auto"/>
              </w:rPr>
            </w:pPr>
            <w:r>
              <w:rPr>
                <w:rStyle w:val="199"/>
                <w:rFonts w:hint="eastAsia"/>
                <w:color w:val="auto"/>
              </w:rPr>
              <w:t>（</w:t>
            </w:r>
            <w:r>
              <w:rPr>
                <w:rStyle w:val="199"/>
                <w:color w:val="auto"/>
              </w:rPr>
              <w:t>5</w:t>
            </w:r>
            <w:r>
              <w:rPr>
                <w:rStyle w:val="199"/>
                <w:rFonts w:hint="eastAsia"/>
                <w:color w:val="auto"/>
              </w:rPr>
              <w:t>）预测结果</w:t>
            </w:r>
          </w:p>
          <w:p>
            <w:pPr>
              <w:spacing w:line="360" w:lineRule="auto"/>
              <w:ind w:firstLine="480" w:firstLineChars="200"/>
            </w:pPr>
            <w:r>
              <w:rPr>
                <w:rFonts w:hint="eastAsia"/>
              </w:rPr>
              <w:t>项目</w:t>
            </w:r>
            <w:r>
              <w:t>预测结果详见下</w:t>
            </w:r>
            <w:r>
              <w:rPr>
                <w:rFonts w:hint="eastAsia"/>
              </w:rPr>
              <w:t>：</w:t>
            </w:r>
          </w:p>
          <w:p>
            <w:pPr>
              <w:pStyle w:val="25"/>
              <w:jc w:val="center"/>
              <w:rPr>
                <w:rFonts w:cs="Times New Roman"/>
                <w:caps w:val="0"/>
                <w:szCs w:val="24"/>
              </w:rPr>
            </w:pPr>
            <w:r>
              <w:rPr>
                <w:rFonts w:hint="eastAsia" w:cs="Times New Roman"/>
                <w:caps w:val="0"/>
                <w:szCs w:val="24"/>
              </w:rPr>
              <w:t>表7-1</w:t>
            </w:r>
            <w:r>
              <w:rPr>
                <w:rFonts w:cs="Times New Roman"/>
                <w:caps w:val="0"/>
                <w:szCs w:val="24"/>
              </w:rPr>
              <w:t>2</w:t>
            </w:r>
            <w:r>
              <w:rPr>
                <w:rFonts w:hint="eastAsia" w:cs="Times New Roman"/>
                <w:caps w:val="0"/>
                <w:szCs w:val="24"/>
              </w:rPr>
              <w:t xml:space="preserve">  </w:t>
            </w:r>
            <w:r>
              <w:rPr>
                <w:rFonts w:cs="Times New Roman"/>
                <w:caps w:val="0"/>
                <w:szCs w:val="24"/>
              </w:rPr>
              <w:t>预测结果</w:t>
            </w:r>
            <w:r>
              <w:rPr>
                <w:rFonts w:hint="eastAsia" w:cs="Times New Roman"/>
                <w:caps w:val="0"/>
                <w:szCs w:val="24"/>
              </w:rPr>
              <w:t>一览表</w:t>
            </w:r>
          </w:p>
          <w:tbl>
            <w:tblPr>
              <w:tblStyle w:val="30"/>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70"/>
              <w:gridCol w:w="1837"/>
              <w:gridCol w:w="1480"/>
              <w:gridCol w:w="1837"/>
              <w:gridCol w:w="148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Merge w:val="restart"/>
                  <w:vAlign w:val="center"/>
                </w:tcPr>
                <w:p>
                  <w:pPr>
                    <w:jc w:val="center"/>
                    <w:rPr>
                      <w:rFonts w:cs="Times New Roman"/>
                      <w:b/>
                      <w:bCs/>
                      <w:sz w:val="21"/>
                      <w:szCs w:val="21"/>
                    </w:rPr>
                  </w:pPr>
                  <w:r>
                    <w:rPr>
                      <w:rFonts w:cs="Times New Roman"/>
                      <w:b/>
                      <w:bCs/>
                      <w:sz w:val="21"/>
                      <w:szCs w:val="21"/>
                    </w:rPr>
                    <w:t>下风向距离（m）</w:t>
                  </w:r>
                </w:p>
              </w:tc>
              <w:tc>
                <w:tcPr>
                  <w:tcW w:w="6641" w:type="dxa"/>
                  <w:gridSpan w:val="4"/>
                  <w:vAlign w:val="center"/>
                </w:tcPr>
                <w:p>
                  <w:pPr>
                    <w:jc w:val="center"/>
                    <w:rPr>
                      <w:rFonts w:cs="Times New Roman"/>
                      <w:b/>
                      <w:bCs/>
                      <w:sz w:val="21"/>
                      <w:szCs w:val="21"/>
                    </w:rPr>
                  </w:pPr>
                  <w:r>
                    <w:rPr>
                      <w:rFonts w:cs="Times New Roman"/>
                      <w:b/>
                      <w:bCs/>
                      <w:sz w:val="21"/>
                      <w:szCs w:val="21"/>
                    </w:rPr>
                    <w:t>面源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Merge w:val="continue"/>
                  <w:vAlign w:val="center"/>
                </w:tcPr>
                <w:p>
                  <w:pPr>
                    <w:jc w:val="center"/>
                    <w:rPr>
                      <w:rFonts w:cs="Times New Roman"/>
                      <w:b/>
                      <w:bCs/>
                      <w:sz w:val="21"/>
                      <w:szCs w:val="21"/>
                    </w:rPr>
                  </w:pPr>
                </w:p>
              </w:tc>
              <w:tc>
                <w:tcPr>
                  <w:tcW w:w="1838" w:type="dxa"/>
                  <w:vAlign w:val="center"/>
                </w:tcPr>
                <w:p>
                  <w:pPr>
                    <w:jc w:val="center"/>
                    <w:rPr>
                      <w:rFonts w:cs="Times New Roman"/>
                      <w:b/>
                      <w:bCs/>
                      <w:sz w:val="21"/>
                      <w:szCs w:val="21"/>
                    </w:rPr>
                  </w:pPr>
                  <w:r>
                    <w:rPr>
                      <w:rFonts w:cs="Times New Roman"/>
                      <w:b/>
                      <w:bCs/>
                      <w:sz w:val="21"/>
                      <w:szCs w:val="21"/>
                    </w:rPr>
                    <w:t>NH</w:t>
                  </w:r>
                  <w:r>
                    <w:rPr>
                      <w:rFonts w:cs="Times New Roman"/>
                      <w:b/>
                      <w:bCs/>
                      <w:sz w:val="21"/>
                      <w:szCs w:val="21"/>
                      <w:vertAlign w:val="subscript"/>
                    </w:rPr>
                    <w:t>3</w:t>
                  </w:r>
                  <w:r>
                    <w:rPr>
                      <w:rFonts w:cs="Times New Roman"/>
                      <w:b/>
                      <w:bCs/>
                      <w:sz w:val="21"/>
                      <w:szCs w:val="21"/>
                    </w:rPr>
                    <w:t>浓度(μg/m³)</w:t>
                  </w:r>
                </w:p>
              </w:tc>
              <w:tc>
                <w:tcPr>
                  <w:tcW w:w="1481" w:type="dxa"/>
                  <w:vAlign w:val="center"/>
                </w:tcPr>
                <w:p>
                  <w:pPr>
                    <w:jc w:val="center"/>
                    <w:rPr>
                      <w:rFonts w:cs="Times New Roman"/>
                      <w:b/>
                      <w:bCs/>
                      <w:sz w:val="21"/>
                      <w:szCs w:val="21"/>
                    </w:rPr>
                  </w:pPr>
                  <w:r>
                    <w:rPr>
                      <w:rFonts w:cs="Times New Roman"/>
                      <w:b/>
                      <w:bCs/>
                      <w:sz w:val="21"/>
                      <w:szCs w:val="21"/>
                    </w:rPr>
                    <w:t>NH</w:t>
                  </w:r>
                  <w:r>
                    <w:rPr>
                      <w:rFonts w:cs="Times New Roman"/>
                      <w:b/>
                      <w:bCs/>
                      <w:sz w:val="21"/>
                      <w:szCs w:val="21"/>
                      <w:vertAlign w:val="subscript"/>
                    </w:rPr>
                    <w:t>3</w:t>
                  </w:r>
                  <w:r>
                    <w:rPr>
                      <w:rFonts w:cs="Times New Roman"/>
                      <w:b/>
                      <w:bCs/>
                      <w:sz w:val="21"/>
                      <w:szCs w:val="21"/>
                    </w:rPr>
                    <w:t>占标率(%)</w:t>
                  </w:r>
                </w:p>
              </w:tc>
              <w:tc>
                <w:tcPr>
                  <w:tcW w:w="1838" w:type="dxa"/>
                  <w:vAlign w:val="center"/>
                </w:tcPr>
                <w:p>
                  <w:pPr>
                    <w:jc w:val="center"/>
                    <w:rPr>
                      <w:rFonts w:cs="Times New Roman"/>
                      <w:b/>
                      <w:bCs/>
                      <w:sz w:val="21"/>
                      <w:szCs w:val="21"/>
                    </w:rPr>
                  </w:pPr>
                  <w:r>
                    <w:rPr>
                      <w:rFonts w:cs="Times New Roman"/>
                      <w:b/>
                      <w:bCs/>
                      <w:sz w:val="21"/>
                      <w:szCs w:val="21"/>
                    </w:rPr>
                    <w:t>H</w:t>
                  </w:r>
                  <w:r>
                    <w:rPr>
                      <w:rFonts w:cs="Times New Roman"/>
                      <w:b/>
                      <w:bCs/>
                      <w:sz w:val="21"/>
                      <w:szCs w:val="21"/>
                      <w:vertAlign w:val="subscript"/>
                    </w:rPr>
                    <w:t>2</w:t>
                  </w:r>
                  <w:r>
                    <w:rPr>
                      <w:rFonts w:cs="Times New Roman"/>
                      <w:b/>
                      <w:bCs/>
                      <w:sz w:val="21"/>
                      <w:szCs w:val="21"/>
                    </w:rPr>
                    <w:t>S浓度(μg/m³)</w:t>
                  </w:r>
                </w:p>
              </w:tc>
              <w:tc>
                <w:tcPr>
                  <w:tcW w:w="1484" w:type="dxa"/>
                  <w:vAlign w:val="center"/>
                </w:tcPr>
                <w:p>
                  <w:pPr>
                    <w:jc w:val="center"/>
                    <w:rPr>
                      <w:rFonts w:cs="Times New Roman"/>
                      <w:b/>
                      <w:bCs/>
                      <w:sz w:val="21"/>
                      <w:szCs w:val="21"/>
                    </w:rPr>
                  </w:pPr>
                  <w:r>
                    <w:rPr>
                      <w:rFonts w:cs="Times New Roman"/>
                      <w:b/>
                      <w:bCs/>
                      <w:sz w:val="21"/>
                      <w:szCs w:val="21"/>
                    </w:rPr>
                    <w:t>H</w:t>
                  </w:r>
                  <w:r>
                    <w:rPr>
                      <w:rFonts w:cs="Times New Roman"/>
                      <w:b/>
                      <w:bCs/>
                      <w:sz w:val="21"/>
                      <w:szCs w:val="21"/>
                      <w:vertAlign w:val="subscript"/>
                    </w:rPr>
                    <w:t>2</w:t>
                  </w:r>
                  <w:r>
                    <w:rPr>
                      <w:rFonts w:cs="Times New Roman"/>
                      <w:b/>
                      <w:bCs/>
                      <w:sz w:val="21"/>
                      <w:szCs w:val="21"/>
                    </w:rPr>
                    <w:t>S占标率(%)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10.0</w:t>
                  </w:r>
                </w:p>
              </w:tc>
              <w:tc>
                <w:tcPr>
                  <w:tcW w:w="1838" w:type="dxa"/>
                  <w:vAlign w:val="center"/>
                </w:tcPr>
                <w:p>
                  <w:pPr>
                    <w:jc w:val="center"/>
                    <w:rPr>
                      <w:rFonts w:cs="Times New Roman"/>
                      <w:sz w:val="21"/>
                      <w:szCs w:val="21"/>
                    </w:rPr>
                  </w:pPr>
                  <w:r>
                    <w:rPr>
                      <w:rFonts w:cs="Times New Roman"/>
                      <w:sz w:val="21"/>
                      <w:szCs w:val="21"/>
                    </w:rPr>
                    <w:t>1.6585</w:t>
                  </w:r>
                </w:p>
              </w:tc>
              <w:tc>
                <w:tcPr>
                  <w:tcW w:w="1481" w:type="dxa"/>
                  <w:vAlign w:val="center"/>
                </w:tcPr>
                <w:p>
                  <w:pPr>
                    <w:jc w:val="center"/>
                    <w:rPr>
                      <w:rFonts w:cs="Times New Roman"/>
                      <w:sz w:val="21"/>
                      <w:szCs w:val="21"/>
                    </w:rPr>
                  </w:pPr>
                  <w:r>
                    <w:rPr>
                      <w:rFonts w:cs="Times New Roman"/>
                      <w:sz w:val="21"/>
                      <w:szCs w:val="21"/>
                    </w:rPr>
                    <w:t>0.83</w:t>
                  </w:r>
                </w:p>
              </w:tc>
              <w:tc>
                <w:tcPr>
                  <w:tcW w:w="1838" w:type="dxa"/>
                  <w:vAlign w:val="center"/>
                </w:tcPr>
                <w:p>
                  <w:pPr>
                    <w:jc w:val="center"/>
                    <w:rPr>
                      <w:rFonts w:cs="Times New Roman"/>
                      <w:sz w:val="21"/>
                      <w:szCs w:val="21"/>
                    </w:rPr>
                  </w:pPr>
                  <w:r>
                    <w:rPr>
                      <w:rFonts w:cs="Times New Roman"/>
                      <w:sz w:val="21"/>
                      <w:szCs w:val="21"/>
                    </w:rPr>
                    <w:t>0.1659</w:t>
                  </w:r>
                </w:p>
              </w:tc>
              <w:tc>
                <w:tcPr>
                  <w:tcW w:w="1484" w:type="dxa"/>
                  <w:vAlign w:val="center"/>
                </w:tcPr>
                <w:p>
                  <w:pPr>
                    <w:jc w:val="center"/>
                    <w:rPr>
                      <w:rFonts w:cs="Times New Roman"/>
                      <w:sz w:val="21"/>
                      <w:szCs w:val="21"/>
                    </w:rPr>
                  </w:pPr>
                  <w:r>
                    <w:rPr>
                      <w:rFonts w:cs="Times New Roman"/>
                      <w:sz w:val="21"/>
                      <w:szCs w:val="21"/>
                    </w:rPr>
                    <w:t>1.66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b/>
                      <w:bCs/>
                      <w:sz w:val="21"/>
                      <w:szCs w:val="21"/>
                    </w:rPr>
                  </w:pPr>
                  <w:r>
                    <w:rPr>
                      <w:rFonts w:cs="Times New Roman"/>
                      <w:b/>
                      <w:bCs/>
                      <w:sz w:val="21"/>
                      <w:szCs w:val="21"/>
                    </w:rPr>
                    <w:t>18.0</w:t>
                  </w:r>
                </w:p>
              </w:tc>
              <w:tc>
                <w:tcPr>
                  <w:tcW w:w="1838" w:type="dxa"/>
                  <w:vAlign w:val="center"/>
                </w:tcPr>
                <w:p>
                  <w:pPr>
                    <w:jc w:val="center"/>
                    <w:rPr>
                      <w:rFonts w:cs="Times New Roman"/>
                      <w:b/>
                      <w:bCs/>
                      <w:sz w:val="21"/>
                      <w:szCs w:val="21"/>
                    </w:rPr>
                  </w:pPr>
                  <w:r>
                    <w:rPr>
                      <w:rFonts w:cs="Times New Roman"/>
                      <w:b/>
                      <w:bCs/>
                      <w:sz w:val="21"/>
                      <w:szCs w:val="21"/>
                    </w:rPr>
                    <w:t>1.9769</w:t>
                  </w:r>
                </w:p>
              </w:tc>
              <w:tc>
                <w:tcPr>
                  <w:tcW w:w="1481" w:type="dxa"/>
                  <w:vAlign w:val="center"/>
                </w:tcPr>
                <w:p>
                  <w:pPr>
                    <w:jc w:val="center"/>
                    <w:rPr>
                      <w:rFonts w:cs="Times New Roman"/>
                      <w:b/>
                      <w:bCs/>
                      <w:sz w:val="21"/>
                      <w:szCs w:val="21"/>
                    </w:rPr>
                  </w:pPr>
                  <w:r>
                    <w:rPr>
                      <w:rFonts w:cs="Times New Roman"/>
                      <w:b/>
                      <w:bCs/>
                      <w:sz w:val="21"/>
                      <w:szCs w:val="21"/>
                    </w:rPr>
                    <w:t>0.99</w:t>
                  </w:r>
                </w:p>
              </w:tc>
              <w:tc>
                <w:tcPr>
                  <w:tcW w:w="1838" w:type="dxa"/>
                  <w:vAlign w:val="center"/>
                </w:tcPr>
                <w:p>
                  <w:pPr>
                    <w:jc w:val="center"/>
                    <w:rPr>
                      <w:rFonts w:cs="Times New Roman"/>
                      <w:b/>
                      <w:bCs/>
                      <w:sz w:val="21"/>
                      <w:szCs w:val="21"/>
                    </w:rPr>
                  </w:pPr>
                  <w:r>
                    <w:rPr>
                      <w:rFonts w:cs="Times New Roman"/>
                      <w:b/>
                      <w:bCs/>
                      <w:sz w:val="21"/>
                      <w:szCs w:val="21"/>
                    </w:rPr>
                    <w:t>0.1977</w:t>
                  </w:r>
                </w:p>
              </w:tc>
              <w:tc>
                <w:tcPr>
                  <w:tcW w:w="1484" w:type="dxa"/>
                  <w:vAlign w:val="center"/>
                </w:tcPr>
                <w:p>
                  <w:pPr>
                    <w:jc w:val="center"/>
                    <w:rPr>
                      <w:rFonts w:cs="Times New Roman"/>
                      <w:b/>
                      <w:bCs/>
                      <w:sz w:val="21"/>
                      <w:szCs w:val="21"/>
                    </w:rPr>
                  </w:pPr>
                  <w:r>
                    <w:rPr>
                      <w:rFonts w:cs="Times New Roman"/>
                      <w:b/>
                      <w:bCs/>
                      <w:sz w:val="21"/>
                      <w:szCs w:val="21"/>
                    </w:rPr>
                    <w:t>1.98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25.0</w:t>
                  </w:r>
                </w:p>
              </w:tc>
              <w:tc>
                <w:tcPr>
                  <w:tcW w:w="1838" w:type="dxa"/>
                  <w:vAlign w:val="center"/>
                </w:tcPr>
                <w:p>
                  <w:pPr>
                    <w:jc w:val="center"/>
                    <w:rPr>
                      <w:rFonts w:cs="Times New Roman"/>
                      <w:sz w:val="21"/>
                      <w:szCs w:val="21"/>
                    </w:rPr>
                  </w:pPr>
                  <w:r>
                    <w:rPr>
                      <w:rFonts w:cs="Times New Roman"/>
                      <w:sz w:val="21"/>
                      <w:szCs w:val="21"/>
                    </w:rPr>
                    <w:t>1.9179</w:t>
                  </w:r>
                </w:p>
              </w:tc>
              <w:tc>
                <w:tcPr>
                  <w:tcW w:w="1481" w:type="dxa"/>
                  <w:vAlign w:val="center"/>
                </w:tcPr>
                <w:p>
                  <w:pPr>
                    <w:jc w:val="center"/>
                    <w:rPr>
                      <w:rFonts w:cs="Times New Roman"/>
                      <w:sz w:val="21"/>
                      <w:szCs w:val="21"/>
                    </w:rPr>
                  </w:pPr>
                  <w:r>
                    <w:rPr>
                      <w:rFonts w:cs="Times New Roman"/>
                      <w:sz w:val="21"/>
                      <w:szCs w:val="21"/>
                    </w:rPr>
                    <w:t>0.96</w:t>
                  </w:r>
                </w:p>
              </w:tc>
              <w:tc>
                <w:tcPr>
                  <w:tcW w:w="1838" w:type="dxa"/>
                  <w:vAlign w:val="center"/>
                </w:tcPr>
                <w:p>
                  <w:pPr>
                    <w:jc w:val="center"/>
                    <w:rPr>
                      <w:rFonts w:cs="Times New Roman"/>
                      <w:sz w:val="21"/>
                      <w:szCs w:val="21"/>
                    </w:rPr>
                  </w:pPr>
                  <w:r>
                    <w:rPr>
                      <w:rFonts w:cs="Times New Roman"/>
                      <w:sz w:val="21"/>
                      <w:szCs w:val="21"/>
                    </w:rPr>
                    <w:t>0.1918</w:t>
                  </w:r>
                </w:p>
              </w:tc>
              <w:tc>
                <w:tcPr>
                  <w:tcW w:w="1484" w:type="dxa"/>
                  <w:vAlign w:val="center"/>
                </w:tcPr>
                <w:p>
                  <w:pPr>
                    <w:jc w:val="center"/>
                    <w:rPr>
                      <w:rFonts w:cs="Times New Roman"/>
                      <w:sz w:val="21"/>
                      <w:szCs w:val="21"/>
                    </w:rPr>
                  </w:pPr>
                  <w:r>
                    <w:rPr>
                      <w:rFonts w:cs="Times New Roman"/>
                      <w:sz w:val="21"/>
                      <w:szCs w:val="21"/>
                    </w:rPr>
                    <w:t>1.92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50.0</w:t>
                  </w:r>
                </w:p>
              </w:tc>
              <w:tc>
                <w:tcPr>
                  <w:tcW w:w="1838" w:type="dxa"/>
                  <w:vAlign w:val="center"/>
                </w:tcPr>
                <w:p>
                  <w:pPr>
                    <w:jc w:val="center"/>
                    <w:rPr>
                      <w:rFonts w:cs="Times New Roman"/>
                      <w:sz w:val="21"/>
                      <w:szCs w:val="21"/>
                    </w:rPr>
                  </w:pPr>
                  <w:r>
                    <w:rPr>
                      <w:rFonts w:cs="Times New Roman"/>
                      <w:sz w:val="21"/>
                      <w:szCs w:val="21"/>
                    </w:rPr>
                    <w:t>1.3993</w:t>
                  </w:r>
                </w:p>
              </w:tc>
              <w:tc>
                <w:tcPr>
                  <w:tcW w:w="1481" w:type="dxa"/>
                  <w:vAlign w:val="center"/>
                </w:tcPr>
                <w:p>
                  <w:pPr>
                    <w:jc w:val="center"/>
                    <w:rPr>
                      <w:rFonts w:cs="Times New Roman"/>
                      <w:sz w:val="21"/>
                      <w:szCs w:val="21"/>
                    </w:rPr>
                  </w:pPr>
                  <w:r>
                    <w:rPr>
                      <w:rFonts w:cs="Times New Roman"/>
                      <w:sz w:val="21"/>
                      <w:szCs w:val="21"/>
                    </w:rPr>
                    <w:t>0.7</w:t>
                  </w:r>
                </w:p>
              </w:tc>
              <w:tc>
                <w:tcPr>
                  <w:tcW w:w="1838" w:type="dxa"/>
                  <w:vAlign w:val="center"/>
                </w:tcPr>
                <w:p>
                  <w:pPr>
                    <w:jc w:val="center"/>
                    <w:rPr>
                      <w:rFonts w:cs="Times New Roman"/>
                      <w:sz w:val="21"/>
                      <w:szCs w:val="21"/>
                    </w:rPr>
                  </w:pPr>
                  <w:r>
                    <w:rPr>
                      <w:rFonts w:cs="Times New Roman"/>
                      <w:sz w:val="21"/>
                      <w:szCs w:val="21"/>
                    </w:rPr>
                    <w:t>0.1399</w:t>
                  </w:r>
                </w:p>
              </w:tc>
              <w:tc>
                <w:tcPr>
                  <w:tcW w:w="1484" w:type="dxa"/>
                  <w:vAlign w:val="center"/>
                </w:tcPr>
                <w:p>
                  <w:pPr>
                    <w:jc w:val="center"/>
                    <w:rPr>
                      <w:rFonts w:cs="Times New Roman"/>
                      <w:sz w:val="21"/>
                      <w:szCs w:val="21"/>
                    </w:rPr>
                  </w:pPr>
                  <w:r>
                    <w:rPr>
                      <w:rFonts w:cs="Times New Roman"/>
                      <w:sz w:val="21"/>
                      <w:szCs w:val="21"/>
                    </w:rPr>
                    <w:t>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100.0</w:t>
                  </w:r>
                </w:p>
              </w:tc>
              <w:tc>
                <w:tcPr>
                  <w:tcW w:w="1838" w:type="dxa"/>
                  <w:vAlign w:val="center"/>
                </w:tcPr>
                <w:p>
                  <w:pPr>
                    <w:jc w:val="center"/>
                    <w:rPr>
                      <w:rFonts w:cs="Times New Roman"/>
                      <w:sz w:val="21"/>
                      <w:szCs w:val="21"/>
                    </w:rPr>
                  </w:pPr>
                  <w:r>
                    <w:rPr>
                      <w:rFonts w:cs="Times New Roman"/>
                      <w:sz w:val="21"/>
                      <w:szCs w:val="21"/>
                    </w:rPr>
                    <w:t>0.9181</w:t>
                  </w:r>
                </w:p>
              </w:tc>
              <w:tc>
                <w:tcPr>
                  <w:tcW w:w="1481" w:type="dxa"/>
                  <w:vAlign w:val="center"/>
                </w:tcPr>
                <w:p>
                  <w:pPr>
                    <w:jc w:val="center"/>
                    <w:rPr>
                      <w:rFonts w:cs="Times New Roman"/>
                      <w:sz w:val="21"/>
                      <w:szCs w:val="21"/>
                    </w:rPr>
                  </w:pPr>
                  <w:r>
                    <w:rPr>
                      <w:rFonts w:cs="Times New Roman"/>
                      <w:sz w:val="21"/>
                      <w:szCs w:val="21"/>
                    </w:rPr>
                    <w:t>0.46</w:t>
                  </w:r>
                </w:p>
              </w:tc>
              <w:tc>
                <w:tcPr>
                  <w:tcW w:w="1838" w:type="dxa"/>
                  <w:vAlign w:val="center"/>
                </w:tcPr>
                <w:p>
                  <w:pPr>
                    <w:jc w:val="center"/>
                    <w:rPr>
                      <w:rFonts w:cs="Times New Roman"/>
                      <w:sz w:val="21"/>
                      <w:szCs w:val="21"/>
                    </w:rPr>
                  </w:pPr>
                  <w:r>
                    <w:rPr>
                      <w:rFonts w:cs="Times New Roman"/>
                      <w:sz w:val="21"/>
                      <w:szCs w:val="21"/>
                    </w:rPr>
                    <w:t>0.1082</w:t>
                  </w:r>
                </w:p>
              </w:tc>
              <w:tc>
                <w:tcPr>
                  <w:tcW w:w="1484" w:type="dxa"/>
                  <w:vAlign w:val="center"/>
                </w:tcPr>
                <w:p>
                  <w:pPr>
                    <w:widowControl/>
                    <w:jc w:val="center"/>
                    <w:rPr>
                      <w:rFonts w:cs="Times New Roman"/>
                      <w:sz w:val="21"/>
                      <w:szCs w:val="21"/>
                    </w:rPr>
                  </w:pPr>
                  <w:r>
                    <w:rPr>
                      <w:rFonts w:cs="Times New Roman"/>
                      <w:sz w:val="21"/>
                      <w:szCs w:val="21"/>
                    </w:rPr>
                    <w:t>0.92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200.0</w:t>
                  </w:r>
                </w:p>
              </w:tc>
              <w:tc>
                <w:tcPr>
                  <w:tcW w:w="1838" w:type="dxa"/>
                  <w:vAlign w:val="center"/>
                </w:tcPr>
                <w:p>
                  <w:pPr>
                    <w:jc w:val="center"/>
                    <w:rPr>
                      <w:rFonts w:cs="Times New Roman"/>
                      <w:sz w:val="21"/>
                      <w:szCs w:val="21"/>
                    </w:rPr>
                  </w:pPr>
                  <w:r>
                    <w:rPr>
                      <w:rFonts w:cs="Times New Roman"/>
                      <w:sz w:val="21"/>
                      <w:szCs w:val="21"/>
                    </w:rPr>
                    <w:t>0.6096</w:t>
                  </w:r>
                </w:p>
              </w:tc>
              <w:tc>
                <w:tcPr>
                  <w:tcW w:w="1481" w:type="dxa"/>
                  <w:vAlign w:val="center"/>
                </w:tcPr>
                <w:p>
                  <w:pPr>
                    <w:widowControl/>
                    <w:jc w:val="center"/>
                    <w:rPr>
                      <w:rFonts w:cs="Times New Roman"/>
                      <w:sz w:val="21"/>
                      <w:szCs w:val="21"/>
                    </w:rPr>
                  </w:pPr>
                  <w:r>
                    <w:rPr>
                      <w:rFonts w:cs="Times New Roman"/>
                      <w:sz w:val="21"/>
                      <w:szCs w:val="21"/>
                    </w:rPr>
                    <w:t>0.3</w:t>
                  </w:r>
                </w:p>
              </w:tc>
              <w:tc>
                <w:tcPr>
                  <w:tcW w:w="1838" w:type="dxa"/>
                  <w:vAlign w:val="center"/>
                </w:tcPr>
                <w:p>
                  <w:pPr>
                    <w:jc w:val="center"/>
                    <w:rPr>
                      <w:rFonts w:cs="Times New Roman"/>
                      <w:sz w:val="21"/>
                      <w:szCs w:val="21"/>
                    </w:rPr>
                  </w:pPr>
                  <w:r>
                    <w:rPr>
                      <w:rFonts w:cs="Times New Roman"/>
                      <w:sz w:val="21"/>
                      <w:szCs w:val="21"/>
                    </w:rPr>
                    <w:t>0.0918</w:t>
                  </w:r>
                </w:p>
              </w:tc>
              <w:tc>
                <w:tcPr>
                  <w:tcW w:w="1484" w:type="dxa"/>
                  <w:vAlign w:val="center"/>
                </w:tcPr>
                <w:p>
                  <w:pPr>
                    <w:widowControl/>
                    <w:jc w:val="center"/>
                    <w:rPr>
                      <w:rFonts w:cs="Times New Roman"/>
                      <w:sz w:val="21"/>
                      <w:szCs w:val="21"/>
                    </w:rPr>
                  </w:pPr>
                  <w:r>
                    <w:rPr>
                      <w:rFonts w:cs="Times New Roman"/>
                      <w:sz w:val="21"/>
                      <w:szCs w:val="21"/>
                    </w:rPr>
                    <w:t>0.61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400.0</w:t>
                  </w:r>
                </w:p>
              </w:tc>
              <w:tc>
                <w:tcPr>
                  <w:tcW w:w="1838" w:type="dxa"/>
                  <w:vAlign w:val="center"/>
                </w:tcPr>
                <w:p>
                  <w:pPr>
                    <w:jc w:val="center"/>
                    <w:rPr>
                      <w:rFonts w:cs="Times New Roman"/>
                      <w:sz w:val="21"/>
                      <w:szCs w:val="21"/>
                    </w:rPr>
                  </w:pPr>
                  <w:r>
                    <w:rPr>
                      <w:rFonts w:cs="Times New Roman"/>
                      <w:sz w:val="21"/>
                      <w:szCs w:val="21"/>
                    </w:rPr>
                    <w:t>0.3547</w:t>
                  </w:r>
                </w:p>
              </w:tc>
              <w:tc>
                <w:tcPr>
                  <w:tcW w:w="1481" w:type="dxa"/>
                  <w:vAlign w:val="center"/>
                </w:tcPr>
                <w:p>
                  <w:pPr>
                    <w:widowControl/>
                    <w:jc w:val="center"/>
                    <w:rPr>
                      <w:rFonts w:cs="Times New Roman"/>
                      <w:sz w:val="21"/>
                      <w:szCs w:val="21"/>
                    </w:rPr>
                  </w:pPr>
                  <w:r>
                    <w:rPr>
                      <w:rFonts w:cs="Times New Roman"/>
                      <w:sz w:val="21"/>
                      <w:szCs w:val="21"/>
                    </w:rPr>
                    <w:t>0.18</w:t>
                  </w:r>
                </w:p>
              </w:tc>
              <w:tc>
                <w:tcPr>
                  <w:tcW w:w="1838" w:type="dxa"/>
                  <w:vAlign w:val="center"/>
                </w:tcPr>
                <w:p>
                  <w:pPr>
                    <w:jc w:val="center"/>
                    <w:rPr>
                      <w:rFonts w:cs="Times New Roman"/>
                      <w:sz w:val="21"/>
                      <w:szCs w:val="21"/>
                    </w:rPr>
                  </w:pPr>
                  <w:r>
                    <w:rPr>
                      <w:rFonts w:cs="Times New Roman"/>
                      <w:sz w:val="21"/>
                      <w:szCs w:val="21"/>
                    </w:rPr>
                    <w:t>0.0355</w:t>
                  </w:r>
                </w:p>
              </w:tc>
              <w:tc>
                <w:tcPr>
                  <w:tcW w:w="1484" w:type="dxa"/>
                  <w:vAlign w:val="center"/>
                </w:tcPr>
                <w:p>
                  <w:pPr>
                    <w:widowControl/>
                    <w:jc w:val="center"/>
                    <w:rPr>
                      <w:rFonts w:cs="Times New Roman"/>
                      <w:sz w:val="21"/>
                      <w:szCs w:val="21"/>
                    </w:rPr>
                  </w:pPr>
                  <w:r>
                    <w:rPr>
                      <w:rFonts w:cs="Times New Roman"/>
                      <w:sz w:val="21"/>
                      <w:szCs w:val="21"/>
                    </w:rPr>
                    <w:t>0.35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600.0</w:t>
                  </w:r>
                </w:p>
              </w:tc>
              <w:tc>
                <w:tcPr>
                  <w:tcW w:w="1838" w:type="dxa"/>
                  <w:vAlign w:val="center"/>
                </w:tcPr>
                <w:p>
                  <w:pPr>
                    <w:jc w:val="center"/>
                    <w:rPr>
                      <w:rFonts w:cs="Times New Roman"/>
                      <w:sz w:val="21"/>
                      <w:szCs w:val="21"/>
                    </w:rPr>
                  </w:pPr>
                  <w:r>
                    <w:rPr>
                      <w:rFonts w:cs="Times New Roman"/>
                      <w:sz w:val="21"/>
                      <w:szCs w:val="21"/>
                    </w:rPr>
                    <w:t>0.2342</w:t>
                  </w:r>
                </w:p>
              </w:tc>
              <w:tc>
                <w:tcPr>
                  <w:tcW w:w="1481" w:type="dxa"/>
                  <w:vAlign w:val="center"/>
                </w:tcPr>
                <w:p>
                  <w:pPr>
                    <w:widowControl/>
                    <w:jc w:val="center"/>
                    <w:rPr>
                      <w:rFonts w:cs="Times New Roman"/>
                      <w:sz w:val="21"/>
                      <w:szCs w:val="21"/>
                    </w:rPr>
                  </w:pPr>
                  <w:r>
                    <w:rPr>
                      <w:rFonts w:cs="Times New Roman"/>
                      <w:sz w:val="21"/>
                      <w:szCs w:val="21"/>
                    </w:rPr>
                    <w:t>0.12</w:t>
                  </w:r>
                </w:p>
              </w:tc>
              <w:tc>
                <w:tcPr>
                  <w:tcW w:w="1838" w:type="dxa"/>
                  <w:vAlign w:val="center"/>
                </w:tcPr>
                <w:p>
                  <w:pPr>
                    <w:jc w:val="center"/>
                    <w:rPr>
                      <w:rFonts w:cs="Times New Roman"/>
                      <w:sz w:val="21"/>
                      <w:szCs w:val="21"/>
                    </w:rPr>
                  </w:pPr>
                  <w:r>
                    <w:rPr>
                      <w:rFonts w:cs="Times New Roman"/>
                      <w:sz w:val="21"/>
                      <w:szCs w:val="21"/>
                    </w:rPr>
                    <w:t>0.0234</w:t>
                  </w:r>
                </w:p>
              </w:tc>
              <w:tc>
                <w:tcPr>
                  <w:tcW w:w="1484" w:type="dxa"/>
                  <w:vAlign w:val="center"/>
                </w:tcPr>
                <w:p>
                  <w:pPr>
                    <w:widowControl/>
                    <w:jc w:val="center"/>
                    <w:rPr>
                      <w:rFonts w:cs="Times New Roman"/>
                      <w:sz w:val="21"/>
                      <w:szCs w:val="21"/>
                    </w:rPr>
                  </w:pPr>
                  <w:r>
                    <w:rPr>
                      <w:rFonts w:cs="Times New Roman"/>
                      <w:sz w:val="21"/>
                      <w:szCs w:val="21"/>
                    </w:rPr>
                    <w:t>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800.0</w:t>
                  </w:r>
                </w:p>
              </w:tc>
              <w:tc>
                <w:tcPr>
                  <w:tcW w:w="1838" w:type="dxa"/>
                  <w:vAlign w:val="center"/>
                </w:tcPr>
                <w:p>
                  <w:pPr>
                    <w:jc w:val="center"/>
                    <w:rPr>
                      <w:rFonts w:cs="Times New Roman"/>
                      <w:sz w:val="21"/>
                      <w:szCs w:val="21"/>
                    </w:rPr>
                  </w:pPr>
                  <w:r>
                    <w:rPr>
                      <w:rFonts w:cs="Times New Roman"/>
                      <w:sz w:val="21"/>
                      <w:szCs w:val="21"/>
                    </w:rPr>
                    <w:t>0.1692</w:t>
                  </w:r>
                </w:p>
              </w:tc>
              <w:tc>
                <w:tcPr>
                  <w:tcW w:w="1481" w:type="dxa"/>
                  <w:vAlign w:val="center"/>
                </w:tcPr>
                <w:p>
                  <w:pPr>
                    <w:widowControl/>
                    <w:jc w:val="center"/>
                    <w:rPr>
                      <w:rFonts w:cs="Times New Roman"/>
                      <w:sz w:val="21"/>
                      <w:szCs w:val="21"/>
                    </w:rPr>
                  </w:pPr>
                  <w:r>
                    <w:rPr>
                      <w:rFonts w:cs="Times New Roman"/>
                      <w:sz w:val="21"/>
                      <w:szCs w:val="21"/>
                    </w:rPr>
                    <w:t>0.08</w:t>
                  </w:r>
                </w:p>
              </w:tc>
              <w:tc>
                <w:tcPr>
                  <w:tcW w:w="1838" w:type="dxa"/>
                  <w:vAlign w:val="center"/>
                </w:tcPr>
                <w:p>
                  <w:pPr>
                    <w:jc w:val="center"/>
                    <w:rPr>
                      <w:rFonts w:cs="Times New Roman"/>
                      <w:sz w:val="21"/>
                      <w:szCs w:val="21"/>
                    </w:rPr>
                  </w:pPr>
                  <w:r>
                    <w:rPr>
                      <w:rFonts w:cs="Times New Roman"/>
                      <w:sz w:val="21"/>
                      <w:szCs w:val="21"/>
                    </w:rPr>
                    <w:t>0.0169</w:t>
                  </w:r>
                </w:p>
              </w:tc>
              <w:tc>
                <w:tcPr>
                  <w:tcW w:w="1484" w:type="dxa"/>
                  <w:vAlign w:val="center"/>
                </w:tcPr>
                <w:p>
                  <w:pPr>
                    <w:widowControl/>
                    <w:jc w:val="center"/>
                    <w:rPr>
                      <w:rFonts w:cs="Times New Roman"/>
                      <w:sz w:val="21"/>
                      <w:szCs w:val="21"/>
                    </w:rPr>
                  </w:pPr>
                  <w:r>
                    <w:rPr>
                      <w:rFonts w:cs="Times New Roman"/>
                      <w:sz w:val="21"/>
                      <w:szCs w:val="21"/>
                    </w:rPr>
                    <w:t>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1000.0</w:t>
                  </w:r>
                </w:p>
              </w:tc>
              <w:tc>
                <w:tcPr>
                  <w:tcW w:w="1838" w:type="dxa"/>
                  <w:vAlign w:val="center"/>
                </w:tcPr>
                <w:p>
                  <w:pPr>
                    <w:jc w:val="center"/>
                    <w:rPr>
                      <w:rFonts w:cs="Times New Roman"/>
                      <w:sz w:val="21"/>
                      <w:szCs w:val="21"/>
                    </w:rPr>
                  </w:pPr>
                  <w:r>
                    <w:rPr>
                      <w:rFonts w:cs="Times New Roman"/>
                      <w:sz w:val="21"/>
                      <w:szCs w:val="21"/>
                    </w:rPr>
                    <w:t>0.1298</w:t>
                  </w:r>
                </w:p>
              </w:tc>
              <w:tc>
                <w:tcPr>
                  <w:tcW w:w="1481" w:type="dxa"/>
                  <w:vAlign w:val="center"/>
                </w:tcPr>
                <w:p>
                  <w:pPr>
                    <w:widowControl/>
                    <w:jc w:val="center"/>
                    <w:rPr>
                      <w:rFonts w:cs="Times New Roman"/>
                      <w:sz w:val="21"/>
                      <w:szCs w:val="21"/>
                    </w:rPr>
                  </w:pPr>
                  <w:r>
                    <w:rPr>
                      <w:rFonts w:cs="Times New Roman"/>
                      <w:sz w:val="21"/>
                      <w:szCs w:val="21"/>
                    </w:rPr>
                    <w:t>0.06</w:t>
                  </w:r>
                </w:p>
              </w:tc>
              <w:tc>
                <w:tcPr>
                  <w:tcW w:w="1838" w:type="dxa"/>
                  <w:vAlign w:val="center"/>
                </w:tcPr>
                <w:p>
                  <w:pPr>
                    <w:jc w:val="center"/>
                    <w:rPr>
                      <w:rFonts w:cs="Times New Roman"/>
                      <w:sz w:val="21"/>
                      <w:szCs w:val="21"/>
                    </w:rPr>
                  </w:pPr>
                  <w:r>
                    <w:rPr>
                      <w:rFonts w:cs="Times New Roman"/>
                      <w:sz w:val="21"/>
                      <w:szCs w:val="21"/>
                    </w:rPr>
                    <w:t>0.0130</w:t>
                  </w:r>
                </w:p>
              </w:tc>
              <w:tc>
                <w:tcPr>
                  <w:tcW w:w="1484" w:type="dxa"/>
                  <w:vAlign w:val="center"/>
                </w:tcPr>
                <w:p>
                  <w:pPr>
                    <w:widowControl/>
                    <w:jc w:val="center"/>
                    <w:rPr>
                      <w:rFonts w:cs="Times New Roman"/>
                      <w:sz w:val="21"/>
                      <w:szCs w:val="21"/>
                    </w:rPr>
                  </w:pPr>
                  <w:r>
                    <w:rPr>
                      <w:rFonts w:cs="Times New Roman"/>
                      <w:sz w:val="21"/>
                      <w:szCs w:val="21"/>
                    </w:rPr>
                    <w:t>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1200.0</w:t>
                  </w:r>
                </w:p>
              </w:tc>
              <w:tc>
                <w:tcPr>
                  <w:tcW w:w="1838" w:type="dxa"/>
                  <w:vAlign w:val="center"/>
                </w:tcPr>
                <w:p>
                  <w:pPr>
                    <w:jc w:val="center"/>
                    <w:rPr>
                      <w:rFonts w:cs="Times New Roman"/>
                      <w:sz w:val="21"/>
                      <w:szCs w:val="21"/>
                    </w:rPr>
                  </w:pPr>
                  <w:r>
                    <w:rPr>
                      <w:rFonts w:cs="Times New Roman"/>
                      <w:sz w:val="21"/>
                      <w:szCs w:val="21"/>
                    </w:rPr>
                    <w:t>0.1038</w:t>
                  </w:r>
                </w:p>
              </w:tc>
              <w:tc>
                <w:tcPr>
                  <w:tcW w:w="1481" w:type="dxa"/>
                  <w:vAlign w:val="center"/>
                </w:tcPr>
                <w:p>
                  <w:pPr>
                    <w:widowControl/>
                    <w:jc w:val="center"/>
                    <w:rPr>
                      <w:rFonts w:cs="Times New Roman"/>
                      <w:sz w:val="21"/>
                      <w:szCs w:val="21"/>
                    </w:rPr>
                  </w:pPr>
                  <w:r>
                    <w:rPr>
                      <w:rFonts w:cs="Times New Roman"/>
                      <w:sz w:val="21"/>
                      <w:szCs w:val="21"/>
                    </w:rPr>
                    <w:t>0.05</w:t>
                  </w:r>
                </w:p>
              </w:tc>
              <w:tc>
                <w:tcPr>
                  <w:tcW w:w="1838" w:type="dxa"/>
                  <w:vAlign w:val="center"/>
                </w:tcPr>
                <w:p>
                  <w:pPr>
                    <w:jc w:val="center"/>
                    <w:rPr>
                      <w:rFonts w:cs="Times New Roman"/>
                      <w:sz w:val="21"/>
                      <w:szCs w:val="21"/>
                    </w:rPr>
                  </w:pPr>
                  <w:r>
                    <w:rPr>
                      <w:rFonts w:cs="Times New Roman"/>
                      <w:sz w:val="21"/>
                      <w:szCs w:val="21"/>
                    </w:rPr>
                    <w:t>0.0104</w:t>
                  </w:r>
                </w:p>
              </w:tc>
              <w:tc>
                <w:tcPr>
                  <w:tcW w:w="1484" w:type="dxa"/>
                  <w:vAlign w:val="center"/>
                </w:tcPr>
                <w:p>
                  <w:pPr>
                    <w:widowControl/>
                    <w:jc w:val="center"/>
                    <w:rPr>
                      <w:rFonts w:cs="Times New Roman"/>
                      <w:sz w:val="21"/>
                      <w:szCs w:val="21"/>
                    </w:rPr>
                  </w:pPr>
                  <w:r>
                    <w:rPr>
                      <w:rFonts w:cs="Times New Roman"/>
                      <w:sz w:val="21"/>
                      <w:szCs w:val="21"/>
                    </w:rPr>
                    <w:t>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1400.0</w:t>
                  </w:r>
                </w:p>
              </w:tc>
              <w:tc>
                <w:tcPr>
                  <w:tcW w:w="1838" w:type="dxa"/>
                  <w:vAlign w:val="center"/>
                </w:tcPr>
                <w:p>
                  <w:pPr>
                    <w:jc w:val="center"/>
                    <w:rPr>
                      <w:rFonts w:cs="Times New Roman"/>
                      <w:sz w:val="21"/>
                      <w:szCs w:val="21"/>
                    </w:rPr>
                  </w:pPr>
                  <w:r>
                    <w:rPr>
                      <w:rFonts w:cs="Times New Roman"/>
                      <w:sz w:val="21"/>
                      <w:szCs w:val="21"/>
                    </w:rPr>
                    <w:t>0.0857</w:t>
                  </w:r>
                </w:p>
              </w:tc>
              <w:tc>
                <w:tcPr>
                  <w:tcW w:w="1481" w:type="dxa"/>
                  <w:vAlign w:val="center"/>
                </w:tcPr>
                <w:p>
                  <w:pPr>
                    <w:widowControl/>
                    <w:jc w:val="center"/>
                    <w:rPr>
                      <w:rFonts w:cs="Times New Roman"/>
                      <w:sz w:val="21"/>
                      <w:szCs w:val="21"/>
                    </w:rPr>
                  </w:pPr>
                  <w:r>
                    <w:rPr>
                      <w:rFonts w:cs="Times New Roman"/>
                      <w:sz w:val="21"/>
                      <w:szCs w:val="21"/>
                    </w:rPr>
                    <w:t>0.04</w:t>
                  </w:r>
                </w:p>
              </w:tc>
              <w:tc>
                <w:tcPr>
                  <w:tcW w:w="1838" w:type="dxa"/>
                  <w:vAlign w:val="center"/>
                </w:tcPr>
                <w:p>
                  <w:pPr>
                    <w:jc w:val="center"/>
                    <w:rPr>
                      <w:rFonts w:cs="Times New Roman"/>
                      <w:sz w:val="21"/>
                      <w:szCs w:val="21"/>
                    </w:rPr>
                  </w:pPr>
                  <w:r>
                    <w:rPr>
                      <w:rFonts w:cs="Times New Roman"/>
                      <w:sz w:val="21"/>
                      <w:szCs w:val="21"/>
                    </w:rPr>
                    <w:t>0.0086</w:t>
                  </w:r>
                </w:p>
              </w:tc>
              <w:tc>
                <w:tcPr>
                  <w:tcW w:w="1484" w:type="dxa"/>
                  <w:vAlign w:val="center"/>
                </w:tcPr>
                <w:p>
                  <w:pPr>
                    <w:widowControl/>
                    <w:jc w:val="center"/>
                    <w:rPr>
                      <w:rFonts w:cs="Times New Roman"/>
                      <w:sz w:val="21"/>
                      <w:szCs w:val="21"/>
                    </w:rPr>
                  </w:pPr>
                  <w:r>
                    <w:rPr>
                      <w:rFonts w:cs="Times New Roman"/>
                      <w:sz w:val="21"/>
                      <w:szCs w:val="21"/>
                    </w:rPr>
                    <w:t>0.09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1600.0</w:t>
                  </w:r>
                </w:p>
              </w:tc>
              <w:tc>
                <w:tcPr>
                  <w:tcW w:w="1838" w:type="dxa"/>
                  <w:vAlign w:val="center"/>
                </w:tcPr>
                <w:p>
                  <w:pPr>
                    <w:jc w:val="center"/>
                    <w:rPr>
                      <w:rFonts w:cs="Times New Roman"/>
                      <w:sz w:val="21"/>
                      <w:szCs w:val="21"/>
                    </w:rPr>
                  </w:pPr>
                  <w:r>
                    <w:rPr>
                      <w:rFonts w:cs="Times New Roman"/>
                      <w:sz w:val="21"/>
                      <w:szCs w:val="21"/>
                    </w:rPr>
                    <w:t>0.0723</w:t>
                  </w:r>
                </w:p>
              </w:tc>
              <w:tc>
                <w:tcPr>
                  <w:tcW w:w="1481" w:type="dxa"/>
                  <w:vAlign w:val="center"/>
                </w:tcPr>
                <w:p>
                  <w:pPr>
                    <w:jc w:val="center"/>
                    <w:rPr>
                      <w:rFonts w:cs="Times New Roman"/>
                      <w:sz w:val="21"/>
                      <w:szCs w:val="21"/>
                    </w:rPr>
                  </w:pPr>
                  <w:r>
                    <w:rPr>
                      <w:rFonts w:cs="Times New Roman"/>
                      <w:sz w:val="21"/>
                      <w:szCs w:val="21"/>
                    </w:rPr>
                    <w:t>0.04</w:t>
                  </w:r>
                </w:p>
              </w:tc>
              <w:tc>
                <w:tcPr>
                  <w:tcW w:w="1838" w:type="dxa"/>
                  <w:vAlign w:val="center"/>
                </w:tcPr>
                <w:p>
                  <w:pPr>
                    <w:jc w:val="center"/>
                    <w:rPr>
                      <w:rFonts w:cs="Times New Roman"/>
                      <w:sz w:val="21"/>
                      <w:szCs w:val="21"/>
                    </w:rPr>
                  </w:pPr>
                  <w:r>
                    <w:rPr>
                      <w:rFonts w:cs="Times New Roman"/>
                      <w:sz w:val="21"/>
                      <w:szCs w:val="21"/>
                    </w:rPr>
                    <w:t>0.0072</w:t>
                  </w:r>
                </w:p>
              </w:tc>
              <w:tc>
                <w:tcPr>
                  <w:tcW w:w="1484" w:type="dxa"/>
                  <w:vAlign w:val="center"/>
                </w:tcPr>
                <w:p>
                  <w:pPr>
                    <w:jc w:val="center"/>
                    <w:rPr>
                      <w:rFonts w:cs="Times New Roman"/>
                      <w:sz w:val="21"/>
                      <w:szCs w:val="21"/>
                    </w:rPr>
                  </w:pPr>
                  <w:r>
                    <w:rPr>
                      <w:rFonts w:cs="Times New Roman"/>
                      <w:sz w:val="21"/>
                      <w:szCs w:val="21"/>
                    </w:rPr>
                    <w:t>0.07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1800.0</w:t>
                  </w:r>
                </w:p>
              </w:tc>
              <w:tc>
                <w:tcPr>
                  <w:tcW w:w="1838" w:type="dxa"/>
                  <w:vAlign w:val="center"/>
                </w:tcPr>
                <w:p>
                  <w:pPr>
                    <w:jc w:val="center"/>
                    <w:rPr>
                      <w:rFonts w:cs="Times New Roman"/>
                      <w:sz w:val="21"/>
                      <w:szCs w:val="21"/>
                    </w:rPr>
                  </w:pPr>
                  <w:r>
                    <w:rPr>
                      <w:rFonts w:cs="Times New Roman"/>
                      <w:sz w:val="21"/>
                      <w:szCs w:val="21"/>
                    </w:rPr>
                    <w:t>0.0622</w:t>
                  </w:r>
                </w:p>
              </w:tc>
              <w:tc>
                <w:tcPr>
                  <w:tcW w:w="1481" w:type="dxa"/>
                  <w:vAlign w:val="center"/>
                </w:tcPr>
                <w:p>
                  <w:pPr>
                    <w:jc w:val="center"/>
                    <w:rPr>
                      <w:rFonts w:cs="Times New Roman"/>
                      <w:sz w:val="21"/>
                      <w:szCs w:val="21"/>
                    </w:rPr>
                  </w:pPr>
                  <w:r>
                    <w:rPr>
                      <w:rFonts w:cs="Times New Roman"/>
                      <w:sz w:val="21"/>
                      <w:szCs w:val="21"/>
                    </w:rPr>
                    <w:t>0.03</w:t>
                  </w:r>
                </w:p>
              </w:tc>
              <w:tc>
                <w:tcPr>
                  <w:tcW w:w="1838" w:type="dxa"/>
                  <w:vAlign w:val="center"/>
                </w:tcPr>
                <w:p>
                  <w:pPr>
                    <w:jc w:val="center"/>
                    <w:rPr>
                      <w:rFonts w:cs="Times New Roman"/>
                      <w:sz w:val="21"/>
                      <w:szCs w:val="21"/>
                    </w:rPr>
                  </w:pPr>
                  <w:r>
                    <w:rPr>
                      <w:rFonts w:cs="Times New Roman"/>
                      <w:sz w:val="21"/>
                      <w:szCs w:val="21"/>
                    </w:rPr>
                    <w:t>0.0062</w:t>
                  </w:r>
                </w:p>
              </w:tc>
              <w:tc>
                <w:tcPr>
                  <w:tcW w:w="1484" w:type="dxa"/>
                  <w:vAlign w:val="center"/>
                </w:tcPr>
                <w:p>
                  <w:pPr>
                    <w:jc w:val="center"/>
                    <w:rPr>
                      <w:rFonts w:cs="Times New Roman"/>
                      <w:sz w:val="21"/>
                      <w:szCs w:val="21"/>
                    </w:rPr>
                  </w:pPr>
                  <w:r>
                    <w:rPr>
                      <w:rFonts w:cs="Times New Roman"/>
                      <w:sz w:val="21"/>
                      <w:szCs w:val="21"/>
                    </w:rPr>
                    <w:t>0.06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2000.0</w:t>
                  </w:r>
                </w:p>
              </w:tc>
              <w:tc>
                <w:tcPr>
                  <w:tcW w:w="1838" w:type="dxa"/>
                  <w:vAlign w:val="center"/>
                </w:tcPr>
                <w:p>
                  <w:pPr>
                    <w:jc w:val="center"/>
                    <w:rPr>
                      <w:rFonts w:cs="Times New Roman"/>
                      <w:sz w:val="21"/>
                      <w:szCs w:val="21"/>
                    </w:rPr>
                  </w:pPr>
                  <w:r>
                    <w:rPr>
                      <w:rFonts w:cs="Times New Roman"/>
                      <w:sz w:val="21"/>
                      <w:szCs w:val="21"/>
                    </w:rPr>
                    <w:t>0.0543</w:t>
                  </w:r>
                </w:p>
              </w:tc>
              <w:tc>
                <w:tcPr>
                  <w:tcW w:w="1481" w:type="dxa"/>
                  <w:vAlign w:val="center"/>
                </w:tcPr>
                <w:p>
                  <w:pPr>
                    <w:jc w:val="center"/>
                    <w:rPr>
                      <w:rFonts w:cs="Times New Roman"/>
                      <w:sz w:val="21"/>
                      <w:szCs w:val="21"/>
                    </w:rPr>
                  </w:pPr>
                  <w:r>
                    <w:rPr>
                      <w:rFonts w:cs="Times New Roman"/>
                      <w:sz w:val="21"/>
                      <w:szCs w:val="21"/>
                    </w:rPr>
                    <w:t>0.03</w:t>
                  </w:r>
                </w:p>
              </w:tc>
              <w:tc>
                <w:tcPr>
                  <w:tcW w:w="1838" w:type="dxa"/>
                  <w:vAlign w:val="center"/>
                </w:tcPr>
                <w:p>
                  <w:pPr>
                    <w:jc w:val="center"/>
                    <w:rPr>
                      <w:rFonts w:cs="Times New Roman"/>
                      <w:sz w:val="21"/>
                      <w:szCs w:val="21"/>
                    </w:rPr>
                  </w:pPr>
                  <w:r>
                    <w:rPr>
                      <w:rFonts w:cs="Times New Roman"/>
                      <w:sz w:val="21"/>
                      <w:szCs w:val="21"/>
                    </w:rPr>
                    <w:t>0.0054</w:t>
                  </w:r>
                </w:p>
              </w:tc>
              <w:tc>
                <w:tcPr>
                  <w:tcW w:w="1484" w:type="dxa"/>
                  <w:vAlign w:val="center"/>
                </w:tcPr>
                <w:p>
                  <w:pPr>
                    <w:jc w:val="center"/>
                    <w:rPr>
                      <w:rFonts w:cs="Times New Roman"/>
                      <w:sz w:val="21"/>
                      <w:szCs w:val="21"/>
                    </w:rPr>
                  </w:pPr>
                  <w:r>
                    <w:rPr>
                      <w:rFonts w:cs="Times New Roman"/>
                      <w:sz w:val="21"/>
                      <w:szCs w:val="21"/>
                    </w:rPr>
                    <w:t>0.05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2500.0</w:t>
                  </w:r>
                </w:p>
              </w:tc>
              <w:tc>
                <w:tcPr>
                  <w:tcW w:w="1838" w:type="dxa"/>
                  <w:vAlign w:val="center"/>
                </w:tcPr>
                <w:p>
                  <w:pPr>
                    <w:jc w:val="center"/>
                    <w:rPr>
                      <w:rFonts w:cs="Times New Roman"/>
                      <w:sz w:val="21"/>
                      <w:szCs w:val="21"/>
                    </w:rPr>
                  </w:pPr>
                  <w:r>
                    <w:rPr>
                      <w:rFonts w:cs="Times New Roman"/>
                      <w:sz w:val="21"/>
                      <w:szCs w:val="21"/>
                    </w:rPr>
                    <w:t>0.0406</w:t>
                  </w:r>
                </w:p>
              </w:tc>
              <w:tc>
                <w:tcPr>
                  <w:tcW w:w="1481" w:type="dxa"/>
                  <w:vAlign w:val="center"/>
                </w:tcPr>
                <w:p>
                  <w:pPr>
                    <w:jc w:val="center"/>
                    <w:rPr>
                      <w:rFonts w:cs="Times New Roman"/>
                      <w:sz w:val="21"/>
                      <w:szCs w:val="21"/>
                    </w:rPr>
                  </w:pPr>
                  <w:r>
                    <w:rPr>
                      <w:rFonts w:cs="Times New Roman"/>
                      <w:sz w:val="21"/>
                      <w:szCs w:val="21"/>
                    </w:rPr>
                    <w:t>0.02</w:t>
                  </w:r>
                </w:p>
              </w:tc>
              <w:tc>
                <w:tcPr>
                  <w:tcW w:w="1838" w:type="dxa"/>
                  <w:vAlign w:val="center"/>
                </w:tcPr>
                <w:p>
                  <w:pPr>
                    <w:jc w:val="center"/>
                    <w:rPr>
                      <w:rFonts w:cs="Times New Roman"/>
                      <w:sz w:val="21"/>
                      <w:szCs w:val="21"/>
                    </w:rPr>
                  </w:pPr>
                  <w:r>
                    <w:rPr>
                      <w:rFonts w:cs="Times New Roman"/>
                      <w:sz w:val="21"/>
                      <w:szCs w:val="21"/>
                    </w:rPr>
                    <w:t>0.0041</w:t>
                  </w:r>
                </w:p>
              </w:tc>
              <w:tc>
                <w:tcPr>
                  <w:tcW w:w="1484" w:type="dxa"/>
                  <w:vAlign w:val="center"/>
                </w:tcPr>
                <w:p>
                  <w:pPr>
                    <w:jc w:val="center"/>
                    <w:rPr>
                      <w:rFonts w:cs="Times New Roman"/>
                      <w:sz w:val="21"/>
                      <w:szCs w:val="21"/>
                    </w:rPr>
                  </w:pPr>
                  <w:r>
                    <w:rPr>
                      <w:rFonts w:cs="Times New Roman"/>
                      <w:sz w:val="21"/>
                      <w:szCs w:val="21"/>
                    </w:rPr>
                    <w:t>0.04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下风向最大浓度</w:t>
                  </w:r>
                </w:p>
              </w:tc>
              <w:tc>
                <w:tcPr>
                  <w:tcW w:w="1838" w:type="dxa"/>
                  <w:vAlign w:val="center"/>
                </w:tcPr>
                <w:p>
                  <w:pPr>
                    <w:jc w:val="center"/>
                    <w:rPr>
                      <w:rFonts w:cs="Times New Roman"/>
                      <w:sz w:val="21"/>
                      <w:szCs w:val="21"/>
                    </w:rPr>
                  </w:pPr>
                  <w:r>
                    <w:rPr>
                      <w:rFonts w:cs="Times New Roman"/>
                      <w:b/>
                      <w:bCs/>
                      <w:sz w:val="21"/>
                      <w:szCs w:val="21"/>
                    </w:rPr>
                    <w:t>1.9769</w:t>
                  </w:r>
                </w:p>
              </w:tc>
              <w:tc>
                <w:tcPr>
                  <w:tcW w:w="1481" w:type="dxa"/>
                  <w:vAlign w:val="center"/>
                </w:tcPr>
                <w:p>
                  <w:pPr>
                    <w:jc w:val="center"/>
                    <w:rPr>
                      <w:rFonts w:cs="Times New Roman"/>
                      <w:sz w:val="21"/>
                      <w:szCs w:val="21"/>
                    </w:rPr>
                  </w:pPr>
                  <w:r>
                    <w:rPr>
                      <w:rFonts w:cs="Times New Roman"/>
                      <w:b/>
                      <w:bCs/>
                      <w:sz w:val="21"/>
                      <w:szCs w:val="21"/>
                    </w:rPr>
                    <w:t>0.99</w:t>
                  </w:r>
                </w:p>
              </w:tc>
              <w:tc>
                <w:tcPr>
                  <w:tcW w:w="1838" w:type="dxa"/>
                  <w:vAlign w:val="center"/>
                </w:tcPr>
                <w:p>
                  <w:pPr>
                    <w:jc w:val="center"/>
                    <w:rPr>
                      <w:rFonts w:cs="Times New Roman"/>
                      <w:sz w:val="21"/>
                      <w:szCs w:val="21"/>
                    </w:rPr>
                  </w:pPr>
                  <w:r>
                    <w:rPr>
                      <w:rFonts w:cs="Times New Roman"/>
                      <w:b/>
                      <w:bCs/>
                      <w:sz w:val="21"/>
                      <w:szCs w:val="21"/>
                    </w:rPr>
                    <w:t>0.1977</w:t>
                  </w:r>
                </w:p>
              </w:tc>
              <w:tc>
                <w:tcPr>
                  <w:tcW w:w="1484" w:type="dxa"/>
                  <w:vAlign w:val="center"/>
                </w:tcPr>
                <w:p>
                  <w:pPr>
                    <w:jc w:val="center"/>
                    <w:rPr>
                      <w:rFonts w:cs="Times New Roman"/>
                      <w:sz w:val="21"/>
                      <w:szCs w:val="21"/>
                    </w:rPr>
                  </w:pPr>
                  <w:r>
                    <w:rPr>
                      <w:rFonts w:cs="Times New Roman"/>
                      <w:b/>
                      <w:bCs/>
                      <w:sz w:val="21"/>
                      <w:szCs w:val="21"/>
                    </w:rPr>
                    <w:t>1.98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下风向最大浓度出现距离</w:t>
                  </w:r>
                </w:p>
              </w:tc>
              <w:tc>
                <w:tcPr>
                  <w:tcW w:w="1838" w:type="dxa"/>
                  <w:vAlign w:val="center"/>
                </w:tcPr>
                <w:p>
                  <w:pPr>
                    <w:jc w:val="center"/>
                    <w:rPr>
                      <w:rFonts w:cs="Times New Roman"/>
                      <w:sz w:val="21"/>
                      <w:szCs w:val="21"/>
                    </w:rPr>
                  </w:pPr>
                  <w:r>
                    <w:rPr>
                      <w:rFonts w:cs="Times New Roman"/>
                      <w:b/>
                      <w:bCs/>
                      <w:sz w:val="21"/>
                      <w:szCs w:val="21"/>
                    </w:rPr>
                    <w:t>18</w:t>
                  </w:r>
                </w:p>
              </w:tc>
              <w:tc>
                <w:tcPr>
                  <w:tcW w:w="1481" w:type="dxa"/>
                  <w:vAlign w:val="center"/>
                </w:tcPr>
                <w:p>
                  <w:pPr>
                    <w:jc w:val="center"/>
                    <w:rPr>
                      <w:rFonts w:cs="Times New Roman"/>
                      <w:sz w:val="21"/>
                      <w:szCs w:val="21"/>
                    </w:rPr>
                  </w:pPr>
                  <w:r>
                    <w:rPr>
                      <w:rFonts w:cs="Times New Roman"/>
                      <w:b/>
                      <w:bCs/>
                      <w:sz w:val="21"/>
                      <w:szCs w:val="21"/>
                    </w:rPr>
                    <w:t>18</w:t>
                  </w:r>
                </w:p>
              </w:tc>
              <w:tc>
                <w:tcPr>
                  <w:tcW w:w="1838" w:type="dxa"/>
                  <w:vAlign w:val="center"/>
                </w:tcPr>
                <w:p>
                  <w:pPr>
                    <w:jc w:val="center"/>
                    <w:rPr>
                      <w:rFonts w:cs="Times New Roman"/>
                      <w:sz w:val="21"/>
                      <w:szCs w:val="21"/>
                    </w:rPr>
                  </w:pPr>
                  <w:r>
                    <w:rPr>
                      <w:rFonts w:cs="Times New Roman"/>
                      <w:b/>
                      <w:bCs/>
                      <w:sz w:val="21"/>
                      <w:szCs w:val="21"/>
                    </w:rPr>
                    <w:t>18</w:t>
                  </w:r>
                </w:p>
              </w:tc>
              <w:tc>
                <w:tcPr>
                  <w:tcW w:w="1484" w:type="dxa"/>
                  <w:vAlign w:val="center"/>
                </w:tcPr>
                <w:p>
                  <w:pPr>
                    <w:jc w:val="center"/>
                    <w:rPr>
                      <w:rFonts w:cs="Times New Roman"/>
                      <w:sz w:val="21"/>
                      <w:szCs w:val="21"/>
                    </w:rPr>
                  </w:pPr>
                  <w:r>
                    <w:rPr>
                      <w:rFonts w:cs="Times New Roman"/>
                      <w:b/>
                      <w:bCs/>
                      <w:sz w:val="21"/>
                      <w:szCs w:val="21"/>
                    </w:rPr>
                    <w:t>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jc w:val="center"/>
              </w:trPr>
              <w:tc>
                <w:tcPr>
                  <w:tcW w:w="1671" w:type="dxa"/>
                  <w:vAlign w:val="center"/>
                </w:tcPr>
                <w:p>
                  <w:pPr>
                    <w:jc w:val="center"/>
                    <w:rPr>
                      <w:rFonts w:cs="Times New Roman"/>
                      <w:sz w:val="21"/>
                      <w:szCs w:val="21"/>
                    </w:rPr>
                  </w:pPr>
                  <w:r>
                    <w:rPr>
                      <w:rFonts w:cs="Times New Roman"/>
                      <w:sz w:val="21"/>
                      <w:szCs w:val="21"/>
                    </w:rPr>
                    <w:t>D10%最远距离</w:t>
                  </w:r>
                </w:p>
              </w:tc>
              <w:tc>
                <w:tcPr>
                  <w:tcW w:w="1838" w:type="dxa"/>
                  <w:vAlign w:val="center"/>
                </w:tcPr>
                <w:p>
                  <w:pPr>
                    <w:jc w:val="center"/>
                    <w:rPr>
                      <w:rFonts w:cs="Times New Roman"/>
                      <w:sz w:val="21"/>
                      <w:szCs w:val="21"/>
                    </w:rPr>
                  </w:pPr>
                  <w:r>
                    <w:rPr>
                      <w:rFonts w:cs="Times New Roman"/>
                      <w:sz w:val="21"/>
                      <w:szCs w:val="21"/>
                    </w:rPr>
                    <w:t>/</w:t>
                  </w:r>
                </w:p>
              </w:tc>
              <w:tc>
                <w:tcPr>
                  <w:tcW w:w="1481" w:type="dxa"/>
                  <w:vAlign w:val="center"/>
                </w:tcPr>
                <w:p>
                  <w:pPr>
                    <w:jc w:val="center"/>
                    <w:rPr>
                      <w:rFonts w:cs="Times New Roman"/>
                      <w:sz w:val="21"/>
                      <w:szCs w:val="21"/>
                    </w:rPr>
                  </w:pPr>
                  <w:r>
                    <w:rPr>
                      <w:rFonts w:cs="Times New Roman"/>
                      <w:sz w:val="21"/>
                      <w:szCs w:val="21"/>
                    </w:rPr>
                    <w:t>/</w:t>
                  </w:r>
                </w:p>
              </w:tc>
              <w:tc>
                <w:tcPr>
                  <w:tcW w:w="1838" w:type="dxa"/>
                  <w:vAlign w:val="center"/>
                </w:tcPr>
                <w:p>
                  <w:pPr>
                    <w:jc w:val="center"/>
                    <w:rPr>
                      <w:rFonts w:cs="Times New Roman"/>
                      <w:sz w:val="21"/>
                      <w:szCs w:val="21"/>
                    </w:rPr>
                  </w:pPr>
                  <w:r>
                    <w:rPr>
                      <w:rFonts w:cs="Times New Roman"/>
                      <w:sz w:val="21"/>
                      <w:szCs w:val="21"/>
                    </w:rPr>
                    <w:t>/</w:t>
                  </w:r>
                </w:p>
              </w:tc>
              <w:tc>
                <w:tcPr>
                  <w:tcW w:w="1484" w:type="dxa"/>
                  <w:vAlign w:val="center"/>
                </w:tcPr>
                <w:p>
                  <w:pPr>
                    <w:jc w:val="center"/>
                    <w:rPr>
                      <w:rFonts w:cs="Times New Roman"/>
                      <w:sz w:val="21"/>
                      <w:szCs w:val="21"/>
                    </w:rPr>
                  </w:pPr>
                  <w:r>
                    <w:rPr>
                      <w:rFonts w:cs="Times New Roman"/>
                      <w:sz w:val="21"/>
                      <w:szCs w:val="21"/>
                    </w:rPr>
                    <w:t>/</w:t>
                  </w:r>
                </w:p>
              </w:tc>
            </w:tr>
          </w:tbl>
          <w:p>
            <w:pPr>
              <w:widowControl/>
              <w:adjustRightInd w:val="0"/>
              <w:snapToGrid w:val="0"/>
              <w:spacing w:line="360" w:lineRule="auto"/>
              <w:ind w:firstLine="422" w:firstLineChars="176"/>
              <w:jc w:val="left"/>
            </w:pPr>
            <w:r>
              <w:t>（6）评级工作等级确定</w:t>
            </w:r>
          </w:p>
          <w:p>
            <w:pPr>
              <w:pStyle w:val="25"/>
              <w:jc w:val="center"/>
              <w:rPr>
                <w:rFonts w:cs="Times New Roman"/>
                <w:caps w:val="0"/>
                <w:szCs w:val="24"/>
              </w:rPr>
            </w:pPr>
            <w:r>
              <w:rPr>
                <w:rFonts w:cs="Times New Roman"/>
                <w:caps w:val="0"/>
                <w:szCs w:val="24"/>
              </w:rPr>
              <w:t>表7-13  Pmax和D10%预测和计算结果一览表</w:t>
            </w:r>
          </w:p>
          <w:tbl>
            <w:tblPr>
              <w:tblStyle w:val="3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4"/>
              <w:gridCol w:w="1133"/>
              <w:gridCol w:w="1548"/>
              <w:gridCol w:w="2084"/>
              <w:gridCol w:w="1391"/>
              <w:gridCol w:w="126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885" w:type="dxa"/>
                  <w:vAlign w:val="center"/>
                </w:tcPr>
                <w:p>
                  <w:pPr>
                    <w:jc w:val="center"/>
                    <w:rPr>
                      <w:sz w:val="21"/>
                      <w:szCs w:val="21"/>
                    </w:rPr>
                  </w:pPr>
                  <w:r>
                    <w:rPr>
                      <w:sz w:val="21"/>
                      <w:szCs w:val="21"/>
                    </w:rPr>
                    <w:t>污染源名称</w:t>
                  </w:r>
                </w:p>
              </w:tc>
              <w:tc>
                <w:tcPr>
                  <w:tcW w:w="1134" w:type="dxa"/>
                  <w:vAlign w:val="center"/>
                </w:tcPr>
                <w:p>
                  <w:pPr>
                    <w:jc w:val="center"/>
                    <w:rPr>
                      <w:sz w:val="21"/>
                      <w:szCs w:val="21"/>
                    </w:rPr>
                  </w:pPr>
                  <w:r>
                    <w:rPr>
                      <w:sz w:val="21"/>
                      <w:szCs w:val="21"/>
                    </w:rPr>
                    <w:t>评价因子</w:t>
                  </w:r>
                </w:p>
              </w:tc>
              <w:tc>
                <w:tcPr>
                  <w:tcW w:w="1549" w:type="dxa"/>
                  <w:vAlign w:val="center"/>
                </w:tcPr>
                <w:p>
                  <w:pPr>
                    <w:jc w:val="center"/>
                    <w:rPr>
                      <w:sz w:val="21"/>
                      <w:szCs w:val="21"/>
                    </w:rPr>
                  </w:pPr>
                  <w:r>
                    <w:rPr>
                      <w:sz w:val="21"/>
                      <w:szCs w:val="21"/>
                    </w:rPr>
                    <w:t>评价标准(μg/m³)</w:t>
                  </w:r>
                </w:p>
              </w:tc>
              <w:tc>
                <w:tcPr>
                  <w:tcW w:w="2085" w:type="dxa"/>
                  <w:vAlign w:val="center"/>
                </w:tcPr>
                <w:p>
                  <w:pPr>
                    <w:jc w:val="center"/>
                    <w:rPr>
                      <w:sz w:val="21"/>
                      <w:szCs w:val="21"/>
                    </w:rPr>
                  </w:pPr>
                  <w:r>
                    <w:rPr>
                      <w:sz w:val="21"/>
                      <w:szCs w:val="21"/>
                    </w:rPr>
                    <w:t>Cmax(μg/m³)</w:t>
                  </w:r>
                </w:p>
              </w:tc>
              <w:tc>
                <w:tcPr>
                  <w:tcW w:w="1392" w:type="dxa"/>
                  <w:vAlign w:val="center"/>
                </w:tcPr>
                <w:p>
                  <w:pPr>
                    <w:jc w:val="center"/>
                    <w:rPr>
                      <w:sz w:val="21"/>
                      <w:szCs w:val="21"/>
                    </w:rPr>
                  </w:pPr>
                  <w:r>
                    <w:rPr>
                      <w:sz w:val="21"/>
                      <w:szCs w:val="21"/>
                    </w:rPr>
                    <w:t>Pmax(%)</w:t>
                  </w:r>
                </w:p>
              </w:tc>
              <w:tc>
                <w:tcPr>
                  <w:tcW w:w="1267" w:type="dxa"/>
                  <w:vAlign w:val="center"/>
                </w:tcPr>
                <w:p>
                  <w:pPr>
                    <w:jc w:val="center"/>
                    <w:rPr>
                      <w:sz w:val="21"/>
                      <w:szCs w:val="21"/>
                    </w:rPr>
                  </w:pPr>
                  <w:r>
                    <w:rPr>
                      <w:sz w:val="21"/>
                      <w:szCs w:val="21"/>
                    </w:rPr>
                    <w:t>D10%(m)</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885" w:type="dxa"/>
                  <w:vMerge w:val="restart"/>
                  <w:vAlign w:val="center"/>
                </w:tcPr>
                <w:p>
                  <w:pPr>
                    <w:jc w:val="center"/>
                    <w:rPr>
                      <w:sz w:val="21"/>
                      <w:szCs w:val="21"/>
                    </w:rPr>
                  </w:pPr>
                  <w:r>
                    <w:rPr>
                      <w:rFonts w:hint="eastAsia"/>
                      <w:sz w:val="21"/>
                      <w:szCs w:val="21"/>
                    </w:rPr>
                    <w:t>面</w:t>
                  </w:r>
                  <w:r>
                    <w:rPr>
                      <w:sz w:val="21"/>
                      <w:szCs w:val="21"/>
                    </w:rPr>
                    <w:t>源</w:t>
                  </w:r>
                </w:p>
              </w:tc>
              <w:tc>
                <w:tcPr>
                  <w:tcW w:w="1134" w:type="dxa"/>
                  <w:vAlign w:val="center"/>
                </w:tcPr>
                <w:p>
                  <w:pPr>
                    <w:jc w:val="center"/>
                    <w:rPr>
                      <w:sz w:val="21"/>
                      <w:szCs w:val="21"/>
                    </w:rPr>
                  </w:pPr>
                  <w:r>
                    <w:rPr>
                      <w:sz w:val="21"/>
                      <w:szCs w:val="21"/>
                    </w:rPr>
                    <w:t>NH</w:t>
                  </w:r>
                  <w:r>
                    <w:rPr>
                      <w:sz w:val="21"/>
                      <w:szCs w:val="21"/>
                      <w:vertAlign w:val="subscript"/>
                    </w:rPr>
                    <w:t>3</w:t>
                  </w:r>
                </w:p>
              </w:tc>
              <w:tc>
                <w:tcPr>
                  <w:tcW w:w="1549" w:type="dxa"/>
                  <w:vAlign w:val="center"/>
                </w:tcPr>
                <w:p>
                  <w:pPr>
                    <w:jc w:val="center"/>
                    <w:rPr>
                      <w:sz w:val="21"/>
                      <w:szCs w:val="21"/>
                    </w:rPr>
                  </w:pPr>
                  <w:r>
                    <w:rPr>
                      <w:sz w:val="21"/>
                      <w:szCs w:val="21"/>
                    </w:rPr>
                    <w:t>200.0</w:t>
                  </w:r>
                </w:p>
              </w:tc>
              <w:tc>
                <w:tcPr>
                  <w:tcW w:w="2085" w:type="dxa"/>
                  <w:vAlign w:val="center"/>
                </w:tcPr>
                <w:p>
                  <w:pPr>
                    <w:jc w:val="center"/>
                    <w:rPr>
                      <w:b/>
                      <w:bCs/>
                      <w:sz w:val="21"/>
                      <w:szCs w:val="21"/>
                    </w:rPr>
                  </w:pPr>
                  <w:r>
                    <w:rPr>
                      <w:rFonts w:cs="Times New Roman"/>
                      <w:b/>
                      <w:bCs/>
                      <w:sz w:val="21"/>
                      <w:szCs w:val="21"/>
                    </w:rPr>
                    <w:t>1.9769</w:t>
                  </w:r>
                </w:p>
              </w:tc>
              <w:tc>
                <w:tcPr>
                  <w:tcW w:w="1392" w:type="dxa"/>
                  <w:vAlign w:val="center"/>
                </w:tcPr>
                <w:p>
                  <w:pPr>
                    <w:jc w:val="center"/>
                    <w:rPr>
                      <w:b/>
                      <w:bCs/>
                      <w:sz w:val="21"/>
                      <w:szCs w:val="21"/>
                    </w:rPr>
                  </w:pPr>
                  <w:r>
                    <w:rPr>
                      <w:rFonts w:cs="Times New Roman"/>
                      <w:b/>
                      <w:bCs/>
                      <w:sz w:val="21"/>
                      <w:szCs w:val="21"/>
                    </w:rPr>
                    <w:t>0.99</w:t>
                  </w:r>
                </w:p>
              </w:tc>
              <w:tc>
                <w:tcPr>
                  <w:tcW w:w="1267" w:type="dxa"/>
                  <w:vAlign w:val="center"/>
                </w:tcPr>
                <w:p>
                  <w:pPr>
                    <w:jc w:val="center"/>
                    <w:rPr>
                      <w:sz w:val="21"/>
                      <w:szCs w:val="21"/>
                    </w:rPr>
                  </w:pPr>
                  <w:r>
                    <w:rPr>
                      <w:sz w:val="21"/>
                      <w:szCs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885" w:type="dxa"/>
                  <w:vMerge w:val="continue"/>
                  <w:vAlign w:val="center"/>
                </w:tcPr>
                <w:p>
                  <w:pPr>
                    <w:rPr>
                      <w:sz w:val="21"/>
                      <w:szCs w:val="21"/>
                    </w:rPr>
                  </w:pPr>
                </w:p>
              </w:tc>
              <w:tc>
                <w:tcPr>
                  <w:tcW w:w="1134" w:type="dxa"/>
                  <w:vAlign w:val="center"/>
                </w:tcPr>
                <w:p>
                  <w:pPr>
                    <w:jc w:val="center"/>
                    <w:rPr>
                      <w:sz w:val="21"/>
                      <w:szCs w:val="21"/>
                    </w:rPr>
                  </w:pPr>
                  <w:r>
                    <w:rPr>
                      <w:sz w:val="21"/>
                      <w:szCs w:val="21"/>
                    </w:rPr>
                    <w:t>H</w:t>
                  </w:r>
                  <w:r>
                    <w:rPr>
                      <w:sz w:val="21"/>
                      <w:szCs w:val="21"/>
                      <w:vertAlign w:val="subscript"/>
                    </w:rPr>
                    <w:t>2</w:t>
                  </w:r>
                  <w:r>
                    <w:rPr>
                      <w:sz w:val="21"/>
                      <w:szCs w:val="21"/>
                    </w:rPr>
                    <w:t>S</w:t>
                  </w:r>
                </w:p>
              </w:tc>
              <w:tc>
                <w:tcPr>
                  <w:tcW w:w="1549" w:type="dxa"/>
                  <w:vAlign w:val="center"/>
                </w:tcPr>
                <w:p>
                  <w:pPr>
                    <w:jc w:val="center"/>
                    <w:rPr>
                      <w:sz w:val="21"/>
                      <w:szCs w:val="21"/>
                    </w:rPr>
                  </w:pPr>
                  <w:r>
                    <w:rPr>
                      <w:sz w:val="21"/>
                      <w:szCs w:val="21"/>
                    </w:rPr>
                    <w:t>10.0</w:t>
                  </w:r>
                </w:p>
              </w:tc>
              <w:tc>
                <w:tcPr>
                  <w:tcW w:w="2085" w:type="dxa"/>
                  <w:vAlign w:val="center"/>
                </w:tcPr>
                <w:p>
                  <w:pPr>
                    <w:jc w:val="center"/>
                    <w:rPr>
                      <w:b/>
                      <w:bCs/>
                      <w:sz w:val="21"/>
                      <w:szCs w:val="21"/>
                    </w:rPr>
                  </w:pPr>
                  <w:r>
                    <w:rPr>
                      <w:rFonts w:cs="Times New Roman"/>
                      <w:b/>
                      <w:bCs/>
                      <w:sz w:val="21"/>
                      <w:szCs w:val="21"/>
                    </w:rPr>
                    <w:t>0.1977</w:t>
                  </w:r>
                </w:p>
              </w:tc>
              <w:tc>
                <w:tcPr>
                  <w:tcW w:w="1392" w:type="dxa"/>
                  <w:vAlign w:val="center"/>
                </w:tcPr>
                <w:p>
                  <w:pPr>
                    <w:jc w:val="center"/>
                    <w:rPr>
                      <w:b/>
                      <w:bCs/>
                      <w:sz w:val="21"/>
                      <w:szCs w:val="21"/>
                    </w:rPr>
                  </w:pPr>
                  <w:r>
                    <w:rPr>
                      <w:rFonts w:cs="Times New Roman"/>
                      <w:b/>
                      <w:bCs/>
                      <w:sz w:val="21"/>
                      <w:szCs w:val="21"/>
                    </w:rPr>
                    <w:t>1.98</w:t>
                  </w:r>
                </w:p>
              </w:tc>
              <w:tc>
                <w:tcPr>
                  <w:tcW w:w="1267" w:type="dxa"/>
                  <w:vAlign w:val="center"/>
                </w:tcPr>
                <w:p>
                  <w:pPr>
                    <w:jc w:val="center"/>
                    <w:rPr>
                      <w:sz w:val="21"/>
                      <w:szCs w:val="21"/>
                    </w:rPr>
                  </w:pPr>
                  <w:r>
                    <w:rPr>
                      <w:sz w:val="21"/>
                      <w:szCs w:val="21"/>
                    </w:rPr>
                    <w:t>/</w:t>
                  </w:r>
                </w:p>
              </w:tc>
            </w:tr>
          </w:tbl>
          <w:p>
            <w:pPr>
              <w:spacing w:line="360" w:lineRule="auto"/>
              <w:ind w:firstLine="480" w:firstLineChars="200"/>
              <w:rPr>
                <w:rFonts w:cs="Times New Roman"/>
                <w:szCs w:val="24"/>
              </w:rPr>
            </w:pPr>
            <w:r>
              <w:t>本项目Pmax最大值出现为</w:t>
            </w:r>
            <w:r>
              <w:rPr>
                <w:rFonts w:hint="eastAsia"/>
              </w:rPr>
              <w:t>面</w:t>
            </w:r>
            <w:r>
              <w:t>源排放的H</w:t>
            </w:r>
            <w:r>
              <w:rPr>
                <w:vertAlign w:val="subscript"/>
              </w:rPr>
              <w:t>2</w:t>
            </w:r>
            <w:r>
              <w:t>SPmax值为</w:t>
            </w:r>
            <w:r>
              <w:rPr>
                <w:b/>
                <w:bCs/>
              </w:rPr>
              <w:t>1.98</w:t>
            </w:r>
            <w:r>
              <w:t>%，根据《环境影响评价技术导则 大气环境》（HJ2.2-2018）分级判据，确定本项目大气环境影响评价工作等级</w:t>
            </w:r>
            <w:r>
              <w:rPr>
                <w:rFonts w:hint="eastAsia"/>
              </w:rPr>
              <w:t>二</w:t>
            </w:r>
            <w:r>
              <w:t>级。</w:t>
            </w:r>
            <w:r>
              <w:rPr>
                <w:rFonts w:hint="eastAsia" w:cs="Times New Roman"/>
                <w:szCs w:val="24"/>
              </w:rPr>
              <w:t>只需要对污染物进行核算，</w:t>
            </w:r>
            <w:r>
              <w:rPr>
                <w:rFonts w:cs="Times New Roman"/>
                <w:szCs w:val="24"/>
              </w:rPr>
              <w:t>不需进行进一步预测与评价。</w:t>
            </w:r>
          </w:p>
          <w:p>
            <w:pPr>
              <w:pStyle w:val="25"/>
              <w:ind w:firstLine="482" w:firstLineChars="200"/>
              <w:rPr>
                <w:rFonts w:cs="Times New Roman"/>
                <w:caps w:val="0"/>
                <w:szCs w:val="24"/>
              </w:rPr>
            </w:pPr>
            <w:r>
              <w:t>H</w:t>
            </w:r>
            <w:r>
              <w:rPr>
                <w:vertAlign w:val="subscript"/>
              </w:rPr>
              <w:t>2</w:t>
            </w:r>
            <w:r>
              <w:t>S</w:t>
            </w:r>
            <w:r>
              <w:rPr>
                <w:rFonts w:hint="eastAsia"/>
              </w:rPr>
              <w:t>、N</w:t>
            </w:r>
            <w:r>
              <w:t>H</w:t>
            </w:r>
            <w:r>
              <w:rPr>
                <w:vertAlign w:val="subscript"/>
              </w:rPr>
              <w:t>3</w:t>
            </w:r>
            <w:r>
              <w:rPr>
                <w:rFonts w:hint="eastAsia" w:cs="Times New Roman"/>
                <w:b w:val="0"/>
                <w:szCs w:val="24"/>
              </w:rPr>
              <w:t>无组织排放情况见下表。</w:t>
            </w:r>
          </w:p>
          <w:p>
            <w:pPr>
              <w:pStyle w:val="25"/>
              <w:jc w:val="center"/>
              <w:rPr>
                <w:rFonts w:cs="Times New Roman"/>
                <w:caps w:val="0"/>
                <w:szCs w:val="24"/>
              </w:rPr>
            </w:pPr>
            <w:r>
              <w:rPr>
                <w:rFonts w:hint="eastAsia" w:cs="Times New Roman"/>
                <w:caps w:val="0"/>
                <w:szCs w:val="24"/>
              </w:rPr>
              <w:t>表7-1</w:t>
            </w:r>
            <w:r>
              <w:rPr>
                <w:rFonts w:cs="Times New Roman"/>
                <w:caps w:val="0"/>
                <w:szCs w:val="24"/>
              </w:rPr>
              <w:t>4</w:t>
            </w:r>
            <w:r>
              <w:rPr>
                <w:rFonts w:hint="eastAsia" w:cs="Times New Roman"/>
                <w:caps w:val="0"/>
                <w:szCs w:val="24"/>
              </w:rPr>
              <w:t xml:space="preserve">  </w:t>
            </w:r>
            <w:r>
              <w:t>H</w:t>
            </w:r>
            <w:r>
              <w:rPr>
                <w:vertAlign w:val="subscript"/>
              </w:rPr>
              <w:t>2</w:t>
            </w:r>
            <w:r>
              <w:t>S</w:t>
            </w:r>
            <w:r>
              <w:rPr>
                <w:rFonts w:hint="eastAsia"/>
              </w:rPr>
              <w:t>、N</w:t>
            </w:r>
            <w:r>
              <w:t>H</w:t>
            </w:r>
            <w:r>
              <w:rPr>
                <w:vertAlign w:val="subscript"/>
              </w:rPr>
              <w:t>3</w:t>
            </w:r>
            <w:r>
              <w:rPr>
                <w:rFonts w:hint="eastAsia" w:cs="Times New Roman"/>
                <w:caps w:val="0"/>
                <w:szCs w:val="24"/>
              </w:rPr>
              <w:t>无组织排放量核算</w:t>
            </w:r>
          </w:p>
          <w:tbl>
            <w:tblPr>
              <w:tblStyle w:val="31"/>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1"/>
              <w:gridCol w:w="758"/>
              <w:gridCol w:w="1779"/>
              <w:gridCol w:w="1899"/>
              <w:gridCol w:w="1417"/>
              <w:gridCol w:w="16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06" w:type="pct"/>
                  <w:vMerge w:val="restart"/>
                  <w:tcBorders>
                    <w:tl2br w:val="nil"/>
                    <w:tr2bl w:val="nil"/>
                  </w:tcBorders>
                  <w:vAlign w:val="center"/>
                </w:tcPr>
                <w:p>
                  <w:pPr>
                    <w:adjustRightInd w:val="0"/>
                    <w:snapToGrid w:val="0"/>
                    <w:jc w:val="center"/>
                    <w:rPr>
                      <w:rFonts w:cs="Times New Roman"/>
                      <w:b/>
                      <w:bCs/>
                      <w:sz w:val="21"/>
                      <w:szCs w:val="21"/>
                    </w:rPr>
                  </w:pPr>
                  <w:r>
                    <w:rPr>
                      <w:rFonts w:cs="Times New Roman"/>
                      <w:b/>
                      <w:bCs/>
                      <w:sz w:val="21"/>
                      <w:szCs w:val="21"/>
                    </w:rPr>
                    <w:t>排放口</w:t>
                  </w:r>
                </w:p>
              </w:tc>
              <w:tc>
                <w:tcPr>
                  <w:tcW w:w="456" w:type="pct"/>
                  <w:vMerge w:val="restart"/>
                  <w:tcBorders>
                    <w:tl2br w:val="nil"/>
                    <w:tr2bl w:val="nil"/>
                  </w:tcBorders>
                  <w:vAlign w:val="center"/>
                </w:tcPr>
                <w:p>
                  <w:pPr>
                    <w:adjustRightInd w:val="0"/>
                    <w:snapToGrid w:val="0"/>
                    <w:jc w:val="center"/>
                    <w:rPr>
                      <w:rFonts w:cs="Times New Roman"/>
                      <w:b/>
                      <w:bCs/>
                      <w:sz w:val="21"/>
                      <w:szCs w:val="21"/>
                    </w:rPr>
                  </w:pPr>
                  <w:r>
                    <w:rPr>
                      <w:rFonts w:cs="Times New Roman"/>
                      <w:b/>
                      <w:bCs/>
                      <w:sz w:val="21"/>
                      <w:szCs w:val="21"/>
                    </w:rPr>
                    <w:t>污染物</w:t>
                  </w:r>
                </w:p>
              </w:tc>
              <w:tc>
                <w:tcPr>
                  <w:tcW w:w="1071" w:type="pct"/>
                  <w:vMerge w:val="restart"/>
                  <w:tcBorders>
                    <w:tl2br w:val="nil"/>
                    <w:tr2bl w:val="nil"/>
                  </w:tcBorders>
                  <w:vAlign w:val="center"/>
                </w:tcPr>
                <w:p>
                  <w:pPr>
                    <w:adjustRightInd w:val="0"/>
                    <w:snapToGrid w:val="0"/>
                    <w:jc w:val="center"/>
                    <w:rPr>
                      <w:rFonts w:cs="Times New Roman"/>
                      <w:b/>
                      <w:bCs/>
                      <w:sz w:val="21"/>
                      <w:szCs w:val="21"/>
                    </w:rPr>
                  </w:pPr>
                  <w:r>
                    <w:rPr>
                      <w:rFonts w:cs="Times New Roman"/>
                      <w:b/>
                      <w:bCs/>
                      <w:sz w:val="21"/>
                      <w:szCs w:val="21"/>
                    </w:rPr>
                    <w:t>主要污染防治措施</w:t>
                  </w:r>
                </w:p>
              </w:tc>
              <w:tc>
                <w:tcPr>
                  <w:tcW w:w="1996" w:type="pct"/>
                  <w:gridSpan w:val="2"/>
                  <w:tcBorders>
                    <w:tl2br w:val="nil"/>
                    <w:tr2bl w:val="nil"/>
                  </w:tcBorders>
                  <w:vAlign w:val="center"/>
                </w:tcPr>
                <w:p>
                  <w:pPr>
                    <w:adjustRightInd w:val="0"/>
                    <w:snapToGrid w:val="0"/>
                    <w:jc w:val="center"/>
                    <w:rPr>
                      <w:rFonts w:cs="Times New Roman"/>
                      <w:b/>
                      <w:bCs/>
                      <w:sz w:val="21"/>
                      <w:szCs w:val="21"/>
                    </w:rPr>
                  </w:pPr>
                  <w:r>
                    <w:rPr>
                      <w:rFonts w:cs="Times New Roman"/>
                      <w:b/>
                      <w:bCs/>
                      <w:sz w:val="21"/>
                      <w:szCs w:val="21"/>
                    </w:rPr>
                    <w:t>国家或地方污染物排放标准</w:t>
                  </w:r>
                </w:p>
              </w:tc>
              <w:tc>
                <w:tcPr>
                  <w:tcW w:w="971" w:type="pct"/>
                  <w:vMerge w:val="restart"/>
                  <w:tcBorders>
                    <w:tl2br w:val="nil"/>
                    <w:tr2bl w:val="nil"/>
                  </w:tcBorders>
                  <w:vAlign w:val="center"/>
                </w:tcPr>
                <w:p>
                  <w:pPr>
                    <w:adjustRightInd w:val="0"/>
                    <w:snapToGrid w:val="0"/>
                    <w:jc w:val="center"/>
                    <w:rPr>
                      <w:rFonts w:cs="Times New Roman"/>
                      <w:b/>
                      <w:bCs/>
                      <w:sz w:val="21"/>
                      <w:szCs w:val="21"/>
                    </w:rPr>
                  </w:pPr>
                  <w:r>
                    <w:rPr>
                      <w:rFonts w:cs="Times New Roman"/>
                      <w:b/>
                      <w:bCs/>
                      <w:sz w:val="21"/>
                      <w:szCs w:val="21"/>
                    </w:rPr>
                    <w:t>年排放量（t/a）</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06" w:type="pct"/>
                  <w:vMerge w:val="continue"/>
                  <w:tcBorders>
                    <w:tl2br w:val="nil"/>
                    <w:tr2bl w:val="nil"/>
                  </w:tcBorders>
                  <w:vAlign w:val="center"/>
                </w:tcPr>
                <w:p>
                  <w:pPr>
                    <w:adjustRightInd w:val="0"/>
                    <w:snapToGrid w:val="0"/>
                    <w:jc w:val="center"/>
                    <w:rPr>
                      <w:rFonts w:cs="Times New Roman"/>
                      <w:sz w:val="21"/>
                      <w:szCs w:val="21"/>
                    </w:rPr>
                  </w:pPr>
                </w:p>
              </w:tc>
              <w:tc>
                <w:tcPr>
                  <w:tcW w:w="456" w:type="pct"/>
                  <w:vMerge w:val="continue"/>
                  <w:tcBorders>
                    <w:tl2br w:val="nil"/>
                    <w:tr2bl w:val="nil"/>
                  </w:tcBorders>
                  <w:vAlign w:val="center"/>
                </w:tcPr>
                <w:p>
                  <w:pPr>
                    <w:adjustRightInd w:val="0"/>
                    <w:snapToGrid w:val="0"/>
                    <w:jc w:val="center"/>
                    <w:rPr>
                      <w:rFonts w:cs="Times New Roman"/>
                      <w:sz w:val="21"/>
                      <w:szCs w:val="21"/>
                    </w:rPr>
                  </w:pPr>
                </w:p>
              </w:tc>
              <w:tc>
                <w:tcPr>
                  <w:tcW w:w="1071" w:type="pct"/>
                  <w:vMerge w:val="continue"/>
                  <w:tcBorders>
                    <w:tl2br w:val="nil"/>
                    <w:tr2bl w:val="nil"/>
                  </w:tcBorders>
                  <w:vAlign w:val="center"/>
                </w:tcPr>
                <w:p>
                  <w:pPr>
                    <w:adjustRightInd w:val="0"/>
                    <w:snapToGrid w:val="0"/>
                    <w:jc w:val="center"/>
                    <w:rPr>
                      <w:rFonts w:cs="Times New Roman"/>
                      <w:sz w:val="21"/>
                      <w:szCs w:val="21"/>
                    </w:rPr>
                  </w:pPr>
                </w:p>
              </w:tc>
              <w:tc>
                <w:tcPr>
                  <w:tcW w:w="1143" w:type="pct"/>
                  <w:tcBorders>
                    <w:tl2br w:val="nil"/>
                    <w:tr2bl w:val="nil"/>
                  </w:tcBorders>
                  <w:vAlign w:val="center"/>
                </w:tcPr>
                <w:p>
                  <w:pPr>
                    <w:adjustRightInd w:val="0"/>
                    <w:snapToGrid w:val="0"/>
                    <w:jc w:val="center"/>
                    <w:rPr>
                      <w:rFonts w:cs="Times New Roman"/>
                      <w:sz w:val="21"/>
                      <w:szCs w:val="21"/>
                    </w:rPr>
                  </w:pPr>
                  <w:r>
                    <w:rPr>
                      <w:rFonts w:cs="Times New Roman"/>
                      <w:sz w:val="21"/>
                      <w:szCs w:val="21"/>
                    </w:rPr>
                    <w:t>标准名称</w:t>
                  </w:r>
                </w:p>
              </w:tc>
              <w:tc>
                <w:tcPr>
                  <w:tcW w:w="853" w:type="pct"/>
                  <w:tcBorders>
                    <w:tl2br w:val="nil"/>
                    <w:tr2bl w:val="nil"/>
                  </w:tcBorders>
                  <w:vAlign w:val="center"/>
                </w:tcPr>
                <w:p>
                  <w:pPr>
                    <w:adjustRightInd w:val="0"/>
                    <w:snapToGrid w:val="0"/>
                    <w:jc w:val="center"/>
                    <w:rPr>
                      <w:rFonts w:cs="Times New Roman"/>
                      <w:sz w:val="21"/>
                      <w:szCs w:val="21"/>
                    </w:rPr>
                  </w:pPr>
                  <w:r>
                    <w:rPr>
                      <w:rFonts w:cs="Times New Roman"/>
                      <w:sz w:val="21"/>
                      <w:szCs w:val="21"/>
                    </w:rPr>
                    <w:t>浓度限值（mg/m</w:t>
                  </w:r>
                  <w:r>
                    <w:rPr>
                      <w:rFonts w:cs="Times New Roman"/>
                      <w:sz w:val="21"/>
                      <w:szCs w:val="21"/>
                      <w:vertAlign w:val="superscript"/>
                    </w:rPr>
                    <w:t>3</w:t>
                  </w:r>
                  <w:r>
                    <w:rPr>
                      <w:rFonts w:cs="Times New Roman"/>
                      <w:sz w:val="21"/>
                      <w:szCs w:val="21"/>
                    </w:rPr>
                    <w:t>）</w:t>
                  </w:r>
                </w:p>
              </w:tc>
              <w:tc>
                <w:tcPr>
                  <w:tcW w:w="971" w:type="pct"/>
                  <w:vMerge w:val="continue"/>
                  <w:tcBorders>
                    <w:tl2br w:val="nil"/>
                    <w:tr2bl w:val="nil"/>
                  </w:tcBorders>
                  <w:vAlign w:val="center"/>
                </w:tcPr>
                <w:p>
                  <w:pPr>
                    <w:adjustRightInd w:val="0"/>
                    <w:snapToGrid w:val="0"/>
                    <w:jc w:val="center"/>
                    <w:rPr>
                      <w:rFonts w:cs="Times New Roman"/>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9" w:hRule="atLeast"/>
                <w:jc w:val="center"/>
              </w:trPr>
              <w:tc>
                <w:tcPr>
                  <w:tcW w:w="506" w:type="pct"/>
                  <w:vMerge w:val="restart"/>
                  <w:tcBorders>
                    <w:tl2br w:val="nil"/>
                    <w:tr2bl w:val="nil"/>
                  </w:tcBorders>
                  <w:vAlign w:val="center"/>
                </w:tcPr>
                <w:p>
                  <w:pPr>
                    <w:adjustRightInd w:val="0"/>
                    <w:snapToGrid w:val="0"/>
                    <w:jc w:val="center"/>
                    <w:rPr>
                      <w:rFonts w:cs="Times New Roman"/>
                      <w:sz w:val="21"/>
                      <w:szCs w:val="21"/>
                    </w:rPr>
                  </w:pPr>
                  <w:r>
                    <w:rPr>
                      <w:rFonts w:cs="Times New Roman"/>
                      <w:sz w:val="21"/>
                      <w:szCs w:val="21"/>
                    </w:rPr>
                    <w:t>无组织排放</w:t>
                  </w:r>
                </w:p>
              </w:tc>
              <w:tc>
                <w:tcPr>
                  <w:tcW w:w="456" w:type="pct"/>
                  <w:tcBorders>
                    <w:tl2br w:val="nil"/>
                    <w:tr2bl w:val="nil"/>
                  </w:tcBorders>
                  <w:vAlign w:val="center"/>
                </w:tcPr>
                <w:p>
                  <w:pPr>
                    <w:adjustRightInd w:val="0"/>
                    <w:snapToGrid w:val="0"/>
                    <w:jc w:val="center"/>
                    <w:rPr>
                      <w:rFonts w:cs="Times New Roman"/>
                      <w:sz w:val="21"/>
                      <w:szCs w:val="21"/>
                    </w:rPr>
                  </w:pPr>
                  <w:r>
                    <w:rPr>
                      <w:rFonts w:cs="Times New Roman"/>
                      <w:sz w:val="21"/>
                      <w:szCs w:val="21"/>
                    </w:rPr>
                    <w:t>NH</w:t>
                  </w:r>
                  <w:r>
                    <w:rPr>
                      <w:rFonts w:cs="Times New Roman"/>
                      <w:sz w:val="21"/>
                      <w:szCs w:val="21"/>
                      <w:vertAlign w:val="subscript"/>
                    </w:rPr>
                    <w:t>3</w:t>
                  </w:r>
                </w:p>
              </w:tc>
              <w:tc>
                <w:tcPr>
                  <w:tcW w:w="1071" w:type="pct"/>
                  <w:vMerge w:val="restart"/>
                  <w:tcBorders>
                    <w:tl2br w:val="nil"/>
                    <w:tr2bl w:val="nil"/>
                  </w:tcBorders>
                  <w:vAlign w:val="center"/>
                </w:tcPr>
                <w:p>
                  <w:pPr>
                    <w:adjustRightInd w:val="0"/>
                    <w:snapToGrid w:val="0"/>
                    <w:jc w:val="center"/>
                    <w:rPr>
                      <w:rFonts w:cs="Times New Roman"/>
                      <w:sz w:val="21"/>
                      <w:szCs w:val="21"/>
                    </w:rPr>
                  </w:pPr>
                  <w:r>
                    <w:rPr>
                      <w:rFonts w:cs="Times New Roman"/>
                      <w:sz w:val="21"/>
                      <w:szCs w:val="21"/>
                    </w:rPr>
                    <w:t>加强通风，产污点密闭，栽种吸污植物</w:t>
                  </w:r>
                </w:p>
              </w:tc>
              <w:tc>
                <w:tcPr>
                  <w:tcW w:w="1143" w:type="pct"/>
                  <w:vMerge w:val="restart"/>
                  <w:tcBorders>
                    <w:tl2br w:val="nil"/>
                    <w:tr2bl w:val="nil"/>
                  </w:tcBorders>
                  <w:vAlign w:val="center"/>
                </w:tcPr>
                <w:p>
                  <w:pPr>
                    <w:adjustRightInd w:val="0"/>
                    <w:snapToGrid w:val="0"/>
                    <w:jc w:val="center"/>
                    <w:rPr>
                      <w:rFonts w:cs="Times New Roman"/>
                      <w:sz w:val="21"/>
                      <w:szCs w:val="21"/>
                    </w:rPr>
                  </w:pPr>
                  <w:r>
                    <w:rPr>
                      <w:rFonts w:cs="Times New Roman"/>
                      <w:sz w:val="21"/>
                      <w:szCs w:val="21"/>
                    </w:rPr>
                    <w:t>《恶臭污染物排放标准》（GB14554-93）中二级标准</w:t>
                  </w:r>
                </w:p>
              </w:tc>
              <w:tc>
                <w:tcPr>
                  <w:tcW w:w="853" w:type="pct"/>
                  <w:tcBorders>
                    <w:tl2br w:val="nil"/>
                    <w:tr2bl w:val="nil"/>
                  </w:tcBorders>
                  <w:vAlign w:val="center"/>
                </w:tcPr>
                <w:p>
                  <w:pPr>
                    <w:adjustRightInd w:val="0"/>
                    <w:snapToGrid w:val="0"/>
                    <w:jc w:val="center"/>
                    <w:rPr>
                      <w:rFonts w:cs="Times New Roman"/>
                      <w:sz w:val="21"/>
                      <w:szCs w:val="21"/>
                    </w:rPr>
                  </w:pPr>
                  <w:r>
                    <w:rPr>
                      <w:rFonts w:cs="Times New Roman"/>
                      <w:kern w:val="0"/>
                      <w:sz w:val="21"/>
                      <w:szCs w:val="21"/>
                    </w:rPr>
                    <w:t>1.5</w:t>
                  </w:r>
                  <w:r>
                    <w:rPr>
                      <w:rFonts w:cs="Times New Roman"/>
                      <w:sz w:val="21"/>
                      <w:szCs w:val="21"/>
                    </w:rPr>
                    <w:t>mg/m</w:t>
                  </w:r>
                  <w:r>
                    <w:rPr>
                      <w:rFonts w:cs="Times New Roman"/>
                      <w:sz w:val="21"/>
                      <w:szCs w:val="21"/>
                      <w:vertAlign w:val="superscript"/>
                    </w:rPr>
                    <w:t>3</w:t>
                  </w:r>
                </w:p>
              </w:tc>
              <w:tc>
                <w:tcPr>
                  <w:tcW w:w="971" w:type="pct"/>
                  <w:tcBorders>
                    <w:tl2br w:val="nil"/>
                    <w:tr2bl w:val="nil"/>
                  </w:tcBorders>
                  <w:vAlign w:val="center"/>
                </w:tcPr>
                <w:p>
                  <w:pPr>
                    <w:jc w:val="center"/>
                    <w:textAlignment w:val="center"/>
                    <w:rPr>
                      <w:rFonts w:cs="Times New Roman"/>
                      <w:sz w:val="21"/>
                      <w:szCs w:val="21"/>
                    </w:rPr>
                  </w:pPr>
                  <w:r>
                    <w:rPr>
                      <w:rFonts w:hAnsi="宋体"/>
                      <w:sz w:val="21"/>
                      <w:szCs w:val="21"/>
                    </w:rPr>
                    <w:t>0.004t/a</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9" w:hRule="atLeast"/>
                <w:jc w:val="center"/>
              </w:trPr>
              <w:tc>
                <w:tcPr>
                  <w:tcW w:w="506" w:type="pct"/>
                  <w:vMerge w:val="continue"/>
                  <w:tcBorders>
                    <w:tl2br w:val="nil"/>
                    <w:tr2bl w:val="nil"/>
                  </w:tcBorders>
                  <w:vAlign w:val="center"/>
                </w:tcPr>
                <w:p>
                  <w:pPr>
                    <w:adjustRightInd w:val="0"/>
                    <w:snapToGrid w:val="0"/>
                    <w:jc w:val="center"/>
                    <w:rPr>
                      <w:rFonts w:cs="Times New Roman"/>
                      <w:sz w:val="21"/>
                      <w:szCs w:val="21"/>
                    </w:rPr>
                  </w:pPr>
                </w:p>
              </w:tc>
              <w:tc>
                <w:tcPr>
                  <w:tcW w:w="456" w:type="pct"/>
                  <w:tcBorders>
                    <w:tl2br w:val="nil"/>
                    <w:tr2bl w:val="nil"/>
                  </w:tcBorders>
                  <w:vAlign w:val="center"/>
                </w:tcPr>
                <w:p>
                  <w:pPr>
                    <w:adjustRightInd w:val="0"/>
                    <w:snapToGrid w:val="0"/>
                    <w:jc w:val="center"/>
                    <w:rPr>
                      <w:rFonts w:cs="Times New Roman"/>
                      <w:sz w:val="21"/>
                      <w:szCs w:val="21"/>
                    </w:rPr>
                  </w:pPr>
                  <w:r>
                    <w:rPr>
                      <w:rFonts w:cs="Times New Roman"/>
                      <w:sz w:val="21"/>
                      <w:szCs w:val="21"/>
                    </w:rPr>
                    <w:t>H</w:t>
                  </w:r>
                  <w:r>
                    <w:rPr>
                      <w:rFonts w:cs="Times New Roman"/>
                      <w:sz w:val="21"/>
                      <w:szCs w:val="21"/>
                      <w:vertAlign w:val="subscript"/>
                    </w:rPr>
                    <w:t>2</w:t>
                  </w:r>
                  <w:r>
                    <w:rPr>
                      <w:rFonts w:cs="Times New Roman"/>
                      <w:sz w:val="21"/>
                      <w:szCs w:val="21"/>
                    </w:rPr>
                    <w:t>S</w:t>
                  </w:r>
                </w:p>
              </w:tc>
              <w:tc>
                <w:tcPr>
                  <w:tcW w:w="1071" w:type="pct"/>
                  <w:vMerge w:val="continue"/>
                  <w:tcBorders>
                    <w:tl2br w:val="nil"/>
                    <w:tr2bl w:val="nil"/>
                  </w:tcBorders>
                  <w:vAlign w:val="center"/>
                </w:tcPr>
                <w:p>
                  <w:pPr>
                    <w:adjustRightInd w:val="0"/>
                    <w:snapToGrid w:val="0"/>
                    <w:jc w:val="center"/>
                    <w:rPr>
                      <w:rFonts w:cs="Times New Roman"/>
                      <w:sz w:val="21"/>
                      <w:szCs w:val="21"/>
                    </w:rPr>
                  </w:pPr>
                </w:p>
              </w:tc>
              <w:tc>
                <w:tcPr>
                  <w:tcW w:w="1143" w:type="pct"/>
                  <w:vMerge w:val="continue"/>
                  <w:tcBorders>
                    <w:tl2br w:val="nil"/>
                    <w:tr2bl w:val="nil"/>
                  </w:tcBorders>
                  <w:vAlign w:val="center"/>
                </w:tcPr>
                <w:p>
                  <w:pPr>
                    <w:adjustRightInd w:val="0"/>
                    <w:snapToGrid w:val="0"/>
                    <w:jc w:val="center"/>
                    <w:rPr>
                      <w:rFonts w:cs="Times New Roman"/>
                      <w:sz w:val="21"/>
                      <w:szCs w:val="21"/>
                    </w:rPr>
                  </w:pPr>
                </w:p>
              </w:tc>
              <w:tc>
                <w:tcPr>
                  <w:tcW w:w="853" w:type="pct"/>
                  <w:tcBorders>
                    <w:tl2br w:val="nil"/>
                    <w:tr2bl w:val="nil"/>
                  </w:tcBorders>
                  <w:vAlign w:val="center"/>
                </w:tcPr>
                <w:p>
                  <w:pPr>
                    <w:adjustRightInd w:val="0"/>
                    <w:snapToGrid w:val="0"/>
                    <w:jc w:val="center"/>
                    <w:rPr>
                      <w:rFonts w:cs="Times New Roman"/>
                      <w:sz w:val="21"/>
                      <w:szCs w:val="21"/>
                    </w:rPr>
                  </w:pPr>
                  <w:r>
                    <w:rPr>
                      <w:rFonts w:cs="Times New Roman"/>
                      <w:kern w:val="0"/>
                      <w:sz w:val="21"/>
                      <w:szCs w:val="21"/>
                    </w:rPr>
                    <w:t>0.06</w:t>
                  </w:r>
                  <w:r>
                    <w:rPr>
                      <w:rFonts w:cs="Times New Roman"/>
                      <w:sz w:val="21"/>
                      <w:szCs w:val="21"/>
                    </w:rPr>
                    <w:t>mg/m</w:t>
                  </w:r>
                  <w:r>
                    <w:rPr>
                      <w:rFonts w:cs="Times New Roman"/>
                      <w:sz w:val="21"/>
                      <w:szCs w:val="21"/>
                      <w:vertAlign w:val="superscript"/>
                    </w:rPr>
                    <w:t>3</w:t>
                  </w:r>
                </w:p>
              </w:tc>
              <w:tc>
                <w:tcPr>
                  <w:tcW w:w="971" w:type="pct"/>
                  <w:tcBorders>
                    <w:tl2br w:val="nil"/>
                    <w:tr2bl w:val="nil"/>
                  </w:tcBorders>
                  <w:vAlign w:val="center"/>
                </w:tcPr>
                <w:p>
                  <w:pPr>
                    <w:widowControl/>
                    <w:jc w:val="center"/>
                    <w:textAlignment w:val="center"/>
                    <w:rPr>
                      <w:rFonts w:cs="Times New Roman"/>
                      <w:sz w:val="21"/>
                      <w:szCs w:val="21"/>
                    </w:rPr>
                  </w:pPr>
                  <w:r>
                    <w:rPr>
                      <w:rFonts w:hint="eastAsia" w:hAnsi="宋体"/>
                      <w:sz w:val="21"/>
                      <w:szCs w:val="21"/>
                    </w:rPr>
                    <w:t>0.0</w:t>
                  </w:r>
                  <w:r>
                    <w:rPr>
                      <w:rFonts w:hAnsi="宋体"/>
                      <w:sz w:val="21"/>
                      <w:szCs w:val="21"/>
                    </w:rPr>
                    <w:t>004t/a</w:t>
                  </w:r>
                </w:p>
              </w:tc>
            </w:tr>
          </w:tbl>
          <w:p>
            <w:pPr>
              <w:pStyle w:val="85"/>
              <w:rPr>
                <w:rFonts w:cs="Times New Roman"/>
              </w:rPr>
            </w:pPr>
            <w:r>
              <w:rPr>
                <w:rFonts w:ascii="Times New Roman" w:hAnsi="Times New Roman" w:cs="Times New Roman"/>
              </w:rPr>
              <w:t>2、营运</w:t>
            </w:r>
            <w:r>
              <w:rPr>
                <w:rFonts w:cs="Times New Roman"/>
              </w:rPr>
              <w:t>期水环境影响分析</w:t>
            </w:r>
          </w:p>
          <w:p>
            <w:pPr>
              <w:adjustRightInd w:val="0"/>
              <w:snapToGrid w:val="0"/>
              <w:spacing w:line="360" w:lineRule="auto"/>
              <w:ind w:firstLine="480" w:firstLineChars="200"/>
              <w:rPr>
                <w:rFonts w:cs="Times New Roman"/>
              </w:rPr>
            </w:pPr>
            <w:r>
              <w:rPr>
                <w:rFonts w:cs="Times New Roman"/>
              </w:rPr>
              <w:t>（1）地表水环境影响分析</w:t>
            </w:r>
          </w:p>
          <w:p>
            <w:pPr>
              <w:adjustRightInd w:val="0"/>
              <w:snapToGrid w:val="0"/>
              <w:spacing w:line="360" w:lineRule="auto"/>
              <w:ind w:firstLine="480" w:firstLineChars="200"/>
            </w:pPr>
            <w:r>
              <w:t>本</w:t>
            </w:r>
            <w:r>
              <w:rPr>
                <w:rFonts w:hint="eastAsia"/>
              </w:rPr>
              <w:t>项目一体化设施的</w:t>
            </w:r>
            <w:r>
              <w:t>处理规模为100m</w:t>
            </w:r>
            <w:r>
              <w:rPr>
                <w:vertAlign w:val="superscript"/>
              </w:rPr>
              <w:t>3</w:t>
            </w:r>
            <w:r>
              <w:t>/d，经处理达到</w:t>
            </w:r>
            <w:r>
              <w:rPr>
                <w:rFonts w:hint="eastAsia"/>
              </w:rPr>
              <w:t>《农村生活污水处理设施水污染物排放标准》（DB51/2626-2019）一级标准后</w:t>
            </w:r>
            <w:r>
              <w:t>排入</w:t>
            </w:r>
            <w:r>
              <w:rPr>
                <w:rFonts w:hint="eastAsia"/>
              </w:rPr>
              <w:t>大渡河</w:t>
            </w:r>
            <w:r>
              <w:t>。</w:t>
            </w:r>
          </w:p>
          <w:p>
            <w:pPr>
              <w:adjustRightInd w:val="0"/>
              <w:snapToGrid w:val="0"/>
              <w:spacing w:line="360" w:lineRule="auto"/>
              <w:ind w:firstLine="480" w:firstLineChars="200"/>
            </w:pPr>
            <w:r>
              <w:t>（2）尾水排放预测分析</w:t>
            </w:r>
          </w:p>
          <w:p>
            <w:pPr>
              <w:widowControl/>
              <w:adjustRightInd w:val="0"/>
              <w:snapToGrid w:val="0"/>
              <w:spacing w:line="360" w:lineRule="auto"/>
              <w:ind w:firstLine="480" w:firstLineChars="200"/>
              <w:jc w:val="left"/>
              <w:rPr>
                <w:kern w:val="0"/>
                <w:lang w:bidi="ar"/>
              </w:rPr>
            </w:pPr>
            <w:r>
              <w:rPr>
                <w:kern w:val="0"/>
                <w:lang w:bidi="ar"/>
              </w:rPr>
              <w:t>本项目受纳水体为</w:t>
            </w:r>
            <w:r>
              <w:rPr>
                <w:rFonts w:hint="eastAsia"/>
              </w:rPr>
              <w:t>大渡河</w:t>
            </w:r>
            <w:r>
              <w:rPr>
                <w:kern w:val="0"/>
                <w:lang w:bidi="ar"/>
              </w:rPr>
              <w:t>，位于污水站</w:t>
            </w:r>
            <w:r>
              <w:rPr>
                <w:rFonts w:hint="eastAsia"/>
                <w:kern w:val="0"/>
                <w:lang w:bidi="ar"/>
              </w:rPr>
              <w:t>东</w:t>
            </w:r>
            <w:r>
              <w:rPr>
                <w:kern w:val="0"/>
                <w:lang w:bidi="ar"/>
              </w:rPr>
              <w:t>侧。根据《环境影响评价技术导则地表水环境》(HJ2.3—2018)，水污染影响型建设项目评价等级判定见下表。</w:t>
            </w:r>
          </w:p>
          <w:p>
            <w:pPr>
              <w:adjustRightInd w:val="0"/>
              <w:snapToGrid w:val="0"/>
              <w:spacing w:line="360" w:lineRule="auto"/>
              <w:jc w:val="center"/>
              <w:rPr>
                <w:rFonts w:eastAsia="黑体"/>
                <w:bCs/>
              </w:rPr>
            </w:pPr>
            <w:r>
              <w:rPr>
                <w:rFonts w:cs="Times New Roman"/>
                <w:b/>
                <w:szCs w:val="24"/>
              </w:rPr>
              <w:t>表7-15</w:t>
            </w:r>
            <w:r>
              <w:rPr>
                <w:rFonts w:eastAsia="黑体"/>
                <w:bCs/>
              </w:rPr>
              <w:t xml:space="preserve">  </w:t>
            </w:r>
            <w:r>
              <w:rPr>
                <w:rFonts w:cs="Times New Roman"/>
                <w:b/>
                <w:szCs w:val="24"/>
              </w:rPr>
              <w:t>水污染影响型建设项目评价等级判定</w:t>
            </w:r>
          </w:p>
          <w:tbl>
            <w:tblPr>
              <w:tblStyle w:val="30"/>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1"/>
              <w:gridCol w:w="1827"/>
              <w:gridCol w:w="3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1" w:type="dxa"/>
                  <w:vMerge w:val="restart"/>
                  <w:vAlign w:val="center"/>
                </w:tcPr>
                <w:p>
                  <w:pPr>
                    <w:widowControl/>
                    <w:adjustRightInd w:val="0"/>
                    <w:snapToGrid w:val="0"/>
                    <w:jc w:val="center"/>
                    <w:rPr>
                      <w:kern w:val="0"/>
                      <w:lang w:bidi="ar"/>
                    </w:rPr>
                  </w:pPr>
                  <w:r>
                    <w:rPr>
                      <w:kern w:val="0"/>
                      <w:sz w:val="21"/>
                      <w:szCs w:val="21"/>
                      <w:lang w:bidi="ar"/>
                    </w:rPr>
                    <w:t>评价等级</w:t>
                  </w:r>
                </w:p>
              </w:tc>
              <w:tc>
                <w:tcPr>
                  <w:tcW w:w="5591" w:type="dxa"/>
                  <w:gridSpan w:val="2"/>
                  <w:vAlign w:val="center"/>
                </w:tcPr>
                <w:p>
                  <w:pPr>
                    <w:widowControl/>
                    <w:adjustRightInd w:val="0"/>
                    <w:snapToGrid w:val="0"/>
                    <w:jc w:val="center"/>
                    <w:rPr>
                      <w:kern w:val="0"/>
                      <w:lang w:bidi="ar"/>
                    </w:rPr>
                  </w:pPr>
                  <w:r>
                    <w:rPr>
                      <w:kern w:val="0"/>
                      <w:sz w:val="21"/>
                      <w:szCs w:val="21"/>
                      <w:lang w:bidi="ar"/>
                    </w:rPr>
                    <w:t>判定依据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11" w:type="dxa"/>
                  <w:vMerge w:val="continue"/>
                  <w:vAlign w:val="center"/>
                </w:tcPr>
                <w:p>
                  <w:pPr>
                    <w:pStyle w:val="29"/>
                    <w:adjustRightInd w:val="0"/>
                    <w:snapToGrid w:val="0"/>
                    <w:spacing w:after="0"/>
                    <w:ind w:left="480" w:firstLine="480"/>
                    <w:jc w:val="center"/>
                    <w:rPr>
                      <w:sz w:val="24"/>
                      <w:lang w:bidi="ar"/>
                    </w:rPr>
                  </w:pPr>
                </w:p>
              </w:tc>
              <w:tc>
                <w:tcPr>
                  <w:tcW w:w="1827" w:type="dxa"/>
                  <w:vAlign w:val="center"/>
                </w:tcPr>
                <w:p>
                  <w:pPr>
                    <w:widowControl/>
                    <w:adjustRightInd w:val="0"/>
                    <w:snapToGrid w:val="0"/>
                    <w:jc w:val="center"/>
                    <w:rPr>
                      <w:kern w:val="0"/>
                      <w:lang w:bidi="ar"/>
                    </w:rPr>
                  </w:pPr>
                  <w:r>
                    <w:rPr>
                      <w:kern w:val="0"/>
                      <w:sz w:val="21"/>
                      <w:szCs w:val="21"/>
                      <w:lang w:bidi="ar"/>
                    </w:rPr>
                    <w:t>排放方式</w:t>
                  </w:r>
                </w:p>
              </w:tc>
              <w:tc>
                <w:tcPr>
                  <w:tcW w:w="3764" w:type="dxa"/>
                  <w:vAlign w:val="center"/>
                </w:tcPr>
                <w:p>
                  <w:pPr>
                    <w:widowControl/>
                    <w:adjustRightInd w:val="0"/>
                    <w:snapToGrid w:val="0"/>
                    <w:jc w:val="center"/>
                    <w:rPr>
                      <w:kern w:val="0"/>
                      <w:lang w:bidi="ar"/>
                    </w:rPr>
                  </w:pPr>
                  <w:r>
                    <w:rPr>
                      <w:kern w:val="0"/>
                      <w:sz w:val="21"/>
                      <w:szCs w:val="21"/>
                      <w:lang w:bidi="ar"/>
                    </w:rPr>
                    <w:t>废水排放量Q（m</w:t>
                  </w:r>
                  <w:r>
                    <w:rPr>
                      <w:kern w:val="0"/>
                      <w:sz w:val="21"/>
                      <w:szCs w:val="21"/>
                      <w:vertAlign w:val="superscript"/>
                      <w:lang w:bidi="ar"/>
                    </w:rPr>
                    <w:t>3</w:t>
                  </w:r>
                  <w:r>
                    <w:rPr>
                      <w:kern w:val="0"/>
                      <w:sz w:val="21"/>
                      <w:szCs w:val="21"/>
                      <w:lang w:bidi="ar"/>
                    </w:rPr>
                    <w:t>/d）；水污染当量W/无量纲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1" w:type="dxa"/>
                  <w:vAlign w:val="center"/>
                </w:tcPr>
                <w:p>
                  <w:pPr>
                    <w:widowControl/>
                    <w:adjustRightInd w:val="0"/>
                    <w:snapToGrid w:val="0"/>
                    <w:jc w:val="center"/>
                    <w:rPr>
                      <w:kern w:val="0"/>
                      <w:lang w:bidi="ar"/>
                    </w:rPr>
                  </w:pPr>
                  <w:r>
                    <w:rPr>
                      <w:kern w:val="0"/>
                      <w:sz w:val="21"/>
                      <w:szCs w:val="21"/>
                      <w:lang w:bidi="ar"/>
                    </w:rPr>
                    <w:t>一级</w:t>
                  </w:r>
                </w:p>
              </w:tc>
              <w:tc>
                <w:tcPr>
                  <w:tcW w:w="1827" w:type="dxa"/>
                  <w:vAlign w:val="center"/>
                </w:tcPr>
                <w:p>
                  <w:pPr>
                    <w:widowControl/>
                    <w:adjustRightInd w:val="0"/>
                    <w:snapToGrid w:val="0"/>
                    <w:jc w:val="center"/>
                    <w:rPr>
                      <w:kern w:val="0"/>
                      <w:lang w:bidi="ar"/>
                    </w:rPr>
                  </w:pPr>
                  <w:r>
                    <w:rPr>
                      <w:kern w:val="0"/>
                      <w:sz w:val="21"/>
                      <w:szCs w:val="21"/>
                      <w:lang w:bidi="ar"/>
                    </w:rPr>
                    <w:t>直接排放</w:t>
                  </w:r>
                </w:p>
              </w:tc>
              <w:tc>
                <w:tcPr>
                  <w:tcW w:w="3764" w:type="dxa"/>
                  <w:vAlign w:val="center"/>
                </w:tcPr>
                <w:p>
                  <w:pPr>
                    <w:pStyle w:val="29"/>
                    <w:adjustRightInd w:val="0"/>
                    <w:snapToGrid w:val="0"/>
                    <w:spacing w:after="0"/>
                    <w:ind w:left="480"/>
                    <w:rPr>
                      <w:sz w:val="24"/>
                      <w:lang w:bidi="ar"/>
                    </w:rPr>
                  </w:pPr>
                  <w:r>
                    <w:rPr>
                      <w:szCs w:val="21"/>
                      <w:lang w:bidi="ar"/>
                    </w:rPr>
                    <w:t>Q≥20000或W≥600000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11" w:type="dxa"/>
                  <w:vAlign w:val="center"/>
                </w:tcPr>
                <w:p>
                  <w:pPr>
                    <w:widowControl/>
                    <w:adjustRightInd w:val="0"/>
                    <w:snapToGrid w:val="0"/>
                    <w:jc w:val="center"/>
                    <w:rPr>
                      <w:kern w:val="0"/>
                      <w:lang w:bidi="ar"/>
                    </w:rPr>
                  </w:pPr>
                  <w:r>
                    <w:rPr>
                      <w:kern w:val="0"/>
                      <w:sz w:val="21"/>
                      <w:szCs w:val="21"/>
                      <w:lang w:bidi="ar"/>
                    </w:rPr>
                    <w:t>二级</w:t>
                  </w:r>
                </w:p>
              </w:tc>
              <w:tc>
                <w:tcPr>
                  <w:tcW w:w="1827" w:type="dxa"/>
                  <w:vAlign w:val="center"/>
                </w:tcPr>
                <w:p>
                  <w:pPr>
                    <w:widowControl/>
                    <w:adjustRightInd w:val="0"/>
                    <w:snapToGrid w:val="0"/>
                    <w:jc w:val="center"/>
                    <w:rPr>
                      <w:kern w:val="0"/>
                      <w:lang w:bidi="ar"/>
                    </w:rPr>
                  </w:pPr>
                  <w:r>
                    <w:rPr>
                      <w:kern w:val="0"/>
                      <w:sz w:val="21"/>
                      <w:szCs w:val="21"/>
                      <w:lang w:bidi="ar"/>
                    </w:rPr>
                    <w:t>直接排放</w:t>
                  </w:r>
                </w:p>
              </w:tc>
              <w:tc>
                <w:tcPr>
                  <w:tcW w:w="3764" w:type="dxa"/>
                  <w:vAlign w:val="center"/>
                </w:tcPr>
                <w:p>
                  <w:pPr>
                    <w:widowControl/>
                    <w:adjustRightInd w:val="0"/>
                    <w:snapToGrid w:val="0"/>
                    <w:jc w:val="center"/>
                    <w:rPr>
                      <w:kern w:val="0"/>
                      <w:lang w:bidi="ar"/>
                    </w:rPr>
                  </w:pPr>
                  <w:r>
                    <w:rPr>
                      <w:kern w:val="0"/>
                      <w:sz w:val="21"/>
                      <w:szCs w:val="21"/>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1" w:type="dxa"/>
                  <w:vAlign w:val="center"/>
                </w:tcPr>
                <w:p>
                  <w:pPr>
                    <w:widowControl/>
                    <w:adjustRightInd w:val="0"/>
                    <w:snapToGrid w:val="0"/>
                    <w:jc w:val="center"/>
                    <w:rPr>
                      <w:kern w:val="0"/>
                      <w:lang w:bidi="ar"/>
                    </w:rPr>
                  </w:pPr>
                  <w:r>
                    <w:rPr>
                      <w:kern w:val="0"/>
                      <w:sz w:val="21"/>
                      <w:szCs w:val="21"/>
                      <w:lang w:bidi="ar"/>
                    </w:rPr>
                    <w:t>三级A</w:t>
                  </w:r>
                </w:p>
              </w:tc>
              <w:tc>
                <w:tcPr>
                  <w:tcW w:w="1827" w:type="dxa"/>
                  <w:vAlign w:val="center"/>
                </w:tcPr>
                <w:p>
                  <w:pPr>
                    <w:widowControl/>
                    <w:adjustRightInd w:val="0"/>
                    <w:snapToGrid w:val="0"/>
                    <w:jc w:val="center"/>
                    <w:rPr>
                      <w:kern w:val="0"/>
                      <w:lang w:bidi="ar"/>
                    </w:rPr>
                  </w:pPr>
                  <w:r>
                    <w:rPr>
                      <w:kern w:val="0"/>
                      <w:sz w:val="21"/>
                      <w:szCs w:val="21"/>
                      <w:lang w:bidi="ar"/>
                    </w:rPr>
                    <w:t>直接排放</w:t>
                  </w:r>
                </w:p>
              </w:tc>
              <w:tc>
                <w:tcPr>
                  <w:tcW w:w="3764" w:type="dxa"/>
                  <w:vAlign w:val="center"/>
                </w:tcPr>
                <w:p>
                  <w:pPr>
                    <w:widowControl/>
                    <w:adjustRightInd w:val="0"/>
                    <w:snapToGrid w:val="0"/>
                    <w:jc w:val="center"/>
                    <w:rPr>
                      <w:kern w:val="0"/>
                      <w:lang w:bidi="ar"/>
                    </w:rPr>
                  </w:pPr>
                  <w:r>
                    <w:rPr>
                      <w:kern w:val="0"/>
                      <w:sz w:val="21"/>
                      <w:szCs w:val="21"/>
                      <w:lang w:bidi="ar"/>
                    </w:rPr>
                    <w:t>Q&lt;200且W&lt;6000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11" w:type="dxa"/>
                  <w:vAlign w:val="center"/>
                </w:tcPr>
                <w:p>
                  <w:pPr>
                    <w:widowControl/>
                    <w:adjustRightInd w:val="0"/>
                    <w:snapToGrid w:val="0"/>
                    <w:jc w:val="center"/>
                    <w:rPr>
                      <w:kern w:val="0"/>
                      <w:lang w:bidi="ar"/>
                    </w:rPr>
                  </w:pPr>
                  <w:r>
                    <w:rPr>
                      <w:kern w:val="0"/>
                      <w:sz w:val="21"/>
                      <w:szCs w:val="21"/>
                      <w:lang w:bidi="ar"/>
                    </w:rPr>
                    <w:t>三级B</w:t>
                  </w:r>
                </w:p>
              </w:tc>
              <w:tc>
                <w:tcPr>
                  <w:tcW w:w="1827" w:type="dxa"/>
                  <w:vAlign w:val="center"/>
                </w:tcPr>
                <w:p>
                  <w:pPr>
                    <w:widowControl/>
                    <w:adjustRightInd w:val="0"/>
                    <w:snapToGrid w:val="0"/>
                    <w:jc w:val="center"/>
                    <w:rPr>
                      <w:kern w:val="0"/>
                      <w:lang w:bidi="ar"/>
                    </w:rPr>
                  </w:pPr>
                  <w:r>
                    <w:rPr>
                      <w:kern w:val="0"/>
                      <w:sz w:val="21"/>
                      <w:szCs w:val="21"/>
                      <w:lang w:bidi="ar"/>
                    </w:rPr>
                    <w:t>间接排放</w:t>
                  </w:r>
                </w:p>
              </w:tc>
              <w:tc>
                <w:tcPr>
                  <w:tcW w:w="3764" w:type="dxa"/>
                  <w:vAlign w:val="center"/>
                </w:tcPr>
                <w:p>
                  <w:pPr>
                    <w:widowControl/>
                    <w:adjustRightInd w:val="0"/>
                    <w:snapToGrid w:val="0"/>
                    <w:jc w:val="center"/>
                    <w:rPr>
                      <w:kern w:val="0"/>
                      <w:lang w:bidi="ar"/>
                    </w:rPr>
                  </w:pPr>
                  <w:r>
                    <w:rPr>
                      <w:kern w:val="0"/>
                      <w:sz w:val="21"/>
                      <w:szCs w:val="21"/>
                      <w:lang w:bidi="ar"/>
                    </w:rPr>
                    <w:t>——</w:t>
                  </w:r>
                </w:p>
              </w:tc>
            </w:tr>
          </w:tbl>
          <w:p>
            <w:pPr>
              <w:adjustRightInd w:val="0"/>
              <w:snapToGrid w:val="0"/>
              <w:spacing w:line="360" w:lineRule="auto"/>
              <w:ind w:firstLine="480" w:firstLineChars="200"/>
            </w:pPr>
            <w:r>
              <w:t>根据《环境影响评价技术导则地表水环境》(HJ2.3—2018)评价等级判定，因本项目尾水直接排放，Q&lt;200且W&lt;6000，因此，</w:t>
            </w:r>
            <w:r>
              <w:rPr>
                <w:b/>
                <w:bCs/>
              </w:rPr>
              <w:t>本项目地表水环境评价等级为三级A</w:t>
            </w:r>
            <w:r>
              <w:t>，评价时期为枯水期。故水污染物预测如下。</w:t>
            </w:r>
          </w:p>
          <w:p>
            <w:pPr>
              <w:adjustRightInd w:val="0"/>
              <w:snapToGrid w:val="0"/>
              <w:spacing w:line="360" w:lineRule="auto"/>
              <w:ind w:firstLine="480" w:firstLineChars="200"/>
            </w:pPr>
            <w:r>
              <w:t>（3）评价河段水域功能与水质保护目标调查</w:t>
            </w:r>
          </w:p>
          <w:p>
            <w:pPr>
              <w:widowControl/>
              <w:adjustRightInd w:val="0"/>
              <w:snapToGrid w:val="0"/>
              <w:spacing w:line="360" w:lineRule="auto"/>
              <w:ind w:firstLine="480" w:firstLineChars="200"/>
              <w:jc w:val="left"/>
            </w:pPr>
            <w:r>
              <w:rPr>
                <w:kern w:val="0"/>
                <w:lang w:bidi="ar"/>
              </w:rPr>
              <w:t>结合我国河流具体情况，按计算河段的多年平均流量Q将计算河段划分为以下三种类型：</w:t>
            </w:r>
          </w:p>
          <w:p>
            <w:pPr>
              <w:widowControl/>
              <w:adjustRightInd w:val="0"/>
              <w:snapToGrid w:val="0"/>
              <w:spacing w:line="360" w:lineRule="auto"/>
              <w:ind w:firstLine="480" w:firstLineChars="200"/>
              <w:jc w:val="left"/>
            </w:pPr>
            <w:r>
              <w:rPr>
                <w:kern w:val="0"/>
                <w:lang w:bidi="ar"/>
              </w:rPr>
              <w:t>——Q≥150m³/s的为大型河段；</w:t>
            </w:r>
          </w:p>
          <w:p>
            <w:pPr>
              <w:widowControl/>
              <w:adjustRightInd w:val="0"/>
              <w:snapToGrid w:val="0"/>
              <w:spacing w:line="360" w:lineRule="auto"/>
              <w:ind w:firstLine="480" w:firstLineChars="200"/>
              <w:jc w:val="left"/>
            </w:pPr>
            <w:r>
              <w:rPr>
                <w:kern w:val="0"/>
                <w:lang w:bidi="ar"/>
              </w:rPr>
              <w:t>——15m³/s＜Q＜150m³/s的为中型河段；</w:t>
            </w:r>
          </w:p>
          <w:p>
            <w:pPr>
              <w:widowControl/>
              <w:adjustRightInd w:val="0"/>
              <w:snapToGrid w:val="0"/>
              <w:spacing w:line="360" w:lineRule="auto"/>
              <w:ind w:firstLine="480" w:firstLineChars="200"/>
              <w:jc w:val="left"/>
            </w:pPr>
            <w:r>
              <w:rPr>
                <w:kern w:val="0"/>
                <w:lang w:bidi="ar"/>
              </w:rPr>
              <w:t>——Q≤15m³/s的为小型河段。</w:t>
            </w:r>
          </w:p>
          <w:p>
            <w:pPr>
              <w:adjustRightInd w:val="0"/>
              <w:snapToGrid w:val="0"/>
              <w:spacing w:line="360" w:lineRule="auto"/>
              <w:ind w:firstLine="480" w:firstLineChars="200"/>
            </w:pPr>
            <w:r>
              <w:rPr>
                <w:rFonts w:hint="eastAsia"/>
              </w:rPr>
              <w:t>大渡河</w:t>
            </w:r>
            <w:r>
              <w:rPr>
                <w:kern w:val="0"/>
                <w:lang w:bidi="ar"/>
              </w:rPr>
              <w:t>多年平均流量</w:t>
            </w:r>
            <w:r>
              <w:rPr>
                <w:rFonts w:hint="eastAsia"/>
                <w:kern w:val="0"/>
                <w:lang w:bidi="ar"/>
              </w:rPr>
              <w:t>约</w:t>
            </w:r>
            <w:r>
              <w:t>为1500</w:t>
            </w:r>
            <w:r>
              <w:rPr>
                <w:bCs/>
                <w:kern w:val="0"/>
                <w:sz w:val="21"/>
                <w:szCs w:val="21"/>
                <w:lang w:bidi="ar"/>
              </w:rPr>
              <w:t>m</w:t>
            </w:r>
            <w:r>
              <w:rPr>
                <w:bCs/>
                <w:kern w:val="0"/>
                <w:sz w:val="21"/>
                <w:szCs w:val="21"/>
                <w:vertAlign w:val="superscript"/>
                <w:lang w:bidi="ar"/>
              </w:rPr>
              <w:t>3</w:t>
            </w:r>
            <w:r>
              <w:rPr>
                <w:bCs/>
                <w:kern w:val="0"/>
                <w:sz w:val="21"/>
                <w:szCs w:val="21"/>
                <w:lang w:bidi="ar"/>
              </w:rPr>
              <w:t>/s</w:t>
            </w:r>
            <w:r>
              <w:rPr>
                <w:rFonts w:hint="eastAsia"/>
                <w:bCs/>
                <w:kern w:val="0"/>
                <w:sz w:val="21"/>
                <w:szCs w:val="21"/>
                <w:lang w:bidi="ar"/>
              </w:rPr>
              <w:t>，</w:t>
            </w:r>
            <w:r>
              <w:rPr>
                <w:kern w:val="0"/>
                <w:lang w:bidi="ar"/>
              </w:rPr>
              <w:t>划定</w:t>
            </w:r>
            <w:r>
              <w:rPr>
                <w:rFonts w:hint="eastAsia"/>
                <w:kern w:val="0"/>
                <w:lang w:bidi="ar"/>
              </w:rPr>
              <w:t>大渡河</w:t>
            </w:r>
            <w:r>
              <w:rPr>
                <w:kern w:val="0"/>
                <w:lang w:bidi="ar"/>
              </w:rPr>
              <w:t>为</w:t>
            </w:r>
            <w:r>
              <w:rPr>
                <w:rFonts w:hint="eastAsia"/>
                <w:kern w:val="0"/>
                <w:lang w:bidi="ar"/>
              </w:rPr>
              <w:t>大型</w:t>
            </w:r>
            <w:r>
              <w:rPr>
                <w:kern w:val="0"/>
                <w:lang w:bidi="ar"/>
              </w:rPr>
              <w:t>河段，水体功能为行洪和灌溉，</w:t>
            </w:r>
            <w:r>
              <w:rPr>
                <w:rFonts w:hint="eastAsia"/>
                <w:kern w:val="0"/>
                <w:lang w:bidi="ar"/>
              </w:rPr>
              <w:t>项目论证河段</w:t>
            </w:r>
            <w:r>
              <w:rPr>
                <w:kern w:val="0"/>
                <w:lang w:bidi="ar"/>
              </w:rPr>
              <w:t>不涉及重要水生生物的产卵场、索饵场、越冬场及洄游通道等。本项目排污口下游5km无集中式饮用水源取水点</w:t>
            </w:r>
            <w:r>
              <w:t>。</w:t>
            </w:r>
          </w:p>
          <w:p>
            <w:pPr>
              <w:adjustRightInd w:val="0"/>
              <w:snapToGrid w:val="0"/>
              <w:spacing w:line="360" w:lineRule="auto"/>
              <w:ind w:firstLine="480" w:firstLineChars="200"/>
              <w:rPr>
                <w:lang w:val="en-GB"/>
              </w:rPr>
            </w:pPr>
            <w:r>
              <w:rPr>
                <w:lang w:val="en-GB"/>
              </w:rPr>
              <w:t>（</w:t>
            </w:r>
            <w:r>
              <w:t>3</w:t>
            </w:r>
            <w:r>
              <w:rPr>
                <w:lang w:val="en-GB"/>
              </w:rPr>
              <w:t>）预测参数的选取</w:t>
            </w:r>
          </w:p>
          <w:p>
            <w:pPr>
              <w:widowControl/>
              <w:adjustRightInd w:val="0"/>
              <w:snapToGrid w:val="0"/>
              <w:spacing w:line="360" w:lineRule="auto"/>
              <w:ind w:firstLine="480" w:firstLineChars="200"/>
              <w:jc w:val="left"/>
            </w:pPr>
            <w:r>
              <w:rPr>
                <w:rFonts w:hint="eastAsia" w:ascii="宋体" w:hAnsi="宋体" w:cs="宋体"/>
                <w:kern w:val="0"/>
                <w:lang w:bidi="ar"/>
              </w:rPr>
              <w:t>①</w:t>
            </w:r>
            <w:r>
              <w:rPr>
                <w:kern w:val="0"/>
                <w:lang w:bidi="ar"/>
              </w:rPr>
              <w:t>水质降解参数参考值</w:t>
            </w:r>
          </w:p>
          <w:p>
            <w:pPr>
              <w:widowControl/>
              <w:adjustRightInd w:val="0"/>
              <w:snapToGrid w:val="0"/>
              <w:spacing w:line="360" w:lineRule="auto"/>
              <w:ind w:firstLine="480" w:firstLineChars="200"/>
            </w:pPr>
            <w:r>
              <w:rPr>
                <w:kern w:val="0"/>
                <w:lang w:bidi="ar"/>
              </w:rPr>
              <w:t>根据中国环境规划院在《全国地表水水环境容量核定技术复核要点》（2004年）提出的水质降解系数参考值。</w:t>
            </w:r>
          </w:p>
          <w:p>
            <w:pPr>
              <w:adjustRightInd w:val="0"/>
              <w:snapToGrid w:val="0"/>
              <w:spacing w:line="360" w:lineRule="auto"/>
              <w:jc w:val="center"/>
              <w:rPr>
                <w:rFonts w:cs="Times New Roman"/>
                <w:b/>
                <w:szCs w:val="24"/>
              </w:rPr>
            </w:pPr>
            <w:r>
              <w:rPr>
                <w:rFonts w:cs="Times New Roman"/>
                <w:b/>
                <w:szCs w:val="24"/>
              </w:rPr>
              <w:t>表7-16  水质降解系数参考值</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7"/>
              <w:gridCol w:w="1661"/>
              <w:gridCol w:w="1661"/>
              <w:gridCol w:w="1661"/>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57" w:type="dxa"/>
                  <w:vMerge w:val="restart"/>
                  <w:vAlign w:val="center"/>
                </w:tcPr>
                <w:p>
                  <w:pPr>
                    <w:widowControl/>
                    <w:jc w:val="center"/>
                    <w:rPr>
                      <w:b/>
                      <w:bCs/>
                      <w:sz w:val="21"/>
                      <w:szCs w:val="21"/>
                      <w:lang w:val="en-GB"/>
                    </w:rPr>
                  </w:pPr>
                  <w:r>
                    <w:rPr>
                      <w:b/>
                      <w:bCs/>
                      <w:kern w:val="0"/>
                      <w:sz w:val="21"/>
                      <w:szCs w:val="21"/>
                      <w:lang w:bidi="ar"/>
                    </w:rPr>
                    <w:t>水质及生态环境状况</w:t>
                  </w:r>
                </w:p>
              </w:tc>
              <w:tc>
                <w:tcPr>
                  <w:tcW w:w="6645" w:type="dxa"/>
                  <w:gridSpan w:val="4"/>
                  <w:vAlign w:val="center"/>
                </w:tcPr>
                <w:p>
                  <w:pPr>
                    <w:widowControl/>
                    <w:jc w:val="center"/>
                    <w:rPr>
                      <w:b/>
                      <w:bCs/>
                      <w:sz w:val="21"/>
                      <w:szCs w:val="21"/>
                      <w:lang w:val="en-GB"/>
                    </w:rPr>
                  </w:pPr>
                  <w:r>
                    <w:rPr>
                      <w:b/>
                      <w:bCs/>
                      <w:kern w:val="0"/>
                      <w:sz w:val="21"/>
                      <w:szCs w:val="21"/>
                      <w:lang w:bidi="ar"/>
                    </w:rPr>
                    <w:t>水质降解系数/d</w:t>
                  </w:r>
                  <w:r>
                    <w:rPr>
                      <w:b/>
                      <w:bCs/>
                      <w:kern w:val="0"/>
                      <w:sz w:val="21"/>
                      <w:szCs w:val="21"/>
                      <w:vertAlign w:val="superscript"/>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7" w:type="dxa"/>
                  <w:vMerge w:val="continue"/>
                  <w:vAlign w:val="center"/>
                </w:tcPr>
                <w:p>
                  <w:pPr>
                    <w:adjustRightInd w:val="0"/>
                    <w:snapToGrid w:val="0"/>
                    <w:spacing w:line="360" w:lineRule="auto"/>
                    <w:jc w:val="center"/>
                    <w:rPr>
                      <w:sz w:val="21"/>
                      <w:szCs w:val="21"/>
                      <w:lang w:val="en-GB"/>
                    </w:rPr>
                  </w:pPr>
                </w:p>
              </w:tc>
              <w:tc>
                <w:tcPr>
                  <w:tcW w:w="3322" w:type="dxa"/>
                  <w:gridSpan w:val="2"/>
                  <w:vAlign w:val="center"/>
                </w:tcPr>
                <w:p>
                  <w:pPr>
                    <w:adjustRightInd w:val="0"/>
                    <w:snapToGrid w:val="0"/>
                    <w:spacing w:line="360" w:lineRule="auto"/>
                    <w:jc w:val="center"/>
                    <w:rPr>
                      <w:sz w:val="21"/>
                      <w:szCs w:val="21"/>
                      <w:lang w:val="en-GB"/>
                    </w:rPr>
                  </w:pPr>
                  <w:r>
                    <w:rPr>
                      <w:kern w:val="0"/>
                      <w:sz w:val="21"/>
                      <w:szCs w:val="21"/>
                      <w:lang w:bidi="ar"/>
                    </w:rPr>
                    <w:t>CODcr</w:t>
                  </w:r>
                </w:p>
              </w:tc>
              <w:tc>
                <w:tcPr>
                  <w:tcW w:w="3323" w:type="dxa"/>
                  <w:gridSpan w:val="2"/>
                  <w:vAlign w:val="center"/>
                </w:tcPr>
                <w:p>
                  <w:pPr>
                    <w:widowControl/>
                    <w:jc w:val="center"/>
                    <w:rPr>
                      <w:sz w:val="21"/>
                      <w:szCs w:val="21"/>
                      <w:lang w:val="en-GB"/>
                    </w:rPr>
                  </w:pPr>
                  <w:r>
                    <w:rPr>
                      <w:kern w:val="0"/>
                      <w:sz w:val="21"/>
                      <w:szCs w:val="21"/>
                      <w:lang w:bidi="ar"/>
                    </w:rPr>
                    <w:t>NH</w:t>
                  </w:r>
                  <w:r>
                    <w:rPr>
                      <w:kern w:val="0"/>
                      <w:sz w:val="21"/>
                      <w:szCs w:val="21"/>
                      <w:vertAlign w:val="subscript"/>
                      <w:lang w:bidi="ar"/>
                    </w:rPr>
                    <w:t>3</w:t>
                  </w:r>
                  <w:r>
                    <w:rPr>
                      <w:kern w:val="0"/>
                      <w:sz w:val="21"/>
                      <w:szCs w:val="21"/>
                      <w:lang w:bidi="ar"/>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7" w:type="dxa"/>
                  <w:vMerge w:val="continue"/>
                  <w:vAlign w:val="center"/>
                </w:tcPr>
                <w:p>
                  <w:pPr>
                    <w:adjustRightInd w:val="0"/>
                    <w:snapToGrid w:val="0"/>
                    <w:spacing w:line="360" w:lineRule="auto"/>
                    <w:jc w:val="center"/>
                    <w:rPr>
                      <w:sz w:val="21"/>
                      <w:szCs w:val="21"/>
                      <w:lang w:val="en-GB"/>
                    </w:rPr>
                  </w:pPr>
                </w:p>
              </w:tc>
              <w:tc>
                <w:tcPr>
                  <w:tcW w:w="1661" w:type="dxa"/>
                  <w:vAlign w:val="center"/>
                </w:tcPr>
                <w:p>
                  <w:pPr>
                    <w:widowControl/>
                    <w:jc w:val="center"/>
                    <w:rPr>
                      <w:sz w:val="21"/>
                      <w:szCs w:val="21"/>
                      <w:lang w:val="en-GB"/>
                    </w:rPr>
                  </w:pPr>
                  <w:r>
                    <w:rPr>
                      <w:kern w:val="0"/>
                      <w:sz w:val="21"/>
                      <w:szCs w:val="21"/>
                      <w:lang w:bidi="ar"/>
                    </w:rPr>
                    <w:t>一般河道</w:t>
                  </w:r>
                </w:p>
              </w:tc>
              <w:tc>
                <w:tcPr>
                  <w:tcW w:w="1661" w:type="dxa"/>
                  <w:vAlign w:val="center"/>
                </w:tcPr>
                <w:p>
                  <w:pPr>
                    <w:widowControl/>
                    <w:jc w:val="center"/>
                    <w:rPr>
                      <w:sz w:val="21"/>
                      <w:szCs w:val="21"/>
                      <w:lang w:val="en-GB"/>
                    </w:rPr>
                  </w:pPr>
                  <w:r>
                    <w:rPr>
                      <w:kern w:val="0"/>
                      <w:sz w:val="21"/>
                      <w:szCs w:val="21"/>
                      <w:lang w:bidi="ar"/>
                    </w:rPr>
                    <w:t>湖泊水库</w:t>
                  </w:r>
                </w:p>
              </w:tc>
              <w:tc>
                <w:tcPr>
                  <w:tcW w:w="1661" w:type="dxa"/>
                  <w:vAlign w:val="center"/>
                </w:tcPr>
                <w:p>
                  <w:pPr>
                    <w:widowControl/>
                    <w:jc w:val="center"/>
                    <w:rPr>
                      <w:sz w:val="21"/>
                      <w:szCs w:val="21"/>
                      <w:lang w:val="en-GB"/>
                    </w:rPr>
                  </w:pPr>
                  <w:r>
                    <w:rPr>
                      <w:kern w:val="0"/>
                      <w:sz w:val="21"/>
                      <w:szCs w:val="21"/>
                      <w:lang w:bidi="ar"/>
                    </w:rPr>
                    <w:t>一般河道</w:t>
                  </w:r>
                </w:p>
              </w:tc>
              <w:tc>
                <w:tcPr>
                  <w:tcW w:w="1662" w:type="dxa"/>
                  <w:vAlign w:val="center"/>
                </w:tcPr>
                <w:p>
                  <w:pPr>
                    <w:widowControl/>
                    <w:jc w:val="center"/>
                    <w:rPr>
                      <w:sz w:val="21"/>
                      <w:szCs w:val="21"/>
                      <w:lang w:val="en-GB"/>
                    </w:rPr>
                  </w:pPr>
                  <w:r>
                    <w:rPr>
                      <w:kern w:val="0"/>
                      <w:sz w:val="21"/>
                      <w:szCs w:val="21"/>
                      <w:lang w:bidi="ar"/>
                    </w:rPr>
                    <w:t>湖泊水库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7" w:type="dxa"/>
                  <w:vAlign w:val="center"/>
                </w:tcPr>
                <w:p>
                  <w:pPr>
                    <w:widowControl/>
                    <w:jc w:val="center"/>
                    <w:rPr>
                      <w:sz w:val="21"/>
                      <w:szCs w:val="21"/>
                      <w:lang w:val="en-GB"/>
                    </w:rPr>
                  </w:pPr>
                  <w:r>
                    <w:rPr>
                      <w:kern w:val="0"/>
                      <w:sz w:val="21"/>
                      <w:szCs w:val="21"/>
                      <w:lang w:bidi="ar"/>
                    </w:rPr>
                    <w:t>优（相应水质</w:t>
                  </w:r>
                  <w:r>
                    <w:rPr>
                      <w:rFonts w:hint="eastAsia" w:ascii="宋体" w:hAnsi="宋体" w:cs="宋体"/>
                      <w:kern w:val="0"/>
                      <w:sz w:val="21"/>
                      <w:szCs w:val="21"/>
                      <w:lang w:bidi="ar"/>
                    </w:rPr>
                    <w:t>Ⅱ</w:t>
                  </w:r>
                  <w:r>
                    <w:rPr>
                      <w:kern w:val="0"/>
                      <w:sz w:val="21"/>
                      <w:szCs w:val="21"/>
                      <w:lang w:bidi="ar"/>
                    </w:rPr>
                    <w:t>类~</w:t>
                  </w:r>
                  <w:r>
                    <w:rPr>
                      <w:rFonts w:hint="eastAsia" w:ascii="宋体" w:hAnsi="宋体" w:cs="宋体"/>
                      <w:kern w:val="0"/>
                      <w:sz w:val="21"/>
                      <w:szCs w:val="21"/>
                      <w:lang w:bidi="ar"/>
                    </w:rPr>
                    <w:t>Ⅲ</w:t>
                  </w:r>
                  <w:r>
                    <w:rPr>
                      <w:kern w:val="0"/>
                      <w:sz w:val="21"/>
                      <w:szCs w:val="21"/>
                      <w:lang w:bidi="ar"/>
                    </w:rPr>
                    <w:t>类）</w:t>
                  </w:r>
                </w:p>
              </w:tc>
              <w:tc>
                <w:tcPr>
                  <w:tcW w:w="1661" w:type="dxa"/>
                  <w:vAlign w:val="center"/>
                </w:tcPr>
                <w:p>
                  <w:pPr>
                    <w:adjustRightInd w:val="0"/>
                    <w:snapToGrid w:val="0"/>
                    <w:spacing w:line="360" w:lineRule="auto"/>
                    <w:jc w:val="center"/>
                    <w:rPr>
                      <w:sz w:val="21"/>
                      <w:szCs w:val="21"/>
                      <w:lang w:val="en-GB"/>
                    </w:rPr>
                  </w:pPr>
                  <w:r>
                    <w:rPr>
                      <w:kern w:val="0"/>
                      <w:sz w:val="21"/>
                      <w:szCs w:val="21"/>
                      <w:lang w:bidi="ar"/>
                    </w:rPr>
                    <w:t>0.18-0.25</w:t>
                  </w:r>
                </w:p>
              </w:tc>
              <w:tc>
                <w:tcPr>
                  <w:tcW w:w="1661" w:type="dxa"/>
                  <w:vAlign w:val="center"/>
                </w:tcPr>
                <w:p>
                  <w:pPr>
                    <w:widowControl/>
                    <w:jc w:val="center"/>
                    <w:rPr>
                      <w:sz w:val="21"/>
                      <w:szCs w:val="21"/>
                      <w:lang w:val="en-GB"/>
                    </w:rPr>
                  </w:pPr>
                  <w:r>
                    <w:rPr>
                      <w:kern w:val="0"/>
                      <w:sz w:val="21"/>
                      <w:szCs w:val="21"/>
                      <w:lang w:bidi="ar"/>
                    </w:rPr>
                    <w:t>0.06-0.10</w:t>
                  </w:r>
                </w:p>
              </w:tc>
              <w:tc>
                <w:tcPr>
                  <w:tcW w:w="1661" w:type="dxa"/>
                  <w:vAlign w:val="center"/>
                </w:tcPr>
                <w:p>
                  <w:pPr>
                    <w:adjustRightInd w:val="0"/>
                    <w:snapToGrid w:val="0"/>
                    <w:spacing w:line="360" w:lineRule="auto"/>
                    <w:jc w:val="center"/>
                    <w:rPr>
                      <w:sz w:val="21"/>
                      <w:szCs w:val="21"/>
                      <w:lang w:val="en-GB"/>
                    </w:rPr>
                  </w:pPr>
                  <w:r>
                    <w:rPr>
                      <w:kern w:val="0"/>
                      <w:sz w:val="21"/>
                      <w:szCs w:val="21"/>
                      <w:lang w:bidi="ar"/>
                    </w:rPr>
                    <w:t>0.15-0.20</w:t>
                  </w:r>
                </w:p>
              </w:tc>
              <w:tc>
                <w:tcPr>
                  <w:tcW w:w="1662" w:type="dxa"/>
                  <w:vAlign w:val="center"/>
                </w:tcPr>
                <w:p>
                  <w:pPr>
                    <w:adjustRightInd w:val="0"/>
                    <w:snapToGrid w:val="0"/>
                    <w:spacing w:line="360" w:lineRule="auto"/>
                    <w:jc w:val="center"/>
                    <w:rPr>
                      <w:sz w:val="21"/>
                      <w:szCs w:val="21"/>
                      <w:lang w:val="en-GB"/>
                    </w:rPr>
                  </w:pPr>
                  <w:r>
                    <w:rPr>
                      <w:kern w:val="0"/>
                      <w:sz w:val="21"/>
                      <w:szCs w:val="21"/>
                      <w:lang w:bidi="ar"/>
                    </w:rPr>
                    <w:t>0.06-0.10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57" w:type="dxa"/>
                  <w:vAlign w:val="center"/>
                </w:tcPr>
                <w:p>
                  <w:pPr>
                    <w:widowControl/>
                    <w:jc w:val="center"/>
                    <w:rPr>
                      <w:sz w:val="21"/>
                      <w:szCs w:val="21"/>
                      <w:lang w:val="en-GB"/>
                    </w:rPr>
                  </w:pPr>
                  <w:r>
                    <w:rPr>
                      <w:kern w:val="0"/>
                      <w:sz w:val="21"/>
                      <w:szCs w:val="21"/>
                      <w:lang w:bidi="ar"/>
                    </w:rPr>
                    <w:t>中（相应水质</w:t>
                  </w:r>
                  <w:r>
                    <w:rPr>
                      <w:rFonts w:hint="eastAsia" w:ascii="宋体" w:hAnsi="宋体" w:cs="宋体"/>
                      <w:kern w:val="0"/>
                      <w:sz w:val="21"/>
                      <w:szCs w:val="21"/>
                      <w:lang w:bidi="ar"/>
                    </w:rPr>
                    <w:t>Ⅲ</w:t>
                  </w:r>
                  <w:r>
                    <w:rPr>
                      <w:kern w:val="0"/>
                      <w:sz w:val="21"/>
                      <w:szCs w:val="21"/>
                      <w:lang w:bidi="ar"/>
                    </w:rPr>
                    <w:t>类~</w:t>
                  </w:r>
                  <w:r>
                    <w:rPr>
                      <w:rFonts w:hint="eastAsia" w:ascii="宋体" w:hAnsi="宋体" w:cs="宋体"/>
                      <w:kern w:val="0"/>
                      <w:sz w:val="21"/>
                      <w:szCs w:val="21"/>
                      <w:lang w:bidi="ar"/>
                    </w:rPr>
                    <w:t>Ⅴ</w:t>
                  </w:r>
                  <w:r>
                    <w:rPr>
                      <w:kern w:val="0"/>
                      <w:sz w:val="21"/>
                      <w:szCs w:val="21"/>
                      <w:lang w:bidi="ar"/>
                    </w:rPr>
                    <w:t>类）</w:t>
                  </w:r>
                </w:p>
              </w:tc>
              <w:tc>
                <w:tcPr>
                  <w:tcW w:w="1661" w:type="dxa"/>
                  <w:vAlign w:val="center"/>
                </w:tcPr>
                <w:p>
                  <w:pPr>
                    <w:widowControl/>
                    <w:jc w:val="center"/>
                    <w:rPr>
                      <w:sz w:val="21"/>
                      <w:szCs w:val="21"/>
                      <w:lang w:val="en-GB"/>
                    </w:rPr>
                  </w:pPr>
                  <w:r>
                    <w:rPr>
                      <w:kern w:val="0"/>
                      <w:sz w:val="21"/>
                      <w:szCs w:val="21"/>
                      <w:lang w:bidi="ar"/>
                    </w:rPr>
                    <w:t>0.10-0.18</w:t>
                  </w:r>
                </w:p>
              </w:tc>
              <w:tc>
                <w:tcPr>
                  <w:tcW w:w="1661" w:type="dxa"/>
                  <w:vAlign w:val="center"/>
                </w:tcPr>
                <w:p>
                  <w:pPr>
                    <w:adjustRightInd w:val="0"/>
                    <w:snapToGrid w:val="0"/>
                    <w:spacing w:line="360" w:lineRule="auto"/>
                    <w:jc w:val="center"/>
                    <w:rPr>
                      <w:sz w:val="21"/>
                      <w:szCs w:val="21"/>
                      <w:lang w:val="en-GB"/>
                    </w:rPr>
                  </w:pPr>
                  <w:r>
                    <w:rPr>
                      <w:kern w:val="0"/>
                      <w:sz w:val="21"/>
                      <w:szCs w:val="21"/>
                      <w:lang w:bidi="ar"/>
                    </w:rPr>
                    <w:t>0.03-0.06</w:t>
                  </w:r>
                </w:p>
              </w:tc>
              <w:tc>
                <w:tcPr>
                  <w:tcW w:w="1661" w:type="dxa"/>
                  <w:vAlign w:val="center"/>
                </w:tcPr>
                <w:p>
                  <w:pPr>
                    <w:adjustRightInd w:val="0"/>
                    <w:snapToGrid w:val="0"/>
                    <w:spacing w:line="360" w:lineRule="auto"/>
                    <w:jc w:val="center"/>
                    <w:rPr>
                      <w:sz w:val="21"/>
                      <w:szCs w:val="21"/>
                      <w:lang w:val="en-GB"/>
                    </w:rPr>
                  </w:pPr>
                  <w:r>
                    <w:rPr>
                      <w:kern w:val="0"/>
                      <w:sz w:val="21"/>
                      <w:szCs w:val="21"/>
                      <w:lang w:bidi="ar"/>
                    </w:rPr>
                    <w:t>0.10-0.15</w:t>
                  </w:r>
                </w:p>
              </w:tc>
              <w:tc>
                <w:tcPr>
                  <w:tcW w:w="1662" w:type="dxa"/>
                  <w:vAlign w:val="center"/>
                </w:tcPr>
                <w:p>
                  <w:pPr>
                    <w:adjustRightInd w:val="0"/>
                    <w:snapToGrid w:val="0"/>
                    <w:spacing w:line="360" w:lineRule="auto"/>
                    <w:jc w:val="center"/>
                    <w:rPr>
                      <w:sz w:val="21"/>
                      <w:szCs w:val="21"/>
                      <w:lang w:val="en-GB"/>
                    </w:rPr>
                  </w:pPr>
                  <w:r>
                    <w:rPr>
                      <w:kern w:val="0"/>
                      <w:sz w:val="21"/>
                      <w:szCs w:val="21"/>
                      <w:lang w:bidi="ar"/>
                    </w:rPr>
                    <w:t>0.03-0.06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57" w:type="dxa"/>
                  <w:vAlign w:val="center"/>
                </w:tcPr>
                <w:p>
                  <w:pPr>
                    <w:widowControl/>
                    <w:jc w:val="center"/>
                    <w:rPr>
                      <w:sz w:val="21"/>
                      <w:szCs w:val="21"/>
                      <w:lang w:val="en-GB"/>
                    </w:rPr>
                  </w:pPr>
                  <w:r>
                    <w:rPr>
                      <w:kern w:val="0"/>
                      <w:sz w:val="21"/>
                      <w:szCs w:val="21"/>
                      <w:lang w:bidi="ar"/>
                    </w:rPr>
                    <w:t>劣(相应水质</w:t>
                  </w:r>
                  <w:r>
                    <w:rPr>
                      <w:rFonts w:hint="eastAsia" w:ascii="宋体" w:hAnsi="宋体" w:cs="宋体"/>
                      <w:kern w:val="0"/>
                      <w:sz w:val="21"/>
                      <w:szCs w:val="21"/>
                      <w:lang w:bidi="ar"/>
                    </w:rPr>
                    <w:t>Ⅴ</w:t>
                  </w:r>
                  <w:r>
                    <w:rPr>
                      <w:kern w:val="0"/>
                      <w:sz w:val="21"/>
                      <w:szCs w:val="21"/>
                      <w:lang w:bidi="ar"/>
                    </w:rPr>
                    <w:t>类~劣</w:t>
                  </w:r>
                  <w:r>
                    <w:rPr>
                      <w:rFonts w:hint="eastAsia" w:ascii="宋体" w:hAnsi="宋体" w:cs="宋体"/>
                      <w:kern w:val="0"/>
                      <w:sz w:val="21"/>
                      <w:szCs w:val="21"/>
                      <w:lang w:bidi="ar"/>
                    </w:rPr>
                    <w:t>Ⅴ</w:t>
                  </w:r>
                  <w:r>
                    <w:rPr>
                      <w:kern w:val="0"/>
                      <w:sz w:val="21"/>
                      <w:szCs w:val="21"/>
                      <w:lang w:bidi="ar"/>
                    </w:rPr>
                    <w:t>类）</w:t>
                  </w:r>
                </w:p>
              </w:tc>
              <w:tc>
                <w:tcPr>
                  <w:tcW w:w="1661" w:type="dxa"/>
                  <w:vAlign w:val="center"/>
                </w:tcPr>
                <w:p>
                  <w:pPr>
                    <w:widowControl/>
                    <w:jc w:val="center"/>
                    <w:rPr>
                      <w:sz w:val="21"/>
                      <w:szCs w:val="21"/>
                      <w:lang w:val="en-GB"/>
                    </w:rPr>
                  </w:pPr>
                  <w:r>
                    <w:rPr>
                      <w:kern w:val="0"/>
                      <w:sz w:val="21"/>
                      <w:szCs w:val="21"/>
                      <w:lang w:bidi="ar"/>
                    </w:rPr>
                    <w:t>0.05-0.10</w:t>
                  </w:r>
                </w:p>
              </w:tc>
              <w:tc>
                <w:tcPr>
                  <w:tcW w:w="1661" w:type="dxa"/>
                  <w:vAlign w:val="center"/>
                </w:tcPr>
                <w:p>
                  <w:pPr>
                    <w:adjustRightInd w:val="0"/>
                    <w:snapToGrid w:val="0"/>
                    <w:spacing w:line="360" w:lineRule="auto"/>
                    <w:jc w:val="center"/>
                    <w:rPr>
                      <w:sz w:val="21"/>
                      <w:szCs w:val="21"/>
                      <w:lang w:val="en-GB"/>
                    </w:rPr>
                  </w:pPr>
                  <w:r>
                    <w:rPr>
                      <w:kern w:val="0"/>
                      <w:sz w:val="21"/>
                      <w:szCs w:val="21"/>
                      <w:lang w:bidi="ar"/>
                    </w:rPr>
                    <w:t>0.01-0.03</w:t>
                  </w:r>
                </w:p>
              </w:tc>
              <w:tc>
                <w:tcPr>
                  <w:tcW w:w="1661" w:type="dxa"/>
                  <w:vAlign w:val="center"/>
                </w:tcPr>
                <w:p>
                  <w:pPr>
                    <w:adjustRightInd w:val="0"/>
                    <w:snapToGrid w:val="0"/>
                    <w:spacing w:line="360" w:lineRule="auto"/>
                    <w:jc w:val="center"/>
                    <w:rPr>
                      <w:sz w:val="21"/>
                      <w:szCs w:val="21"/>
                      <w:lang w:val="en-GB"/>
                    </w:rPr>
                  </w:pPr>
                  <w:r>
                    <w:rPr>
                      <w:kern w:val="0"/>
                      <w:sz w:val="21"/>
                      <w:szCs w:val="21"/>
                      <w:lang w:bidi="ar"/>
                    </w:rPr>
                    <w:t>0.05-0.10</w:t>
                  </w:r>
                </w:p>
              </w:tc>
              <w:tc>
                <w:tcPr>
                  <w:tcW w:w="1662" w:type="dxa"/>
                  <w:vAlign w:val="center"/>
                </w:tcPr>
                <w:p>
                  <w:pPr>
                    <w:adjustRightInd w:val="0"/>
                    <w:snapToGrid w:val="0"/>
                    <w:spacing w:line="360" w:lineRule="auto"/>
                    <w:jc w:val="center"/>
                    <w:rPr>
                      <w:sz w:val="21"/>
                      <w:szCs w:val="21"/>
                      <w:lang w:val="en-GB"/>
                    </w:rPr>
                  </w:pPr>
                  <w:r>
                    <w:rPr>
                      <w:kern w:val="0"/>
                      <w:sz w:val="21"/>
                      <w:szCs w:val="21"/>
                      <w:lang w:bidi="ar"/>
                    </w:rPr>
                    <w:t>0.01-0.03</w:t>
                  </w:r>
                </w:p>
              </w:tc>
            </w:tr>
          </w:tbl>
          <w:p>
            <w:pPr>
              <w:widowControl/>
              <w:adjustRightInd w:val="0"/>
              <w:snapToGrid w:val="0"/>
              <w:spacing w:line="360" w:lineRule="auto"/>
              <w:ind w:firstLine="480" w:firstLineChars="200"/>
              <w:jc w:val="left"/>
            </w:pPr>
            <w:r>
              <w:rPr>
                <w:kern w:val="0"/>
                <w:lang w:bidi="ar"/>
              </w:rPr>
              <w:t>由于</w:t>
            </w:r>
            <w:r>
              <w:rPr>
                <w:rFonts w:hint="eastAsia"/>
                <w:kern w:val="0"/>
                <w:lang w:bidi="ar"/>
              </w:rPr>
              <w:t>大渡河</w:t>
            </w:r>
            <w:r>
              <w:rPr>
                <w:kern w:val="0"/>
                <w:lang w:bidi="ar"/>
              </w:rPr>
              <w:t>现状水质为III类，因此，本环评将项目所在河段CODcr水质综合衰减系数K</w:t>
            </w:r>
            <w:r>
              <w:rPr>
                <w:kern w:val="0"/>
                <w:sz w:val="16"/>
                <w:szCs w:val="16"/>
                <w:lang w:bidi="ar"/>
              </w:rPr>
              <w:t>1</w:t>
            </w:r>
            <w:r>
              <w:rPr>
                <w:kern w:val="0"/>
                <w:lang w:bidi="ar"/>
              </w:rPr>
              <w:t>值定为0.20d</w:t>
            </w:r>
            <w:r>
              <w:rPr>
                <w:kern w:val="0"/>
                <w:sz w:val="16"/>
                <w:szCs w:val="16"/>
                <w:vertAlign w:val="superscript"/>
                <w:lang w:bidi="ar"/>
              </w:rPr>
              <w:t>-1</w:t>
            </w:r>
            <w:r>
              <w:rPr>
                <w:kern w:val="0"/>
                <w:lang w:bidi="ar"/>
              </w:rPr>
              <w:t>，氨氮水质综合衰减系数K</w:t>
            </w:r>
            <w:r>
              <w:rPr>
                <w:kern w:val="0"/>
                <w:sz w:val="16"/>
                <w:szCs w:val="16"/>
                <w:lang w:bidi="ar"/>
              </w:rPr>
              <w:t>1</w:t>
            </w:r>
            <w:r>
              <w:rPr>
                <w:kern w:val="0"/>
                <w:lang w:bidi="ar"/>
              </w:rPr>
              <w:t>值定为0.15d</w:t>
            </w:r>
            <w:r>
              <w:rPr>
                <w:kern w:val="0"/>
                <w:vertAlign w:val="superscript"/>
                <w:lang w:bidi="ar"/>
              </w:rPr>
              <w:t>-1</w:t>
            </w:r>
            <w:r>
              <w:rPr>
                <w:kern w:val="0"/>
                <w:lang w:bidi="ar"/>
              </w:rPr>
              <w:t>。</w:t>
            </w:r>
          </w:p>
          <w:p>
            <w:pPr>
              <w:pStyle w:val="188"/>
              <w:widowControl/>
              <w:numPr>
                <w:ilvl w:val="0"/>
                <w:numId w:val="2"/>
              </w:numPr>
              <w:adjustRightInd w:val="0"/>
              <w:snapToGrid w:val="0"/>
              <w:spacing w:line="360" w:lineRule="auto"/>
              <w:ind w:firstLineChars="0"/>
              <w:jc w:val="left"/>
            </w:pPr>
            <w:r>
              <w:rPr>
                <w:kern w:val="0"/>
                <w:lang w:bidi="ar"/>
              </w:rPr>
              <w:t>河流水文及水力学参数</w:t>
            </w:r>
          </w:p>
          <w:p>
            <w:pPr>
              <w:pStyle w:val="188"/>
              <w:widowControl/>
              <w:adjustRightInd w:val="0"/>
              <w:snapToGrid w:val="0"/>
              <w:spacing w:line="360" w:lineRule="auto"/>
              <w:ind w:firstLine="480"/>
            </w:pPr>
            <w:r>
              <w:rPr>
                <w:rFonts w:hint="eastAsia" w:cs="Times New Roman"/>
                <w:bCs/>
                <w:kern w:val="0"/>
              </w:rPr>
              <w:t>根据《环境影响评价技术导则  地表水导则》（HJ2.3-2018）受人工调控的河段，可采用最小下泄流量或河道内生态流量作为设计流量。</w:t>
            </w:r>
            <w:r>
              <w:t>本</w:t>
            </w:r>
            <w:r>
              <w:rPr>
                <w:rFonts w:hint="eastAsia"/>
              </w:rPr>
              <w:t>项目</w:t>
            </w:r>
            <w:r>
              <w:t>选取论证河段上游水电站最小下泄流量，排污口断面上游9800m处有沙坪二级水电站，排污口断面上游3780m处为白沙河入河口，排污口断面上游9570m处为官料河入河口。根据调查，官料河最后一级电站为玉林桥电站，站址位于官料河入河口，为引水式日径流电站，和官料河上其他小型水电站状况相似，对官料河进入大渡河段的月平均流量基本无影响。因此，本次论证流量取沙坪二级水电站最小下泄流量、官料河P=90%最枯月平均流量、白沙河P=90%最枯月平均流量三者之和。根据《长江水利委员会关于四川省大渡河沙坪二级水电站蓄水计划和调度方案的批复》（长水资源[2017]126号），沙坪二级水电站最小下泄流量为345m³/s；根据官料河红旗水文站1958年～2006年的观测资料分析，官料河P=90%最枯月平均流量值为8.2m³/s。由于白沙河流域面积较小，缺乏可直接使用的水文数据。由于官料河和白沙河河道最近距离仅小于3km，两条河流流域地质条件、气象条件和流域下垫面等条件基本相似，本次通过面积比拟法，以官料河作为参照河流推算白沙河P=90%最枯月平均流量。官料河及白沙河流域面积和多年平均降水量数据直接采用《乐山市水资源调查评价》（四川省岷江水文水资源勘测局2014年9月）的数据，官料河流域面积1368km</w:t>
            </w:r>
            <w:r>
              <w:rPr>
                <w:vertAlign w:val="superscript"/>
              </w:rPr>
              <w:t>2</w:t>
            </w:r>
            <w:r>
              <w:t>，多年平均降雨量1392.5mm，白沙河流域面积312km</w:t>
            </w:r>
            <w:r>
              <w:rPr>
                <w:vertAlign w:val="superscript"/>
              </w:rPr>
              <w:t>2</w:t>
            </w:r>
            <w:r>
              <w:t>，多年平均降雨量1196.3mm，因此计算得到白沙河P=90%最枯月平均流量为1.6m³/s；因此，本次论证计算流量为354.8m³/s。</w:t>
            </w:r>
          </w:p>
          <w:p>
            <w:pPr>
              <w:adjustRightInd w:val="0"/>
              <w:snapToGrid w:val="0"/>
              <w:spacing w:line="360" w:lineRule="auto"/>
              <w:jc w:val="center"/>
              <w:rPr>
                <w:rFonts w:cs="Times New Roman"/>
                <w:b/>
                <w:szCs w:val="24"/>
              </w:rPr>
            </w:pPr>
            <w:r>
              <w:rPr>
                <w:rFonts w:cs="Times New Roman"/>
                <w:b/>
                <w:szCs w:val="24"/>
              </w:rPr>
              <w:t>表7-17  水文及水力学参数</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1744"/>
              <w:gridCol w:w="1753"/>
              <w:gridCol w:w="1723"/>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1371" w:type="dxa"/>
                  <w:vAlign w:val="center"/>
                </w:tcPr>
                <w:p>
                  <w:pPr>
                    <w:widowControl/>
                    <w:jc w:val="center"/>
                    <w:rPr>
                      <w:b/>
                      <w:bCs/>
                      <w:sz w:val="21"/>
                      <w:szCs w:val="21"/>
                    </w:rPr>
                  </w:pPr>
                  <w:r>
                    <w:rPr>
                      <w:b/>
                      <w:bCs/>
                      <w:kern w:val="0"/>
                      <w:sz w:val="21"/>
                      <w:szCs w:val="21"/>
                      <w:lang w:bidi="ar"/>
                    </w:rPr>
                    <w:t>类别</w:t>
                  </w:r>
                </w:p>
              </w:tc>
              <w:tc>
                <w:tcPr>
                  <w:tcW w:w="1744" w:type="dxa"/>
                  <w:vAlign w:val="center"/>
                </w:tcPr>
                <w:p>
                  <w:pPr>
                    <w:widowControl/>
                    <w:jc w:val="center"/>
                    <w:rPr>
                      <w:b/>
                      <w:bCs/>
                      <w:sz w:val="21"/>
                      <w:szCs w:val="21"/>
                    </w:rPr>
                  </w:pPr>
                  <w:r>
                    <w:rPr>
                      <w:b/>
                      <w:bCs/>
                      <w:kern w:val="0"/>
                      <w:sz w:val="21"/>
                      <w:szCs w:val="21"/>
                      <w:lang w:bidi="ar"/>
                    </w:rPr>
                    <w:t>枯水期流量m</w:t>
                  </w:r>
                  <w:r>
                    <w:rPr>
                      <w:b/>
                      <w:bCs/>
                      <w:kern w:val="0"/>
                      <w:sz w:val="21"/>
                      <w:szCs w:val="21"/>
                      <w:vertAlign w:val="superscript"/>
                      <w:lang w:bidi="ar"/>
                    </w:rPr>
                    <w:t>3</w:t>
                  </w:r>
                  <w:r>
                    <w:rPr>
                      <w:b/>
                      <w:bCs/>
                      <w:kern w:val="0"/>
                      <w:sz w:val="21"/>
                      <w:szCs w:val="21"/>
                      <w:lang w:bidi="ar"/>
                    </w:rPr>
                    <w:t>/s</w:t>
                  </w:r>
                </w:p>
              </w:tc>
              <w:tc>
                <w:tcPr>
                  <w:tcW w:w="1753" w:type="dxa"/>
                  <w:vAlign w:val="center"/>
                </w:tcPr>
                <w:p>
                  <w:pPr>
                    <w:widowControl/>
                    <w:jc w:val="center"/>
                    <w:rPr>
                      <w:b/>
                      <w:bCs/>
                      <w:sz w:val="21"/>
                      <w:szCs w:val="21"/>
                    </w:rPr>
                  </w:pPr>
                  <w:r>
                    <w:rPr>
                      <w:b/>
                      <w:bCs/>
                      <w:kern w:val="0"/>
                      <w:sz w:val="21"/>
                      <w:szCs w:val="21"/>
                      <w:lang w:bidi="ar"/>
                    </w:rPr>
                    <w:t>平均流速m/s</w:t>
                  </w:r>
                </w:p>
              </w:tc>
              <w:tc>
                <w:tcPr>
                  <w:tcW w:w="1723" w:type="dxa"/>
                  <w:vAlign w:val="center"/>
                </w:tcPr>
                <w:p>
                  <w:pPr>
                    <w:widowControl/>
                    <w:jc w:val="center"/>
                    <w:rPr>
                      <w:b/>
                      <w:bCs/>
                      <w:sz w:val="21"/>
                      <w:szCs w:val="21"/>
                    </w:rPr>
                  </w:pPr>
                  <w:r>
                    <w:rPr>
                      <w:b/>
                      <w:bCs/>
                      <w:kern w:val="0"/>
                      <w:sz w:val="21"/>
                      <w:szCs w:val="21"/>
                      <w:lang w:bidi="ar"/>
                    </w:rPr>
                    <w:t>河宽m</w:t>
                  </w:r>
                </w:p>
              </w:tc>
              <w:tc>
                <w:tcPr>
                  <w:tcW w:w="1711" w:type="dxa"/>
                  <w:vAlign w:val="center"/>
                </w:tcPr>
                <w:p>
                  <w:pPr>
                    <w:widowControl/>
                    <w:jc w:val="center"/>
                    <w:rPr>
                      <w:b/>
                      <w:bCs/>
                      <w:sz w:val="21"/>
                      <w:szCs w:val="21"/>
                    </w:rPr>
                  </w:pPr>
                  <w:r>
                    <w:rPr>
                      <w:b/>
                      <w:bCs/>
                      <w:kern w:val="0"/>
                      <w:sz w:val="21"/>
                      <w:szCs w:val="21"/>
                      <w:lang w:bidi="ar"/>
                    </w:rPr>
                    <w:t>河深m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371" w:type="dxa"/>
                  <w:vAlign w:val="center"/>
                </w:tcPr>
                <w:p>
                  <w:pPr>
                    <w:pStyle w:val="46"/>
                    <w:rPr>
                      <w:sz w:val="21"/>
                      <w:szCs w:val="21"/>
                    </w:rPr>
                  </w:pPr>
                  <w:r>
                    <w:rPr>
                      <w:sz w:val="21"/>
                      <w:szCs w:val="21"/>
                      <w:lang w:bidi="ar"/>
                    </w:rPr>
                    <w:t>指标</w:t>
                  </w:r>
                </w:p>
              </w:tc>
              <w:tc>
                <w:tcPr>
                  <w:tcW w:w="1744" w:type="dxa"/>
                  <w:vAlign w:val="center"/>
                </w:tcPr>
                <w:p>
                  <w:pPr>
                    <w:pStyle w:val="46"/>
                    <w:rPr>
                      <w:sz w:val="21"/>
                      <w:szCs w:val="21"/>
                    </w:rPr>
                  </w:pPr>
                  <w:r>
                    <w:rPr>
                      <w:sz w:val="21"/>
                      <w:szCs w:val="21"/>
                    </w:rPr>
                    <w:t>354.8</w:t>
                  </w:r>
                </w:p>
              </w:tc>
              <w:tc>
                <w:tcPr>
                  <w:tcW w:w="1753" w:type="dxa"/>
                  <w:vAlign w:val="center"/>
                </w:tcPr>
                <w:p>
                  <w:pPr>
                    <w:pStyle w:val="46"/>
                    <w:rPr>
                      <w:sz w:val="21"/>
                      <w:szCs w:val="21"/>
                    </w:rPr>
                  </w:pPr>
                  <w:r>
                    <w:rPr>
                      <w:sz w:val="21"/>
                      <w:szCs w:val="21"/>
                    </w:rPr>
                    <w:t>0.44</w:t>
                  </w:r>
                </w:p>
              </w:tc>
              <w:tc>
                <w:tcPr>
                  <w:tcW w:w="1723" w:type="dxa"/>
                  <w:vAlign w:val="center"/>
                </w:tcPr>
                <w:p>
                  <w:pPr>
                    <w:pStyle w:val="46"/>
                    <w:rPr>
                      <w:sz w:val="21"/>
                      <w:szCs w:val="21"/>
                    </w:rPr>
                  </w:pPr>
                  <w:r>
                    <w:rPr>
                      <w:sz w:val="21"/>
                      <w:szCs w:val="21"/>
                    </w:rPr>
                    <w:t>200</w:t>
                  </w:r>
                </w:p>
              </w:tc>
              <w:tc>
                <w:tcPr>
                  <w:tcW w:w="1711" w:type="dxa"/>
                  <w:vAlign w:val="center"/>
                </w:tcPr>
                <w:p>
                  <w:pPr>
                    <w:pStyle w:val="46"/>
                    <w:rPr>
                      <w:sz w:val="21"/>
                      <w:szCs w:val="21"/>
                    </w:rPr>
                  </w:pPr>
                  <w:r>
                    <w:rPr>
                      <w:sz w:val="21"/>
                      <w:szCs w:val="21"/>
                    </w:rPr>
                    <w:t>4</w:t>
                  </w:r>
                </w:p>
              </w:tc>
            </w:tr>
          </w:tbl>
          <w:p>
            <w:pPr>
              <w:widowControl/>
              <w:adjustRightInd w:val="0"/>
              <w:snapToGrid w:val="0"/>
              <w:spacing w:line="360" w:lineRule="auto"/>
              <w:ind w:firstLine="480" w:firstLineChars="200"/>
              <w:jc w:val="left"/>
            </w:pPr>
            <w:r>
              <w:rPr>
                <w:rFonts w:hint="eastAsia" w:ascii="宋体" w:hAnsi="宋体" w:cs="宋体"/>
                <w:kern w:val="0"/>
                <w:lang w:bidi="ar"/>
              </w:rPr>
              <w:t>③</w:t>
            </w:r>
            <w:r>
              <w:rPr>
                <w:kern w:val="0"/>
                <w:lang w:bidi="ar"/>
              </w:rPr>
              <w:t>预测背景值选择</w:t>
            </w:r>
          </w:p>
          <w:p>
            <w:pPr>
              <w:widowControl/>
              <w:adjustRightInd w:val="0"/>
              <w:snapToGrid w:val="0"/>
              <w:spacing w:line="360" w:lineRule="auto"/>
              <w:ind w:firstLine="480" w:firstLineChars="200"/>
              <w:jc w:val="left"/>
              <w:rPr>
                <w:rFonts w:cs="Times New Roman"/>
                <w:b/>
                <w:szCs w:val="24"/>
              </w:rPr>
            </w:pPr>
            <w:r>
              <w:rPr>
                <w:kern w:val="0"/>
                <w:lang w:bidi="ar"/>
              </w:rPr>
              <w:t>在选取水质背景值时，应考虑本项目运行后污水经收集进入污水处理站而不是直接排入河流的情况。本项目以排污口上游500m处河段现状检测平均值为背景值。</w:t>
            </w:r>
          </w:p>
          <w:p>
            <w:pPr>
              <w:adjustRightInd w:val="0"/>
              <w:snapToGrid w:val="0"/>
              <w:spacing w:line="360" w:lineRule="auto"/>
              <w:jc w:val="center"/>
              <w:rPr>
                <w:rFonts w:cs="Times New Roman"/>
                <w:b/>
                <w:szCs w:val="24"/>
              </w:rPr>
            </w:pPr>
            <w:r>
              <w:rPr>
                <w:rFonts w:cs="Times New Roman"/>
                <w:b/>
                <w:szCs w:val="24"/>
              </w:rPr>
              <w:t>表7-18  污水排放源强及河流污染物浓度</w:t>
            </w:r>
          </w:p>
          <w:tbl>
            <w:tblPr>
              <w:tblStyle w:val="30"/>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083"/>
              <w:gridCol w:w="2117"/>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vAlign w:val="center"/>
                </w:tcPr>
                <w:p>
                  <w:pPr>
                    <w:widowControl/>
                    <w:jc w:val="center"/>
                    <w:rPr>
                      <w:b/>
                      <w:bCs/>
                      <w:sz w:val="21"/>
                      <w:szCs w:val="21"/>
                      <w:lang w:val="en-GB"/>
                    </w:rPr>
                  </w:pPr>
                  <w:r>
                    <w:rPr>
                      <w:b/>
                      <w:bCs/>
                      <w:kern w:val="0"/>
                      <w:sz w:val="21"/>
                      <w:szCs w:val="21"/>
                      <w:lang w:bidi="ar"/>
                    </w:rPr>
                    <w:t>排放状况</w:t>
                  </w:r>
                </w:p>
              </w:tc>
              <w:tc>
                <w:tcPr>
                  <w:tcW w:w="2083" w:type="dxa"/>
                  <w:vAlign w:val="center"/>
                </w:tcPr>
                <w:p>
                  <w:pPr>
                    <w:widowControl/>
                    <w:jc w:val="center"/>
                    <w:rPr>
                      <w:b/>
                      <w:bCs/>
                      <w:sz w:val="21"/>
                      <w:szCs w:val="21"/>
                      <w:lang w:val="en-GB"/>
                    </w:rPr>
                  </w:pPr>
                  <w:r>
                    <w:rPr>
                      <w:b/>
                      <w:bCs/>
                      <w:kern w:val="0"/>
                      <w:sz w:val="21"/>
                      <w:szCs w:val="21"/>
                      <w:lang w:bidi="ar"/>
                    </w:rPr>
                    <w:t>流量m</w:t>
                  </w:r>
                  <w:r>
                    <w:rPr>
                      <w:b/>
                      <w:bCs/>
                      <w:kern w:val="0"/>
                      <w:sz w:val="21"/>
                      <w:szCs w:val="21"/>
                      <w:vertAlign w:val="superscript"/>
                      <w:lang w:bidi="ar"/>
                    </w:rPr>
                    <w:t>3</w:t>
                  </w:r>
                  <w:r>
                    <w:rPr>
                      <w:b/>
                      <w:bCs/>
                      <w:kern w:val="0"/>
                      <w:sz w:val="21"/>
                      <w:szCs w:val="21"/>
                      <w:lang w:bidi="ar"/>
                    </w:rPr>
                    <w:t>/s</w:t>
                  </w:r>
                </w:p>
              </w:tc>
              <w:tc>
                <w:tcPr>
                  <w:tcW w:w="2117" w:type="dxa"/>
                  <w:vAlign w:val="center"/>
                </w:tcPr>
                <w:p>
                  <w:pPr>
                    <w:adjustRightInd w:val="0"/>
                    <w:snapToGrid w:val="0"/>
                    <w:jc w:val="center"/>
                    <w:rPr>
                      <w:b/>
                      <w:bCs/>
                      <w:sz w:val="21"/>
                      <w:szCs w:val="21"/>
                      <w:lang w:val="en-GB"/>
                    </w:rPr>
                  </w:pPr>
                  <w:r>
                    <w:rPr>
                      <w:b/>
                      <w:bCs/>
                      <w:kern w:val="0"/>
                      <w:sz w:val="21"/>
                      <w:szCs w:val="21"/>
                      <w:lang w:bidi="ar"/>
                    </w:rPr>
                    <w:t>CODmg/L</w:t>
                  </w:r>
                </w:p>
              </w:tc>
              <w:tc>
                <w:tcPr>
                  <w:tcW w:w="2078" w:type="dxa"/>
                  <w:vAlign w:val="center"/>
                </w:tcPr>
                <w:p>
                  <w:pPr>
                    <w:widowControl/>
                    <w:jc w:val="center"/>
                    <w:rPr>
                      <w:b/>
                      <w:bCs/>
                      <w:sz w:val="21"/>
                      <w:szCs w:val="21"/>
                      <w:lang w:val="en-GB"/>
                    </w:rPr>
                  </w:pPr>
                  <w:r>
                    <w:rPr>
                      <w:b/>
                      <w:bCs/>
                      <w:kern w:val="0"/>
                      <w:sz w:val="21"/>
                      <w:szCs w:val="21"/>
                      <w:lang w:bidi="ar"/>
                    </w:rPr>
                    <w:t>NH</w:t>
                  </w:r>
                  <w:r>
                    <w:rPr>
                      <w:b/>
                      <w:bCs/>
                      <w:kern w:val="0"/>
                      <w:sz w:val="21"/>
                      <w:szCs w:val="21"/>
                      <w:vertAlign w:val="subscript"/>
                      <w:lang w:bidi="ar"/>
                    </w:rPr>
                    <w:t>3</w:t>
                  </w:r>
                  <w:r>
                    <w:rPr>
                      <w:b/>
                      <w:bCs/>
                      <w:kern w:val="0"/>
                      <w:sz w:val="21"/>
                      <w:szCs w:val="21"/>
                      <w:lang w:bidi="ar"/>
                    </w:rPr>
                    <w:t>-Nmg/L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vAlign w:val="center"/>
                </w:tcPr>
                <w:p>
                  <w:pPr>
                    <w:widowControl/>
                    <w:jc w:val="center"/>
                    <w:rPr>
                      <w:sz w:val="21"/>
                      <w:szCs w:val="21"/>
                      <w:lang w:val="en-GB"/>
                    </w:rPr>
                  </w:pPr>
                  <w:r>
                    <w:rPr>
                      <w:kern w:val="0"/>
                      <w:sz w:val="21"/>
                      <w:szCs w:val="21"/>
                      <w:lang w:bidi="ar"/>
                    </w:rPr>
                    <w:t>废水正常排放</w:t>
                  </w:r>
                </w:p>
              </w:tc>
              <w:tc>
                <w:tcPr>
                  <w:tcW w:w="2083" w:type="dxa"/>
                </w:tcPr>
                <w:p>
                  <w:pPr>
                    <w:adjustRightInd w:val="0"/>
                    <w:snapToGrid w:val="0"/>
                    <w:jc w:val="center"/>
                    <w:rPr>
                      <w:sz w:val="21"/>
                      <w:szCs w:val="21"/>
                    </w:rPr>
                  </w:pPr>
                  <w:r>
                    <w:rPr>
                      <w:sz w:val="21"/>
                      <w:szCs w:val="21"/>
                    </w:rPr>
                    <w:t>0.0012</w:t>
                  </w:r>
                </w:p>
              </w:tc>
              <w:tc>
                <w:tcPr>
                  <w:tcW w:w="2117" w:type="dxa"/>
                  <w:vAlign w:val="center"/>
                </w:tcPr>
                <w:p>
                  <w:pPr>
                    <w:adjustRightInd w:val="0"/>
                    <w:snapToGrid w:val="0"/>
                    <w:jc w:val="center"/>
                    <w:rPr>
                      <w:sz w:val="21"/>
                      <w:szCs w:val="21"/>
                    </w:rPr>
                  </w:pPr>
                  <w:r>
                    <w:rPr>
                      <w:sz w:val="21"/>
                      <w:szCs w:val="21"/>
                    </w:rPr>
                    <w:t>60</w:t>
                  </w:r>
                </w:p>
              </w:tc>
              <w:tc>
                <w:tcPr>
                  <w:tcW w:w="2078" w:type="dxa"/>
                  <w:vAlign w:val="center"/>
                </w:tcPr>
                <w:p>
                  <w:pPr>
                    <w:adjustRightInd w:val="0"/>
                    <w:snapToGrid w:val="0"/>
                    <w:jc w:val="center"/>
                    <w:rPr>
                      <w:sz w:val="21"/>
                      <w:szCs w:val="21"/>
                    </w:rPr>
                  </w:pPr>
                  <w:r>
                    <w:rPr>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vAlign w:val="center"/>
                </w:tcPr>
                <w:p>
                  <w:pPr>
                    <w:widowControl/>
                    <w:jc w:val="center"/>
                    <w:rPr>
                      <w:sz w:val="21"/>
                      <w:szCs w:val="21"/>
                      <w:lang w:val="en-GB"/>
                    </w:rPr>
                  </w:pPr>
                  <w:r>
                    <w:rPr>
                      <w:kern w:val="0"/>
                      <w:sz w:val="21"/>
                      <w:szCs w:val="21"/>
                      <w:lang w:bidi="ar"/>
                    </w:rPr>
                    <w:t>废水事故排放</w:t>
                  </w:r>
                </w:p>
              </w:tc>
              <w:tc>
                <w:tcPr>
                  <w:tcW w:w="2083" w:type="dxa"/>
                </w:tcPr>
                <w:p>
                  <w:pPr>
                    <w:adjustRightInd w:val="0"/>
                    <w:snapToGrid w:val="0"/>
                    <w:jc w:val="center"/>
                    <w:rPr>
                      <w:sz w:val="21"/>
                      <w:szCs w:val="21"/>
                    </w:rPr>
                  </w:pPr>
                  <w:r>
                    <w:rPr>
                      <w:sz w:val="21"/>
                      <w:szCs w:val="21"/>
                    </w:rPr>
                    <w:t>0.0012</w:t>
                  </w:r>
                </w:p>
              </w:tc>
              <w:tc>
                <w:tcPr>
                  <w:tcW w:w="2117" w:type="dxa"/>
                  <w:vAlign w:val="center"/>
                </w:tcPr>
                <w:p>
                  <w:pPr>
                    <w:adjustRightInd w:val="0"/>
                    <w:snapToGrid w:val="0"/>
                    <w:jc w:val="center"/>
                    <w:rPr>
                      <w:sz w:val="21"/>
                      <w:szCs w:val="21"/>
                    </w:rPr>
                  </w:pPr>
                  <w:r>
                    <w:rPr>
                      <w:sz w:val="21"/>
                      <w:szCs w:val="21"/>
                    </w:rPr>
                    <w:t>150</w:t>
                  </w:r>
                </w:p>
              </w:tc>
              <w:tc>
                <w:tcPr>
                  <w:tcW w:w="2078" w:type="dxa"/>
                  <w:vAlign w:val="center"/>
                </w:tcPr>
                <w:p>
                  <w:pPr>
                    <w:adjustRightInd w:val="0"/>
                    <w:snapToGrid w:val="0"/>
                    <w:jc w:val="center"/>
                    <w:rPr>
                      <w:sz w:val="21"/>
                      <w:szCs w:val="21"/>
                    </w:rPr>
                  </w:pPr>
                  <w:r>
                    <w:rPr>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vAlign w:val="center"/>
                </w:tcPr>
                <w:p>
                  <w:pPr>
                    <w:widowControl/>
                    <w:jc w:val="center"/>
                    <w:rPr>
                      <w:sz w:val="21"/>
                      <w:szCs w:val="21"/>
                      <w:lang w:val="en-GB"/>
                    </w:rPr>
                  </w:pPr>
                  <w:r>
                    <w:rPr>
                      <w:rFonts w:hint="eastAsia"/>
                      <w:kern w:val="0"/>
                      <w:sz w:val="21"/>
                      <w:szCs w:val="21"/>
                      <w:lang w:bidi="ar"/>
                    </w:rPr>
                    <w:t>大渡河</w:t>
                  </w:r>
                </w:p>
              </w:tc>
              <w:tc>
                <w:tcPr>
                  <w:tcW w:w="2083" w:type="dxa"/>
                  <w:vAlign w:val="center"/>
                </w:tcPr>
                <w:p>
                  <w:pPr>
                    <w:adjustRightInd w:val="0"/>
                    <w:snapToGrid w:val="0"/>
                    <w:jc w:val="center"/>
                    <w:rPr>
                      <w:sz w:val="21"/>
                      <w:szCs w:val="21"/>
                    </w:rPr>
                  </w:pPr>
                  <w:r>
                    <w:rPr>
                      <w:sz w:val="21"/>
                      <w:szCs w:val="21"/>
                    </w:rPr>
                    <w:t>354.8</w:t>
                  </w:r>
                </w:p>
              </w:tc>
              <w:tc>
                <w:tcPr>
                  <w:tcW w:w="2117" w:type="dxa"/>
                  <w:vAlign w:val="center"/>
                </w:tcPr>
                <w:p>
                  <w:pPr>
                    <w:adjustRightInd w:val="0"/>
                    <w:snapToGrid w:val="0"/>
                    <w:jc w:val="center"/>
                    <w:rPr>
                      <w:sz w:val="21"/>
                      <w:szCs w:val="21"/>
                    </w:rPr>
                  </w:pPr>
                  <w:r>
                    <w:rPr>
                      <w:sz w:val="21"/>
                      <w:szCs w:val="21"/>
                    </w:rPr>
                    <w:t>11</w:t>
                  </w:r>
                </w:p>
              </w:tc>
              <w:tc>
                <w:tcPr>
                  <w:tcW w:w="2078" w:type="dxa"/>
                  <w:vAlign w:val="center"/>
                </w:tcPr>
                <w:p>
                  <w:pPr>
                    <w:adjustRightInd w:val="0"/>
                    <w:snapToGrid w:val="0"/>
                    <w:jc w:val="center"/>
                    <w:rPr>
                      <w:sz w:val="21"/>
                      <w:szCs w:val="21"/>
                    </w:rPr>
                  </w:pPr>
                  <w:r>
                    <w:rPr>
                      <w:sz w:val="21"/>
                      <w:szCs w:val="21"/>
                    </w:rPr>
                    <w:t>0.141</w:t>
                  </w:r>
                </w:p>
              </w:tc>
            </w:tr>
          </w:tbl>
          <w:p>
            <w:pPr>
              <w:pStyle w:val="12"/>
              <w:ind w:firstLine="480"/>
              <w:rPr>
                <w:lang w:val="en-GB"/>
              </w:rPr>
            </w:pPr>
            <w:r>
              <w:rPr>
                <w:lang w:val="en-GB"/>
              </w:rPr>
              <w:t>（</w:t>
            </w:r>
            <w:r>
              <w:t>4</w:t>
            </w:r>
            <w:r>
              <w:rPr>
                <w:lang w:val="en-GB"/>
              </w:rPr>
              <w:t>）预测结果</w:t>
            </w:r>
          </w:p>
          <w:p>
            <w:pPr>
              <w:tabs>
                <w:tab w:val="left" w:pos="321"/>
              </w:tabs>
              <w:snapToGrid w:val="0"/>
              <w:spacing w:line="360" w:lineRule="auto"/>
              <w:ind w:firstLine="480" w:firstLineChars="200"/>
              <w:jc w:val="left"/>
              <w:rPr>
                <w:kern w:val="0"/>
              </w:rPr>
            </w:pPr>
            <w:r>
              <w:rPr>
                <w:rFonts w:hint="eastAsia" w:ascii="宋体" w:hAnsi="宋体" w:cs="宋体"/>
                <w:kern w:val="0"/>
              </w:rPr>
              <w:t>①</w:t>
            </w:r>
            <w:r>
              <w:rPr>
                <w:kern w:val="0"/>
              </w:rPr>
              <w:t>控制断面</w:t>
            </w:r>
          </w:p>
          <w:p>
            <w:pPr>
              <w:snapToGrid w:val="0"/>
              <w:spacing w:line="360" w:lineRule="auto"/>
              <w:ind w:firstLine="480" w:firstLineChars="200"/>
              <w:jc w:val="left"/>
              <w:rPr>
                <w:kern w:val="0"/>
              </w:rPr>
            </w:pPr>
            <w:r>
              <w:rPr>
                <w:kern w:val="0"/>
              </w:rPr>
              <w:t>本项目尾水入河排污口位于</w:t>
            </w:r>
            <w:r>
              <w:rPr>
                <w:rFonts w:hint="eastAsia"/>
                <w:kern w:val="0"/>
              </w:rPr>
              <w:t>大渡河左</w:t>
            </w:r>
            <w:r>
              <w:rPr>
                <w:kern w:val="0"/>
              </w:rPr>
              <w:t>岸。经调查，项目排污口下游5km范围无集中式地表水饮用水源取水口，不涉及饮用水源保护区等敏感区域。预测范围内河段可以分为充分混合段、混合过程段。充分混合段是指污染物浓度在断面上分布均匀的河段，混合过程段是指排放口下游达到充分混合以前的河段。混合过程段长度可由下式进行估算：</w:t>
            </w:r>
          </w:p>
          <w:p>
            <w:pPr>
              <w:snapToGrid w:val="0"/>
              <w:spacing w:line="360" w:lineRule="auto"/>
              <w:jc w:val="center"/>
              <w:rPr>
                <w:kern w:val="0"/>
              </w:rPr>
            </w:pPr>
            <w:r>
              <w:rPr>
                <w:position w:val="-32"/>
              </w:rPr>
              <w:object>
                <v:shape id="_x0000_i1032" o:spt="75" type="#_x0000_t75" style="height:36.55pt;width:212.8pt;" o:ole="t" filled="f" o:preferrelative="t" stroked="f" coordsize="21600,21600">
                  <v:path/>
                  <v:fill on="f" focussize="0,0"/>
                  <v:stroke on="f" joinstyle="miter"/>
                  <v:imagedata r:id="rId33" o:title=""/>
                  <o:lock v:ext="edit" aspectratio="t"/>
                  <w10:wrap type="none"/>
                  <w10:anchorlock/>
                </v:shape>
                <o:OLEObject Type="Embed" ProgID="Equation.3" ShapeID="_x0000_i1032" DrawAspect="Content" ObjectID="_1468075732" r:id="rId32">
                  <o:LockedField>false</o:LockedField>
                </o:OLEObject>
              </w:object>
            </w:r>
          </w:p>
          <w:p>
            <w:pPr>
              <w:snapToGrid w:val="0"/>
              <w:spacing w:line="360" w:lineRule="auto"/>
              <w:ind w:firstLine="480" w:firstLineChars="200"/>
              <w:jc w:val="left"/>
              <w:rPr>
                <w:kern w:val="0"/>
              </w:rPr>
            </w:pPr>
            <w:r>
              <w:rPr>
                <w:kern w:val="0"/>
              </w:rPr>
              <w:t>式中：L</w:t>
            </w:r>
            <w:r>
              <w:rPr>
                <w:kern w:val="0"/>
                <w:vertAlign w:val="subscript"/>
              </w:rPr>
              <w:t>m</w:t>
            </w:r>
            <w:r>
              <w:rPr>
                <w:kern w:val="0"/>
              </w:rPr>
              <w:t>—混合段长度，m；</w:t>
            </w:r>
          </w:p>
          <w:p>
            <w:pPr>
              <w:snapToGrid w:val="0"/>
              <w:spacing w:line="360" w:lineRule="auto"/>
              <w:ind w:firstLine="480" w:firstLineChars="200"/>
              <w:jc w:val="left"/>
              <w:rPr>
                <w:kern w:val="0"/>
              </w:rPr>
            </w:pPr>
            <w:r>
              <w:rPr>
                <w:kern w:val="0"/>
              </w:rPr>
              <w:t>B—水面宽度，</w:t>
            </w:r>
            <w:r>
              <w:rPr>
                <w:rFonts w:hint="eastAsia"/>
                <w:kern w:val="0"/>
              </w:rPr>
              <w:t>2</w:t>
            </w:r>
            <w:r>
              <w:rPr>
                <w:kern w:val="0"/>
              </w:rPr>
              <w:t>00m；</w:t>
            </w:r>
          </w:p>
          <w:p>
            <w:pPr>
              <w:snapToGrid w:val="0"/>
              <w:spacing w:line="360" w:lineRule="auto"/>
              <w:ind w:firstLine="480" w:firstLineChars="200"/>
              <w:jc w:val="left"/>
              <w:rPr>
                <w:kern w:val="0"/>
              </w:rPr>
            </w:pPr>
            <w:r>
              <w:rPr>
                <w:kern w:val="0"/>
              </w:rPr>
              <w:t>a—排放口到岸边的距离，m；根据项目污水的排放特点可知，本项目污染源为连续恒定排放的点源，排放方式为岸边排放。因此a=0。</w:t>
            </w:r>
          </w:p>
          <w:p>
            <w:pPr>
              <w:snapToGrid w:val="0"/>
              <w:spacing w:line="360" w:lineRule="auto"/>
              <w:ind w:firstLine="480" w:firstLineChars="200"/>
              <w:jc w:val="left"/>
              <w:rPr>
                <w:kern w:val="0"/>
              </w:rPr>
            </w:pPr>
            <w:r>
              <w:rPr>
                <w:kern w:val="0"/>
              </w:rPr>
              <w:t>u—断面流速，</w:t>
            </w:r>
            <w:r>
              <w:rPr>
                <w:rFonts w:hint="eastAsia"/>
                <w:kern w:val="0"/>
              </w:rPr>
              <w:t>0</w:t>
            </w:r>
            <w:r>
              <w:rPr>
                <w:kern w:val="0"/>
              </w:rPr>
              <w:t>.44m/s；</w:t>
            </w:r>
          </w:p>
          <w:p>
            <w:pPr>
              <w:snapToGrid w:val="0"/>
              <w:spacing w:line="360" w:lineRule="auto"/>
              <w:ind w:firstLine="480" w:firstLineChars="200"/>
              <w:jc w:val="left"/>
              <w:rPr>
                <w:kern w:val="0"/>
              </w:rPr>
            </w:pPr>
            <w:r>
              <w:rPr>
                <w:kern w:val="0"/>
              </w:rPr>
              <w:t>Ey—污染物横向扩散系数，</w:t>
            </w:r>
            <w:r>
              <w:rPr>
                <w:rFonts w:hint="eastAsia"/>
                <w:kern w:val="0"/>
              </w:rPr>
              <w:t>9</w:t>
            </w:r>
            <w:r>
              <w:rPr>
                <w:kern w:val="0"/>
              </w:rPr>
              <w:t>.1m</w:t>
            </w:r>
            <w:r>
              <w:rPr>
                <w:kern w:val="0"/>
                <w:vertAlign w:val="superscript"/>
              </w:rPr>
              <w:t>2</w:t>
            </w:r>
            <w:r>
              <w:rPr>
                <w:kern w:val="0"/>
              </w:rPr>
              <w:t>/s。</w:t>
            </w:r>
          </w:p>
          <w:p>
            <w:pPr>
              <w:snapToGrid w:val="0"/>
              <w:spacing w:line="360" w:lineRule="auto"/>
              <w:ind w:firstLine="480" w:firstLineChars="200"/>
              <w:jc w:val="left"/>
              <w:rPr>
                <w:kern w:val="0"/>
              </w:rPr>
            </w:pPr>
            <w:r>
              <w:rPr>
                <w:kern w:val="0"/>
              </w:rPr>
              <w:t>Ey 值采用泰勒法。即</w:t>
            </w:r>
          </w:p>
          <w:p>
            <w:pPr>
              <w:snapToGrid w:val="0"/>
              <w:spacing w:line="360" w:lineRule="auto"/>
              <w:jc w:val="center"/>
              <w:rPr>
                <w:kern w:val="0"/>
              </w:rPr>
            </w:pPr>
            <w:r>
              <w:rPr>
                <w:position w:val="-14"/>
              </w:rPr>
              <w:object>
                <v:shape id="_x0000_i1033" o:spt="75" type="#_x0000_t75" style="height:20.4pt;width:165.5pt;" o:ole="t" filled="f" o:preferrelative="t" stroked="f" coordsize="21600,21600">
                  <v:path/>
                  <v:fill on="f" focussize="0,0"/>
                  <v:stroke on="f" joinstyle="miter"/>
                  <v:imagedata r:id="rId35" o:title=""/>
                  <o:lock v:ext="edit" aspectratio="t"/>
                  <w10:wrap type="none"/>
                  <w10:anchorlock/>
                </v:shape>
                <o:OLEObject Type="Embed" ProgID="Equation.3" ShapeID="_x0000_i1033" DrawAspect="Content" ObjectID="_1468075733" r:id="rId34">
                  <o:LockedField>false</o:LockedField>
                </o:OLEObject>
              </w:object>
            </w:r>
          </w:p>
          <w:p>
            <w:pPr>
              <w:snapToGrid w:val="0"/>
              <w:spacing w:line="360" w:lineRule="auto"/>
              <w:ind w:firstLine="480" w:firstLineChars="200"/>
              <w:jc w:val="left"/>
              <w:rPr>
                <w:kern w:val="0"/>
                <w:vertAlign w:val="superscript"/>
              </w:rPr>
            </w:pPr>
            <w:r>
              <w:rPr>
                <w:kern w:val="0"/>
              </w:rPr>
              <w:t>式中：g—重力加速度，</w:t>
            </w:r>
            <w:r>
              <w:rPr>
                <w:rFonts w:hint="eastAsia"/>
                <w:kern w:val="0"/>
              </w:rPr>
              <w:t>9</w:t>
            </w:r>
            <w:r>
              <w:rPr>
                <w:kern w:val="0"/>
              </w:rPr>
              <w:t>.8m/s</w:t>
            </w:r>
            <w:r>
              <w:rPr>
                <w:kern w:val="0"/>
                <w:vertAlign w:val="superscript"/>
              </w:rPr>
              <w:t>2</w:t>
            </w:r>
          </w:p>
          <w:p>
            <w:pPr>
              <w:snapToGrid w:val="0"/>
              <w:spacing w:line="360" w:lineRule="auto"/>
              <w:ind w:firstLine="480" w:firstLineChars="200"/>
              <w:jc w:val="left"/>
              <w:rPr>
                <w:kern w:val="0"/>
              </w:rPr>
            </w:pPr>
            <w:r>
              <w:rPr>
                <w:kern w:val="0"/>
              </w:rPr>
              <w:t>I—河流平均比降，m/m</w:t>
            </w:r>
            <w:r>
              <w:rPr>
                <w:rFonts w:hint="eastAsia"/>
                <w:kern w:val="0"/>
              </w:rPr>
              <w:t>，</w:t>
            </w:r>
            <w:r>
              <w:rPr>
                <w:kern w:val="0"/>
              </w:rPr>
              <w:t>取</w:t>
            </w:r>
            <w:r>
              <w:rPr>
                <w:rFonts w:hint="eastAsia"/>
                <w:kern w:val="0"/>
              </w:rPr>
              <w:t>0.</w:t>
            </w:r>
            <w:r>
              <w:rPr>
                <w:kern w:val="0"/>
              </w:rPr>
              <w:t>9</w:t>
            </w:r>
            <w:r>
              <w:rPr>
                <w:rFonts w:hint="eastAsia"/>
                <w:kern w:val="0"/>
              </w:rPr>
              <w:t>；</w:t>
            </w:r>
          </w:p>
          <w:p>
            <w:pPr>
              <w:snapToGrid w:val="0"/>
              <w:spacing w:line="360" w:lineRule="auto"/>
              <w:ind w:firstLine="480" w:firstLineChars="200"/>
              <w:jc w:val="left"/>
              <w:rPr>
                <w:kern w:val="0"/>
              </w:rPr>
            </w:pPr>
            <w:r>
              <w:rPr>
                <w:kern w:val="0"/>
              </w:rPr>
              <w:t>H—平均水深，</w:t>
            </w:r>
            <w:r>
              <w:rPr>
                <w:rFonts w:hint="eastAsia"/>
                <w:kern w:val="0"/>
              </w:rPr>
              <w:t>4</w:t>
            </w:r>
            <w:r>
              <w:rPr>
                <w:kern w:val="0"/>
              </w:rPr>
              <w:t>m；</w:t>
            </w:r>
          </w:p>
          <w:p>
            <w:pPr>
              <w:snapToGrid w:val="0"/>
              <w:spacing w:line="360" w:lineRule="auto"/>
              <w:ind w:firstLine="480" w:firstLineChars="200"/>
              <w:jc w:val="left"/>
              <w:rPr>
                <w:kern w:val="0"/>
              </w:rPr>
            </w:pPr>
            <w:r>
              <w:rPr>
                <w:kern w:val="0"/>
              </w:rPr>
              <w:t>B—平均河流宽度，</w:t>
            </w:r>
            <w:r>
              <w:rPr>
                <w:rFonts w:hint="eastAsia"/>
                <w:kern w:val="0"/>
              </w:rPr>
              <w:t>2</w:t>
            </w:r>
            <w:r>
              <w:rPr>
                <w:kern w:val="0"/>
              </w:rPr>
              <w:t>00m；</w:t>
            </w:r>
          </w:p>
          <w:p>
            <w:pPr>
              <w:pStyle w:val="173"/>
              <w:spacing w:line="360" w:lineRule="auto"/>
              <w:ind w:firstLine="480" w:firstLineChars="200"/>
              <w:rPr>
                <w:rFonts w:ascii="Times New Roman" w:cs="Times New Roman"/>
                <w:color w:val="auto"/>
              </w:rPr>
            </w:pPr>
            <w:r>
              <w:rPr>
                <w:rFonts w:ascii="Times New Roman" w:cs="Times New Roman"/>
                <w:color w:val="auto"/>
              </w:rPr>
              <w:t>Ey=9.1。</w:t>
            </w:r>
          </w:p>
          <w:p>
            <w:pPr>
              <w:snapToGrid w:val="0"/>
              <w:spacing w:line="360" w:lineRule="auto"/>
              <w:ind w:firstLine="480" w:firstLineChars="200"/>
              <w:rPr>
                <w:kern w:val="0"/>
              </w:rPr>
            </w:pPr>
            <w:r>
              <w:rPr>
                <w:kern w:val="0"/>
              </w:rPr>
              <w:t>经计算，</w:t>
            </w:r>
            <w:r>
              <w:rPr>
                <w:rFonts w:hint="eastAsia"/>
                <w:kern w:val="0"/>
              </w:rPr>
              <w:t>马嘶溪村</w:t>
            </w:r>
            <w:r>
              <w:rPr>
                <w:kern w:val="0"/>
              </w:rPr>
              <w:t>污水处理站处理后尾水在</w:t>
            </w:r>
            <w:r>
              <w:rPr>
                <w:rFonts w:hint="eastAsia"/>
                <w:kern w:val="0"/>
              </w:rPr>
              <w:t>大渡河</w:t>
            </w:r>
            <w:r>
              <w:rPr>
                <w:kern w:val="0"/>
              </w:rPr>
              <w:t>枯水期的水文条件下，在排污口下游约1354m处充分混合。</w:t>
            </w:r>
          </w:p>
          <w:p>
            <w:pPr>
              <w:pStyle w:val="188"/>
              <w:snapToGrid w:val="0"/>
              <w:spacing w:line="360" w:lineRule="auto"/>
              <w:ind w:left="480" w:firstLine="0" w:firstLineChars="0"/>
              <w:rPr>
                <w:kern w:val="0"/>
              </w:rPr>
            </w:pPr>
            <w:r>
              <w:rPr>
                <w:rFonts w:hint="eastAsia"/>
                <w:kern w:val="0"/>
              </w:rPr>
              <w:t>②</w:t>
            </w:r>
            <w:r>
              <w:rPr>
                <w:kern w:val="0"/>
              </w:rPr>
              <w:t>预测内容及预测因子</w:t>
            </w:r>
          </w:p>
          <w:p>
            <w:pPr>
              <w:snapToGrid w:val="0"/>
              <w:spacing w:line="360" w:lineRule="auto"/>
              <w:ind w:firstLine="480" w:firstLineChars="200"/>
              <w:rPr>
                <w:kern w:val="0"/>
              </w:rPr>
            </w:pPr>
            <w:r>
              <w:rPr>
                <w:kern w:val="0"/>
              </w:rPr>
              <w:t>根据《</w:t>
            </w:r>
            <w:r>
              <w:rPr>
                <w:rFonts w:hint="eastAsia"/>
                <w:kern w:val="0"/>
              </w:rPr>
              <w:t>建设项目</w:t>
            </w:r>
            <w:r>
              <w:rPr>
                <w:kern w:val="0"/>
              </w:rPr>
              <w:t>环境影响评价技术导则总纲》（HJ2.1-2016）和《环境影响评价技术导则  地表水环境》（HJ2.3-2018），结合实际情况，本项目选择CODcr、氨氮作为本次预测因子，预测时段为</w:t>
            </w:r>
            <w:r>
              <w:rPr>
                <w:rFonts w:hint="eastAsia"/>
                <w:kern w:val="0"/>
              </w:rPr>
              <w:t>大渡河</w:t>
            </w:r>
            <w:r>
              <w:rPr>
                <w:kern w:val="0"/>
              </w:rPr>
              <w:t>枯水期，预测内容为项目尾水正常及事故排放对</w:t>
            </w:r>
            <w:r>
              <w:rPr>
                <w:rFonts w:hint="eastAsia"/>
                <w:kern w:val="0"/>
              </w:rPr>
              <w:t>大渡河</w:t>
            </w:r>
            <w:r>
              <w:rPr>
                <w:kern w:val="0"/>
              </w:rPr>
              <w:t>水质指标的影响程度。</w:t>
            </w:r>
          </w:p>
          <w:p>
            <w:pPr>
              <w:snapToGrid w:val="0"/>
              <w:spacing w:line="360" w:lineRule="auto"/>
              <w:ind w:left="480" w:leftChars="200"/>
              <w:rPr>
                <w:kern w:val="0"/>
              </w:rPr>
            </w:pPr>
            <w:r>
              <w:rPr>
                <w:rFonts w:hint="eastAsia" w:ascii="宋体" w:hAnsi="宋体" w:cs="宋体"/>
                <w:kern w:val="0"/>
              </w:rPr>
              <w:t>③</w:t>
            </w:r>
            <w:r>
              <w:rPr>
                <w:kern w:val="0"/>
              </w:rPr>
              <w:t>预测模式</w:t>
            </w:r>
          </w:p>
          <w:p>
            <w:pPr>
              <w:snapToGrid w:val="0"/>
              <w:spacing w:line="360" w:lineRule="auto"/>
              <w:ind w:firstLine="480" w:firstLineChars="200"/>
              <w:rPr>
                <w:kern w:val="0"/>
              </w:rPr>
            </w:pPr>
            <w:r>
              <w:rPr>
                <w:kern w:val="0"/>
              </w:rPr>
              <w:t>根据《环境影响评价技术导则  地表水环境》（HJ2.3-2018），预测河段及代表性断面的宽深比≥20时，可视为矩形河段；河段弯曲系数＞1.3时，可视为弯曲河段，其余可概化为平直河段。本项目受纳水体评价河段宽深比大于20，弯曲系数小于1.3，故评价河段可简化为矩形平直河流。</w:t>
            </w:r>
          </w:p>
          <w:p>
            <w:pPr>
              <w:snapToGrid w:val="0"/>
              <w:spacing w:line="360" w:lineRule="auto"/>
              <w:ind w:firstLine="480" w:firstLineChars="200"/>
              <w:rPr>
                <w:kern w:val="0"/>
              </w:rPr>
            </w:pPr>
            <w:r>
              <w:rPr>
                <w:kern w:val="0"/>
              </w:rPr>
              <w:t>根据《环境影响评价技术导则  地表水环境》（HJ2.3-2018）7.6预测模型选择，由于本项目受纳河流属于平直恒定均匀河流，且尾水连续排放，因此，本项目预测模型采用导则推荐的</w:t>
            </w:r>
            <w:r>
              <w:rPr>
                <w:rFonts w:hint="eastAsia"/>
                <w:kern w:val="0"/>
              </w:rPr>
              <w:t>平面二维</w:t>
            </w:r>
            <w:r>
              <w:rPr>
                <w:kern w:val="0"/>
              </w:rPr>
              <w:t>数学模型解析法</w:t>
            </w:r>
            <w:r>
              <w:rPr>
                <w:rFonts w:hint="eastAsia"/>
                <w:kern w:val="0"/>
              </w:rPr>
              <w:t>，适用于模拟预测物质在宽浅水体（大河、湖库、入海河口及近岸海域）中，在垂向均匀混合的状况</w:t>
            </w:r>
            <w:r>
              <w:rPr>
                <w:kern w:val="0"/>
              </w:rPr>
              <w:t>：</w:t>
            </w:r>
          </w:p>
          <w:p>
            <w:pPr>
              <w:pStyle w:val="74"/>
              <w:jc w:val="left"/>
            </w:pPr>
            <w:r>
              <w:rPr>
                <w:rFonts w:hint="eastAsia" w:ascii="Times New Roman" w:hAnsi="Times New Roman" w:cs="Times New Roman"/>
              </w:rPr>
              <w:t>连续稳定排放：</w:t>
            </w:r>
          </w:p>
          <w:p>
            <w:pPr>
              <w:pStyle w:val="74"/>
              <w:spacing w:line="360" w:lineRule="auto"/>
              <w:rPr>
                <w:rFonts w:ascii="Times New Roman" w:hAnsi="Times New Roman" w:cs="Times New Roman"/>
                <w:kern w:val="0"/>
                <w:position w:val="-40"/>
                <w:sz w:val="28"/>
                <w:szCs w:val="28"/>
                <w:lang w:val="zh-CN"/>
              </w:rPr>
            </w:pPr>
            <w:bookmarkStart w:id="7" w:name="_Toc11295"/>
            <w:bookmarkStart w:id="8" w:name="_Toc20486"/>
            <w:bookmarkStart w:id="9" w:name="_Toc13263"/>
            <w:bookmarkStart w:id="10" w:name="_Toc25288"/>
            <w:bookmarkStart w:id="11" w:name="_Toc1103"/>
            <w:bookmarkStart w:id="12" w:name="_Toc31613"/>
            <w:bookmarkStart w:id="13" w:name="_Toc30068"/>
            <w:bookmarkStart w:id="14" w:name="_Toc10105"/>
            <w:bookmarkStart w:id="15" w:name="_Toc20984"/>
            <w:r>
              <w:rPr>
                <w:rFonts w:ascii="Times New Roman" w:hAnsi="Times New Roman" w:cs="Times New Roman"/>
                <w:kern w:val="0"/>
                <w:position w:val="-40"/>
                <w:sz w:val="28"/>
                <w:szCs w:val="28"/>
                <w:lang w:val="zh-CN"/>
              </w:rPr>
              <w:object>
                <v:shape id="_x0000_i1034" o:spt="75" type="#_x0000_t75" style="height:32.25pt;width:170.85pt;" o:ole="t" filled="f" o:preferrelative="t" stroked="f" coordsize="21600,21600">
                  <v:path/>
                  <v:fill on="f" focussize="0,0"/>
                  <v:stroke on="f" joinstyle="miter"/>
                  <v:imagedata r:id="rId37" o:title=""/>
                  <o:lock v:ext="edit" aspectratio="t"/>
                  <w10:wrap type="none"/>
                  <w10:anchorlock/>
                </v:shape>
                <o:OLEObject Type="Embed" ProgID="Equation.3" ShapeID="_x0000_i1034" DrawAspect="Content" ObjectID="_1468075734" r:id="rId36">
                  <o:LockedField>false</o:LockedField>
                </o:OLEObject>
              </w:object>
            </w:r>
            <w:bookmarkEnd w:id="7"/>
            <w:bookmarkEnd w:id="8"/>
            <w:bookmarkEnd w:id="9"/>
            <w:bookmarkEnd w:id="10"/>
            <w:bookmarkEnd w:id="11"/>
            <w:bookmarkEnd w:id="12"/>
            <w:bookmarkEnd w:id="13"/>
            <w:bookmarkEnd w:id="14"/>
            <w:bookmarkEnd w:id="15"/>
          </w:p>
          <w:p>
            <w:pPr>
              <w:snapToGrid w:val="0"/>
              <w:spacing w:line="360" w:lineRule="auto"/>
              <w:ind w:firstLine="480" w:firstLineChars="200"/>
              <w:jc w:val="left"/>
              <w:rPr>
                <w:kern w:val="0"/>
              </w:rPr>
            </w:pPr>
            <w:r>
              <w:rPr>
                <w:kern w:val="0"/>
              </w:rPr>
              <w:t>x——下游纵向距离，m；</w:t>
            </w:r>
          </w:p>
          <w:p>
            <w:pPr>
              <w:snapToGrid w:val="0"/>
              <w:spacing w:line="360" w:lineRule="auto"/>
              <w:ind w:firstLine="480" w:firstLineChars="200"/>
              <w:jc w:val="left"/>
              <w:rPr>
                <w:kern w:val="0"/>
              </w:rPr>
            </w:pPr>
            <w:r>
              <w:rPr>
                <w:kern w:val="0"/>
              </w:rPr>
              <w:t>y——下游横向距离，m；</w:t>
            </w:r>
          </w:p>
          <w:p>
            <w:pPr>
              <w:snapToGrid w:val="0"/>
              <w:spacing w:line="360" w:lineRule="auto"/>
              <w:ind w:firstLine="480" w:firstLineChars="200"/>
              <w:jc w:val="left"/>
              <w:rPr>
                <w:kern w:val="0"/>
              </w:rPr>
            </w:pPr>
            <w:r>
              <w:rPr>
                <w:kern w:val="0"/>
              </w:rPr>
              <w:t>m——污染物排放速率，g/s</w:t>
            </w:r>
          </w:p>
          <w:p>
            <w:pPr>
              <w:snapToGrid w:val="0"/>
              <w:spacing w:line="360" w:lineRule="auto"/>
              <w:ind w:firstLine="480" w:firstLineChars="200"/>
              <w:jc w:val="left"/>
              <w:rPr>
                <w:kern w:val="0"/>
              </w:rPr>
            </w:pPr>
            <w:r>
              <w:rPr>
                <w:kern w:val="0"/>
              </w:rPr>
              <w:t>u------------平均流速，m/s；；</w:t>
            </w:r>
          </w:p>
          <w:p>
            <w:pPr>
              <w:snapToGrid w:val="0"/>
              <w:spacing w:line="360" w:lineRule="auto"/>
              <w:ind w:firstLine="480" w:firstLineChars="200"/>
              <w:jc w:val="left"/>
              <w:rPr>
                <w:kern w:val="0"/>
              </w:rPr>
            </w:pPr>
            <w:r>
              <w:rPr>
                <w:kern w:val="0"/>
              </w:rPr>
              <w:t>H------------平均水深，m；</w:t>
            </w:r>
          </w:p>
          <w:p>
            <w:pPr>
              <w:snapToGrid w:val="0"/>
              <w:spacing w:line="360" w:lineRule="auto"/>
              <w:ind w:firstLine="480" w:firstLineChars="200"/>
              <w:jc w:val="left"/>
              <w:rPr>
                <w:kern w:val="0"/>
              </w:rPr>
            </w:pPr>
            <w:r>
              <w:rPr>
                <w:kern w:val="0"/>
              </w:rPr>
              <w:t>B------------平均河宽，m，；</w:t>
            </w:r>
          </w:p>
          <w:p>
            <w:pPr>
              <w:snapToGrid w:val="0"/>
              <w:spacing w:line="360" w:lineRule="auto"/>
              <w:ind w:firstLine="480" w:firstLineChars="200"/>
              <w:jc w:val="left"/>
              <w:rPr>
                <w:kern w:val="0"/>
              </w:rPr>
            </w:pPr>
            <w:r>
              <w:rPr>
                <w:kern w:val="0"/>
              </w:rPr>
              <w:t>Ey------------横向混合系数，m</w:t>
            </w:r>
            <w:r>
              <w:rPr>
                <w:kern w:val="0"/>
                <w:vertAlign w:val="superscript"/>
              </w:rPr>
              <w:t>2</w:t>
            </w:r>
            <w:r>
              <w:rPr>
                <w:kern w:val="0"/>
              </w:rPr>
              <w:t>/s。</w:t>
            </w:r>
          </w:p>
          <w:p>
            <w:pPr>
              <w:snapToGrid w:val="0"/>
              <w:spacing w:line="360" w:lineRule="auto"/>
              <w:ind w:firstLine="480" w:firstLineChars="200"/>
              <w:jc w:val="left"/>
              <w:rPr>
                <w:kern w:val="0"/>
              </w:rPr>
            </w:pPr>
            <w:r>
              <w:rPr>
                <w:kern w:val="0"/>
              </w:rPr>
              <w:t>K------------耗氧系数，1/S。</w:t>
            </w:r>
          </w:p>
          <w:p>
            <w:pPr>
              <w:snapToGrid w:val="0"/>
              <w:spacing w:line="360" w:lineRule="auto"/>
              <w:ind w:firstLine="480" w:firstLineChars="200"/>
              <w:rPr>
                <w:kern w:val="0"/>
              </w:rPr>
            </w:pPr>
            <w:r>
              <w:rPr>
                <w:kern w:val="0"/>
              </w:rPr>
              <w:t>（4）预测情景</w:t>
            </w:r>
          </w:p>
          <w:p>
            <w:pPr>
              <w:snapToGrid w:val="0"/>
              <w:spacing w:line="360" w:lineRule="auto"/>
              <w:ind w:firstLine="480" w:firstLineChars="200"/>
              <w:rPr>
                <w:kern w:val="0"/>
              </w:rPr>
            </w:pPr>
            <w:r>
              <w:rPr>
                <w:kern w:val="0"/>
              </w:rPr>
              <w:t>在本次影响预测中主要预测2种情景：</w:t>
            </w:r>
          </w:p>
          <w:p>
            <w:pPr>
              <w:pStyle w:val="188"/>
              <w:numPr>
                <w:ilvl w:val="0"/>
                <w:numId w:val="4"/>
              </w:numPr>
              <w:snapToGrid w:val="0"/>
              <w:spacing w:line="360" w:lineRule="auto"/>
              <w:ind w:left="0" w:firstLine="480"/>
              <w:rPr>
                <w:kern w:val="0"/>
              </w:rPr>
            </w:pPr>
            <w:r>
              <w:rPr>
                <w:kern w:val="0"/>
              </w:rPr>
              <w:t>本项目正常运行，尾水排放量以100m</w:t>
            </w:r>
            <w:r>
              <w:rPr>
                <w:kern w:val="0"/>
                <w:vertAlign w:val="superscript"/>
              </w:rPr>
              <w:t>3</w:t>
            </w:r>
            <w:r>
              <w:rPr>
                <w:kern w:val="0"/>
              </w:rPr>
              <w:t>/d</w:t>
            </w:r>
            <w:r>
              <w:rPr>
                <w:rFonts w:hint="eastAsia"/>
                <w:kern w:val="0"/>
              </w:rPr>
              <w:t>计</w:t>
            </w:r>
            <w:r>
              <w:rPr>
                <w:kern w:val="0"/>
              </w:rPr>
              <w:t>，折</w:t>
            </w:r>
            <w:r>
              <w:t>0.0012</w:t>
            </w:r>
            <w:r>
              <w:rPr>
                <w:kern w:val="0"/>
              </w:rPr>
              <w:t>m</w:t>
            </w:r>
            <w:r>
              <w:rPr>
                <w:kern w:val="0"/>
                <w:vertAlign w:val="superscript"/>
              </w:rPr>
              <w:t>3</w:t>
            </w:r>
            <w:r>
              <w:rPr>
                <w:kern w:val="0"/>
              </w:rPr>
              <w:t>/s，对</w:t>
            </w:r>
            <w:r>
              <w:rPr>
                <w:rFonts w:hint="eastAsia"/>
                <w:kern w:val="0"/>
              </w:rPr>
              <w:t>大渡河</w:t>
            </w:r>
            <w:r>
              <w:rPr>
                <w:kern w:val="0"/>
              </w:rPr>
              <w:t>水质的影响；</w:t>
            </w:r>
          </w:p>
          <w:p>
            <w:pPr>
              <w:pStyle w:val="188"/>
              <w:numPr>
                <w:ilvl w:val="0"/>
                <w:numId w:val="2"/>
              </w:numPr>
              <w:snapToGrid w:val="0"/>
              <w:spacing w:line="360" w:lineRule="auto"/>
              <w:ind w:left="0" w:firstLine="480"/>
              <w:rPr>
                <w:kern w:val="0"/>
              </w:rPr>
            </w:pPr>
            <w:r>
              <w:rPr>
                <w:kern w:val="0"/>
              </w:rPr>
              <w:t>本项目非正常运行</w:t>
            </w:r>
            <w:r>
              <w:rPr>
                <w:rFonts w:hint="eastAsia"/>
                <w:kern w:val="0"/>
              </w:rPr>
              <w:t>，</w:t>
            </w:r>
            <w:r>
              <w:rPr>
                <w:kern w:val="0"/>
              </w:rPr>
              <w:t>尾水排放量以100m</w:t>
            </w:r>
            <w:r>
              <w:rPr>
                <w:kern w:val="0"/>
                <w:vertAlign w:val="superscript"/>
              </w:rPr>
              <w:t>3</w:t>
            </w:r>
            <w:r>
              <w:rPr>
                <w:kern w:val="0"/>
              </w:rPr>
              <w:t>/d计，折</w:t>
            </w:r>
            <w:r>
              <w:t>0.0012</w:t>
            </w:r>
            <w:r>
              <w:rPr>
                <w:kern w:val="0"/>
              </w:rPr>
              <w:t>m</w:t>
            </w:r>
            <w:r>
              <w:rPr>
                <w:kern w:val="0"/>
                <w:vertAlign w:val="superscript"/>
              </w:rPr>
              <w:t>3</w:t>
            </w:r>
            <w:r>
              <w:rPr>
                <w:kern w:val="0"/>
              </w:rPr>
              <w:t>/s，污水处理设施完全故障，即废水不经处理直接排入</w:t>
            </w:r>
            <w:r>
              <w:rPr>
                <w:rFonts w:hint="eastAsia"/>
                <w:kern w:val="0"/>
              </w:rPr>
              <w:t>大渡河</w:t>
            </w:r>
            <w:r>
              <w:rPr>
                <w:kern w:val="0"/>
              </w:rPr>
              <w:t>，对</w:t>
            </w:r>
            <w:r>
              <w:rPr>
                <w:rFonts w:hint="eastAsia"/>
                <w:kern w:val="0"/>
              </w:rPr>
              <w:t>大渡河</w:t>
            </w:r>
            <w:r>
              <w:rPr>
                <w:kern w:val="0"/>
              </w:rPr>
              <w:t>水质的影响。项目最终排入</w:t>
            </w:r>
            <w:r>
              <w:rPr>
                <w:rFonts w:hint="eastAsia"/>
                <w:kern w:val="0"/>
              </w:rPr>
              <w:t>大渡河</w:t>
            </w:r>
            <w:r>
              <w:rPr>
                <w:kern w:val="0"/>
              </w:rPr>
              <w:t>的水量100m</w:t>
            </w:r>
            <w:r>
              <w:rPr>
                <w:kern w:val="0"/>
                <w:vertAlign w:val="superscript"/>
              </w:rPr>
              <w:t>3</w:t>
            </w:r>
            <w:r>
              <w:rPr>
                <w:kern w:val="0"/>
              </w:rPr>
              <w:t>/d，折</w:t>
            </w:r>
            <w:r>
              <w:t>0.0012</w:t>
            </w:r>
            <w:r>
              <w:rPr>
                <w:kern w:val="0"/>
              </w:rPr>
              <w:t>m</w:t>
            </w:r>
            <w:r>
              <w:rPr>
                <w:kern w:val="0"/>
                <w:vertAlign w:val="superscript"/>
              </w:rPr>
              <w:t>3</w:t>
            </w:r>
            <w:r>
              <w:rPr>
                <w:kern w:val="0"/>
              </w:rPr>
              <w:t>/s。</w:t>
            </w:r>
          </w:p>
          <w:p>
            <w:pPr>
              <w:snapToGrid w:val="0"/>
              <w:spacing w:line="360" w:lineRule="auto"/>
              <w:ind w:firstLine="480" w:firstLineChars="200"/>
              <w:rPr>
                <w:kern w:val="0"/>
              </w:rPr>
            </w:pPr>
            <w:r>
              <w:rPr>
                <w:kern w:val="0"/>
              </w:rPr>
              <w:t>本项目尾水排放情况见下表。</w:t>
            </w:r>
          </w:p>
          <w:p>
            <w:pPr>
              <w:adjustRightInd w:val="0"/>
              <w:snapToGrid w:val="0"/>
              <w:spacing w:line="360" w:lineRule="auto"/>
              <w:jc w:val="center"/>
              <w:rPr>
                <w:rFonts w:cs="Times New Roman"/>
                <w:b/>
                <w:szCs w:val="24"/>
              </w:rPr>
            </w:pPr>
            <w:r>
              <w:rPr>
                <w:rFonts w:cs="Times New Roman"/>
                <w:b/>
                <w:szCs w:val="24"/>
              </w:rPr>
              <w:t>表7-19 污水处理站预测情景设置</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
              <w:gridCol w:w="1888"/>
              <w:gridCol w:w="899"/>
              <w:gridCol w:w="1162"/>
              <w:gridCol w:w="1442"/>
              <w:gridCol w:w="1130"/>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gridSpan w:val="2"/>
                  <w:vMerge w:val="restart"/>
                  <w:vAlign w:val="center"/>
                </w:tcPr>
                <w:p>
                  <w:pPr>
                    <w:snapToGrid w:val="0"/>
                    <w:jc w:val="center"/>
                    <w:rPr>
                      <w:kern w:val="0"/>
                      <w:sz w:val="21"/>
                      <w:szCs w:val="21"/>
                    </w:rPr>
                  </w:pPr>
                  <w:r>
                    <w:rPr>
                      <w:kern w:val="0"/>
                      <w:sz w:val="21"/>
                      <w:szCs w:val="21"/>
                    </w:rPr>
                    <w:t>预测情景</w:t>
                  </w:r>
                </w:p>
              </w:tc>
              <w:tc>
                <w:tcPr>
                  <w:tcW w:w="899" w:type="dxa"/>
                  <w:vAlign w:val="center"/>
                </w:tcPr>
                <w:p>
                  <w:pPr>
                    <w:snapToGrid w:val="0"/>
                    <w:jc w:val="center"/>
                    <w:rPr>
                      <w:kern w:val="0"/>
                      <w:sz w:val="21"/>
                      <w:szCs w:val="21"/>
                    </w:rPr>
                  </w:pPr>
                  <w:r>
                    <w:rPr>
                      <w:kern w:val="0"/>
                      <w:sz w:val="21"/>
                      <w:szCs w:val="21"/>
                    </w:rPr>
                    <w:t>废水量</w:t>
                  </w:r>
                </w:p>
              </w:tc>
              <w:tc>
                <w:tcPr>
                  <w:tcW w:w="5168" w:type="dxa"/>
                  <w:gridSpan w:val="4"/>
                  <w:vAlign w:val="center"/>
                </w:tcPr>
                <w:p>
                  <w:pPr>
                    <w:snapToGrid w:val="0"/>
                    <w:jc w:val="center"/>
                    <w:rPr>
                      <w:kern w:val="0"/>
                      <w:sz w:val="21"/>
                      <w:szCs w:val="21"/>
                    </w:rPr>
                  </w:pPr>
                  <w:r>
                    <w:rPr>
                      <w:kern w:val="0"/>
                      <w:sz w:val="21"/>
                      <w:szCs w:val="21"/>
                    </w:rPr>
                    <w:t>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gridSpan w:val="2"/>
                  <w:vMerge w:val="continue"/>
                  <w:vAlign w:val="center"/>
                </w:tcPr>
                <w:p>
                  <w:pPr>
                    <w:snapToGrid w:val="0"/>
                    <w:jc w:val="center"/>
                    <w:rPr>
                      <w:kern w:val="0"/>
                      <w:sz w:val="21"/>
                      <w:szCs w:val="21"/>
                    </w:rPr>
                  </w:pPr>
                </w:p>
              </w:tc>
              <w:tc>
                <w:tcPr>
                  <w:tcW w:w="899" w:type="dxa"/>
                  <w:vMerge w:val="restart"/>
                  <w:vAlign w:val="center"/>
                </w:tcPr>
                <w:p>
                  <w:pPr>
                    <w:snapToGrid w:val="0"/>
                    <w:jc w:val="center"/>
                    <w:rPr>
                      <w:kern w:val="0"/>
                      <w:sz w:val="21"/>
                      <w:szCs w:val="21"/>
                    </w:rPr>
                  </w:pPr>
                  <w:r>
                    <w:rPr>
                      <w:kern w:val="0"/>
                      <w:sz w:val="21"/>
                      <w:szCs w:val="21"/>
                    </w:rPr>
                    <w:t>m</w:t>
                  </w:r>
                  <w:r>
                    <w:rPr>
                      <w:kern w:val="0"/>
                      <w:sz w:val="21"/>
                      <w:szCs w:val="21"/>
                      <w:vertAlign w:val="superscript"/>
                    </w:rPr>
                    <w:t>3</w:t>
                  </w:r>
                  <w:r>
                    <w:rPr>
                      <w:kern w:val="0"/>
                      <w:sz w:val="21"/>
                      <w:szCs w:val="21"/>
                    </w:rPr>
                    <w:t>/s</w:t>
                  </w:r>
                </w:p>
              </w:tc>
              <w:tc>
                <w:tcPr>
                  <w:tcW w:w="2604" w:type="dxa"/>
                  <w:gridSpan w:val="2"/>
                  <w:vAlign w:val="center"/>
                </w:tcPr>
                <w:p>
                  <w:pPr>
                    <w:snapToGrid w:val="0"/>
                    <w:jc w:val="center"/>
                    <w:rPr>
                      <w:kern w:val="0"/>
                      <w:sz w:val="21"/>
                      <w:szCs w:val="21"/>
                    </w:rPr>
                  </w:pPr>
                  <w:r>
                    <w:rPr>
                      <w:kern w:val="0"/>
                      <w:sz w:val="21"/>
                      <w:szCs w:val="21"/>
                    </w:rPr>
                    <w:t>COD</w:t>
                  </w:r>
                </w:p>
              </w:tc>
              <w:tc>
                <w:tcPr>
                  <w:tcW w:w="2564" w:type="dxa"/>
                  <w:gridSpan w:val="2"/>
                  <w:vAlign w:val="center"/>
                </w:tcPr>
                <w:p>
                  <w:pPr>
                    <w:snapToGrid w:val="0"/>
                    <w:jc w:val="center"/>
                    <w:rPr>
                      <w:kern w:val="0"/>
                      <w:sz w:val="21"/>
                      <w:szCs w:val="21"/>
                    </w:rPr>
                  </w:pPr>
                  <w:r>
                    <w:rPr>
                      <w:kern w:val="0"/>
                      <w:sz w:val="21"/>
                      <w:szCs w:val="21"/>
                    </w:rPr>
                    <w:t>NH</w:t>
                  </w:r>
                  <w:r>
                    <w:rPr>
                      <w:kern w:val="0"/>
                      <w:sz w:val="21"/>
                      <w:szCs w:val="21"/>
                      <w:vertAlign w:val="subscript"/>
                    </w:rPr>
                    <w:t>3</w:t>
                  </w:r>
                  <w:r>
                    <w:rPr>
                      <w:kern w:val="0"/>
                      <w:sz w:val="21"/>
                      <w:szCs w:val="21"/>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gridSpan w:val="2"/>
                  <w:vMerge w:val="continue"/>
                  <w:vAlign w:val="center"/>
                </w:tcPr>
                <w:p>
                  <w:pPr>
                    <w:snapToGrid w:val="0"/>
                    <w:jc w:val="center"/>
                    <w:rPr>
                      <w:kern w:val="0"/>
                      <w:sz w:val="21"/>
                      <w:szCs w:val="21"/>
                    </w:rPr>
                  </w:pPr>
                </w:p>
              </w:tc>
              <w:tc>
                <w:tcPr>
                  <w:tcW w:w="899" w:type="dxa"/>
                  <w:vMerge w:val="continue"/>
                  <w:vAlign w:val="center"/>
                </w:tcPr>
                <w:p>
                  <w:pPr>
                    <w:snapToGrid w:val="0"/>
                    <w:jc w:val="center"/>
                    <w:rPr>
                      <w:kern w:val="0"/>
                      <w:sz w:val="21"/>
                      <w:szCs w:val="21"/>
                    </w:rPr>
                  </w:pPr>
                </w:p>
              </w:tc>
              <w:tc>
                <w:tcPr>
                  <w:tcW w:w="1162" w:type="dxa"/>
                  <w:vAlign w:val="center"/>
                </w:tcPr>
                <w:p>
                  <w:pPr>
                    <w:snapToGrid w:val="0"/>
                    <w:jc w:val="center"/>
                    <w:rPr>
                      <w:kern w:val="0"/>
                      <w:sz w:val="21"/>
                      <w:szCs w:val="21"/>
                    </w:rPr>
                  </w:pPr>
                  <w:r>
                    <w:rPr>
                      <w:kern w:val="0"/>
                      <w:sz w:val="21"/>
                      <w:szCs w:val="21"/>
                    </w:rPr>
                    <w:t>浓度mg/L</w:t>
                  </w:r>
                </w:p>
              </w:tc>
              <w:tc>
                <w:tcPr>
                  <w:tcW w:w="1442" w:type="dxa"/>
                  <w:vAlign w:val="center"/>
                </w:tcPr>
                <w:p>
                  <w:pPr>
                    <w:snapToGrid w:val="0"/>
                    <w:jc w:val="center"/>
                    <w:rPr>
                      <w:kern w:val="0"/>
                      <w:sz w:val="21"/>
                      <w:szCs w:val="21"/>
                    </w:rPr>
                  </w:pPr>
                  <w:r>
                    <w:rPr>
                      <w:kern w:val="0"/>
                      <w:sz w:val="21"/>
                      <w:szCs w:val="21"/>
                    </w:rPr>
                    <w:t>排放速率（g/s）</w:t>
                  </w:r>
                </w:p>
              </w:tc>
              <w:tc>
                <w:tcPr>
                  <w:tcW w:w="1130" w:type="dxa"/>
                  <w:vAlign w:val="center"/>
                </w:tcPr>
                <w:p>
                  <w:pPr>
                    <w:snapToGrid w:val="0"/>
                    <w:jc w:val="center"/>
                    <w:rPr>
                      <w:kern w:val="0"/>
                      <w:sz w:val="21"/>
                      <w:szCs w:val="21"/>
                    </w:rPr>
                  </w:pPr>
                  <w:r>
                    <w:rPr>
                      <w:kern w:val="0"/>
                      <w:sz w:val="21"/>
                      <w:szCs w:val="21"/>
                    </w:rPr>
                    <w:t>浓度mg/L</w:t>
                  </w:r>
                </w:p>
              </w:tc>
              <w:tc>
                <w:tcPr>
                  <w:tcW w:w="1434" w:type="dxa"/>
                  <w:vAlign w:val="center"/>
                </w:tcPr>
                <w:p>
                  <w:pPr>
                    <w:snapToGrid w:val="0"/>
                    <w:jc w:val="center"/>
                    <w:rPr>
                      <w:kern w:val="0"/>
                      <w:sz w:val="21"/>
                      <w:szCs w:val="21"/>
                    </w:rPr>
                  </w:pPr>
                  <w:r>
                    <w:rPr>
                      <w:kern w:val="0"/>
                      <w:sz w:val="21"/>
                      <w:szCs w:val="21"/>
                    </w:rPr>
                    <w:t>排放速率（g/s）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47" w:type="dxa"/>
                  <w:vAlign w:val="center"/>
                </w:tcPr>
                <w:p>
                  <w:pPr>
                    <w:snapToGrid w:val="0"/>
                    <w:jc w:val="center"/>
                    <w:rPr>
                      <w:kern w:val="0"/>
                      <w:sz w:val="21"/>
                      <w:szCs w:val="21"/>
                    </w:rPr>
                  </w:pPr>
                  <w:r>
                    <w:rPr>
                      <w:kern w:val="0"/>
                      <w:sz w:val="21"/>
                      <w:szCs w:val="21"/>
                    </w:rPr>
                    <w:t>1</w:t>
                  </w:r>
                </w:p>
              </w:tc>
              <w:tc>
                <w:tcPr>
                  <w:tcW w:w="1888" w:type="dxa"/>
                  <w:vAlign w:val="center"/>
                </w:tcPr>
                <w:p>
                  <w:pPr>
                    <w:snapToGrid w:val="0"/>
                    <w:jc w:val="center"/>
                    <w:rPr>
                      <w:kern w:val="0"/>
                      <w:sz w:val="21"/>
                      <w:szCs w:val="21"/>
                    </w:rPr>
                  </w:pPr>
                  <w:r>
                    <w:rPr>
                      <w:kern w:val="0"/>
                      <w:sz w:val="21"/>
                      <w:szCs w:val="21"/>
                    </w:rPr>
                    <w:t>本项目正常运行</w:t>
                  </w:r>
                </w:p>
              </w:tc>
              <w:tc>
                <w:tcPr>
                  <w:tcW w:w="899" w:type="dxa"/>
                  <w:vAlign w:val="center"/>
                </w:tcPr>
                <w:p>
                  <w:pPr>
                    <w:snapToGrid w:val="0"/>
                    <w:jc w:val="center"/>
                    <w:rPr>
                      <w:kern w:val="0"/>
                      <w:sz w:val="21"/>
                      <w:szCs w:val="21"/>
                    </w:rPr>
                  </w:pPr>
                  <w:r>
                    <w:rPr>
                      <w:sz w:val="21"/>
                      <w:szCs w:val="21"/>
                    </w:rPr>
                    <w:t>0.0012</w:t>
                  </w:r>
                </w:p>
              </w:tc>
              <w:tc>
                <w:tcPr>
                  <w:tcW w:w="1162" w:type="dxa"/>
                  <w:vAlign w:val="center"/>
                </w:tcPr>
                <w:p>
                  <w:pPr>
                    <w:snapToGrid w:val="0"/>
                    <w:jc w:val="center"/>
                    <w:rPr>
                      <w:kern w:val="0"/>
                      <w:sz w:val="21"/>
                      <w:szCs w:val="21"/>
                    </w:rPr>
                  </w:pPr>
                  <w:r>
                    <w:rPr>
                      <w:sz w:val="21"/>
                      <w:szCs w:val="21"/>
                    </w:rPr>
                    <w:t>60</w:t>
                  </w:r>
                </w:p>
              </w:tc>
              <w:tc>
                <w:tcPr>
                  <w:tcW w:w="1442" w:type="dxa"/>
                  <w:vAlign w:val="center"/>
                </w:tcPr>
                <w:p>
                  <w:pPr>
                    <w:snapToGrid w:val="0"/>
                    <w:jc w:val="center"/>
                    <w:rPr>
                      <w:kern w:val="0"/>
                      <w:sz w:val="21"/>
                      <w:szCs w:val="21"/>
                    </w:rPr>
                  </w:pPr>
                  <w:r>
                    <w:rPr>
                      <w:rFonts w:hint="eastAsia"/>
                      <w:kern w:val="0"/>
                      <w:sz w:val="21"/>
                      <w:szCs w:val="21"/>
                    </w:rPr>
                    <w:t>0.06</w:t>
                  </w:r>
                </w:p>
              </w:tc>
              <w:tc>
                <w:tcPr>
                  <w:tcW w:w="1130" w:type="dxa"/>
                  <w:vAlign w:val="center"/>
                </w:tcPr>
                <w:p>
                  <w:pPr>
                    <w:snapToGrid w:val="0"/>
                    <w:jc w:val="center"/>
                    <w:rPr>
                      <w:kern w:val="0"/>
                      <w:sz w:val="21"/>
                      <w:szCs w:val="21"/>
                    </w:rPr>
                  </w:pPr>
                  <w:r>
                    <w:rPr>
                      <w:kern w:val="0"/>
                      <w:sz w:val="21"/>
                      <w:szCs w:val="21"/>
                    </w:rPr>
                    <w:t>8</w:t>
                  </w:r>
                </w:p>
              </w:tc>
              <w:tc>
                <w:tcPr>
                  <w:tcW w:w="1434" w:type="dxa"/>
                  <w:vAlign w:val="center"/>
                </w:tcPr>
                <w:p>
                  <w:pPr>
                    <w:snapToGrid w:val="0"/>
                    <w:jc w:val="center"/>
                    <w:rPr>
                      <w:kern w:val="0"/>
                      <w:sz w:val="21"/>
                      <w:szCs w:val="21"/>
                    </w:rPr>
                  </w:pPr>
                  <w:r>
                    <w:rPr>
                      <w:kern w:val="0"/>
                      <w:sz w:val="21"/>
                      <w:szCs w:val="21"/>
                    </w:rPr>
                    <w:t>0.0096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dxa"/>
                  <w:vAlign w:val="center"/>
                </w:tcPr>
                <w:p>
                  <w:pPr>
                    <w:snapToGrid w:val="0"/>
                    <w:jc w:val="center"/>
                    <w:rPr>
                      <w:kern w:val="0"/>
                      <w:sz w:val="21"/>
                      <w:szCs w:val="21"/>
                    </w:rPr>
                  </w:pPr>
                  <w:r>
                    <w:rPr>
                      <w:kern w:val="0"/>
                      <w:sz w:val="21"/>
                      <w:szCs w:val="21"/>
                    </w:rPr>
                    <w:t>2</w:t>
                  </w:r>
                </w:p>
              </w:tc>
              <w:tc>
                <w:tcPr>
                  <w:tcW w:w="1888" w:type="dxa"/>
                  <w:vAlign w:val="center"/>
                </w:tcPr>
                <w:p>
                  <w:pPr>
                    <w:snapToGrid w:val="0"/>
                    <w:jc w:val="center"/>
                    <w:rPr>
                      <w:kern w:val="0"/>
                      <w:sz w:val="21"/>
                      <w:szCs w:val="21"/>
                    </w:rPr>
                  </w:pPr>
                  <w:r>
                    <w:rPr>
                      <w:kern w:val="0"/>
                      <w:sz w:val="21"/>
                      <w:szCs w:val="21"/>
                    </w:rPr>
                    <w:t>本项目非正常运行（污水处理设施完全故障）</w:t>
                  </w:r>
                </w:p>
              </w:tc>
              <w:tc>
                <w:tcPr>
                  <w:tcW w:w="899" w:type="dxa"/>
                  <w:vAlign w:val="center"/>
                </w:tcPr>
                <w:p>
                  <w:pPr>
                    <w:snapToGrid w:val="0"/>
                    <w:jc w:val="center"/>
                    <w:rPr>
                      <w:kern w:val="0"/>
                      <w:sz w:val="21"/>
                      <w:szCs w:val="21"/>
                    </w:rPr>
                  </w:pPr>
                  <w:r>
                    <w:rPr>
                      <w:sz w:val="21"/>
                      <w:szCs w:val="21"/>
                    </w:rPr>
                    <w:t>0.0012</w:t>
                  </w:r>
                </w:p>
              </w:tc>
              <w:tc>
                <w:tcPr>
                  <w:tcW w:w="1162" w:type="dxa"/>
                  <w:vAlign w:val="center"/>
                </w:tcPr>
                <w:p>
                  <w:pPr>
                    <w:snapToGrid w:val="0"/>
                    <w:jc w:val="center"/>
                    <w:rPr>
                      <w:kern w:val="0"/>
                      <w:sz w:val="21"/>
                      <w:szCs w:val="21"/>
                    </w:rPr>
                  </w:pPr>
                  <w:r>
                    <w:rPr>
                      <w:sz w:val="21"/>
                      <w:szCs w:val="21"/>
                    </w:rPr>
                    <w:t>150</w:t>
                  </w:r>
                </w:p>
              </w:tc>
              <w:tc>
                <w:tcPr>
                  <w:tcW w:w="1442" w:type="dxa"/>
                  <w:vAlign w:val="center"/>
                </w:tcPr>
                <w:p>
                  <w:pPr>
                    <w:snapToGrid w:val="0"/>
                    <w:jc w:val="center"/>
                    <w:rPr>
                      <w:kern w:val="0"/>
                      <w:sz w:val="21"/>
                      <w:szCs w:val="21"/>
                    </w:rPr>
                  </w:pPr>
                  <w:r>
                    <w:rPr>
                      <w:rFonts w:hint="eastAsia"/>
                      <w:kern w:val="0"/>
                      <w:sz w:val="21"/>
                      <w:szCs w:val="21"/>
                    </w:rPr>
                    <w:t>0.18</w:t>
                  </w:r>
                </w:p>
              </w:tc>
              <w:tc>
                <w:tcPr>
                  <w:tcW w:w="1130" w:type="dxa"/>
                  <w:vAlign w:val="center"/>
                </w:tcPr>
                <w:p>
                  <w:pPr>
                    <w:snapToGrid w:val="0"/>
                    <w:jc w:val="center"/>
                    <w:rPr>
                      <w:kern w:val="0"/>
                      <w:sz w:val="21"/>
                      <w:szCs w:val="21"/>
                    </w:rPr>
                  </w:pPr>
                  <w:r>
                    <w:rPr>
                      <w:kern w:val="0"/>
                      <w:sz w:val="21"/>
                      <w:szCs w:val="21"/>
                    </w:rPr>
                    <w:t>20</w:t>
                  </w:r>
                </w:p>
              </w:tc>
              <w:tc>
                <w:tcPr>
                  <w:tcW w:w="1434" w:type="dxa"/>
                  <w:vAlign w:val="center"/>
                </w:tcPr>
                <w:p>
                  <w:pPr>
                    <w:snapToGrid w:val="0"/>
                    <w:jc w:val="center"/>
                    <w:rPr>
                      <w:kern w:val="0"/>
                      <w:sz w:val="21"/>
                      <w:szCs w:val="21"/>
                    </w:rPr>
                  </w:pPr>
                  <w:r>
                    <w:rPr>
                      <w:kern w:val="0"/>
                      <w:sz w:val="21"/>
                      <w:szCs w:val="21"/>
                    </w:rPr>
                    <w:t>0.024</w:t>
                  </w:r>
                </w:p>
              </w:tc>
            </w:tr>
          </w:tbl>
          <w:p>
            <w:pPr>
              <w:adjustRightInd w:val="0"/>
              <w:snapToGrid w:val="0"/>
              <w:spacing w:line="360" w:lineRule="auto"/>
              <w:jc w:val="center"/>
              <w:rPr>
                <w:rFonts w:cs="Times New Roman"/>
                <w:b/>
                <w:szCs w:val="24"/>
              </w:rPr>
            </w:pPr>
            <w:r>
              <w:rPr>
                <w:rFonts w:cs="Times New Roman"/>
                <w:b/>
                <w:szCs w:val="24"/>
              </w:rPr>
              <w:t>表7-20 本项目拟采取的预测方案</w:t>
            </w:r>
          </w:p>
          <w:tbl>
            <w:tblPr>
              <w:tblStyle w:val="30"/>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537"/>
              <w:gridCol w:w="3012"/>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Align w:val="center"/>
                </w:tcPr>
                <w:p>
                  <w:pPr>
                    <w:snapToGrid w:val="0"/>
                    <w:jc w:val="center"/>
                    <w:rPr>
                      <w:kern w:val="0"/>
                      <w:sz w:val="21"/>
                      <w:szCs w:val="21"/>
                    </w:rPr>
                  </w:pPr>
                  <w:r>
                    <w:rPr>
                      <w:kern w:val="0"/>
                      <w:sz w:val="21"/>
                      <w:szCs w:val="21"/>
                    </w:rPr>
                    <w:t>预测时段</w:t>
                  </w:r>
                </w:p>
              </w:tc>
              <w:tc>
                <w:tcPr>
                  <w:tcW w:w="1537" w:type="dxa"/>
                  <w:vAlign w:val="center"/>
                </w:tcPr>
                <w:p>
                  <w:pPr>
                    <w:snapToGrid w:val="0"/>
                    <w:jc w:val="center"/>
                    <w:rPr>
                      <w:kern w:val="0"/>
                      <w:sz w:val="21"/>
                      <w:szCs w:val="21"/>
                    </w:rPr>
                  </w:pPr>
                  <w:r>
                    <w:rPr>
                      <w:kern w:val="0"/>
                      <w:sz w:val="21"/>
                      <w:szCs w:val="21"/>
                    </w:rPr>
                    <w:t>正常运行</w:t>
                  </w:r>
                </w:p>
              </w:tc>
              <w:tc>
                <w:tcPr>
                  <w:tcW w:w="3012" w:type="dxa"/>
                  <w:vAlign w:val="center"/>
                </w:tcPr>
                <w:p>
                  <w:pPr>
                    <w:snapToGrid w:val="0"/>
                    <w:jc w:val="center"/>
                    <w:rPr>
                      <w:kern w:val="0"/>
                      <w:sz w:val="21"/>
                      <w:szCs w:val="21"/>
                    </w:rPr>
                  </w:pPr>
                  <w:r>
                    <w:rPr>
                      <w:kern w:val="0"/>
                      <w:sz w:val="21"/>
                      <w:szCs w:val="21"/>
                    </w:rPr>
                    <w:t>非正常运行（污水处理设施完全故障）</w:t>
                  </w:r>
                </w:p>
              </w:tc>
              <w:tc>
                <w:tcPr>
                  <w:tcW w:w="2240" w:type="dxa"/>
                  <w:vAlign w:val="center"/>
                </w:tcPr>
                <w:p>
                  <w:pPr>
                    <w:snapToGrid w:val="0"/>
                    <w:jc w:val="center"/>
                    <w:rPr>
                      <w:kern w:val="0"/>
                      <w:sz w:val="21"/>
                      <w:szCs w:val="21"/>
                    </w:rPr>
                  </w:pPr>
                  <w:r>
                    <w:rPr>
                      <w:kern w:val="0"/>
                      <w:sz w:val="21"/>
                      <w:szCs w:val="21"/>
                    </w:rPr>
                    <w:t>预测方案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restart"/>
                  <w:vAlign w:val="center"/>
                </w:tcPr>
                <w:p>
                  <w:pPr>
                    <w:snapToGrid w:val="0"/>
                    <w:jc w:val="center"/>
                    <w:rPr>
                      <w:kern w:val="0"/>
                      <w:sz w:val="21"/>
                      <w:szCs w:val="21"/>
                    </w:rPr>
                  </w:pPr>
                  <w:r>
                    <w:rPr>
                      <w:kern w:val="0"/>
                      <w:sz w:val="21"/>
                      <w:szCs w:val="21"/>
                    </w:rPr>
                    <w:t>枯水期</w:t>
                  </w:r>
                </w:p>
              </w:tc>
              <w:tc>
                <w:tcPr>
                  <w:tcW w:w="1537" w:type="dxa"/>
                  <w:vAlign w:val="center"/>
                </w:tcPr>
                <w:p>
                  <w:pPr>
                    <w:snapToGrid w:val="0"/>
                    <w:jc w:val="center"/>
                    <w:rPr>
                      <w:kern w:val="0"/>
                      <w:sz w:val="21"/>
                      <w:szCs w:val="21"/>
                    </w:rPr>
                  </w:pPr>
                  <w:r>
                    <w:t>√</w:t>
                  </w:r>
                </w:p>
              </w:tc>
              <w:tc>
                <w:tcPr>
                  <w:tcW w:w="3012" w:type="dxa"/>
                  <w:vAlign w:val="center"/>
                </w:tcPr>
                <w:p>
                  <w:pPr>
                    <w:snapToGrid w:val="0"/>
                    <w:jc w:val="center"/>
                    <w:rPr>
                      <w:kern w:val="0"/>
                      <w:sz w:val="21"/>
                      <w:szCs w:val="21"/>
                    </w:rPr>
                  </w:pPr>
                </w:p>
              </w:tc>
              <w:tc>
                <w:tcPr>
                  <w:tcW w:w="2240" w:type="dxa"/>
                  <w:vAlign w:val="center"/>
                </w:tcPr>
                <w:p>
                  <w:pPr>
                    <w:snapToGrid w:val="0"/>
                    <w:jc w:val="center"/>
                    <w:rPr>
                      <w:kern w:val="0"/>
                      <w:sz w:val="21"/>
                      <w:szCs w:val="21"/>
                    </w:rPr>
                  </w:pPr>
                  <w:r>
                    <w:rPr>
                      <w:kern w:val="0"/>
                      <w:sz w:val="21"/>
                      <w:szCs w:val="21"/>
                    </w:rPr>
                    <w:t>预测方案一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Merge w:val="continue"/>
                  <w:vAlign w:val="center"/>
                </w:tcPr>
                <w:p>
                  <w:pPr>
                    <w:snapToGrid w:val="0"/>
                    <w:jc w:val="center"/>
                    <w:rPr>
                      <w:kern w:val="0"/>
                      <w:sz w:val="21"/>
                      <w:szCs w:val="21"/>
                    </w:rPr>
                  </w:pPr>
                </w:p>
              </w:tc>
              <w:tc>
                <w:tcPr>
                  <w:tcW w:w="1537" w:type="dxa"/>
                  <w:vAlign w:val="center"/>
                </w:tcPr>
                <w:p>
                  <w:pPr>
                    <w:snapToGrid w:val="0"/>
                    <w:jc w:val="center"/>
                    <w:rPr>
                      <w:kern w:val="0"/>
                      <w:sz w:val="21"/>
                      <w:szCs w:val="21"/>
                    </w:rPr>
                  </w:pPr>
                </w:p>
              </w:tc>
              <w:tc>
                <w:tcPr>
                  <w:tcW w:w="3012" w:type="dxa"/>
                  <w:vAlign w:val="center"/>
                </w:tcPr>
                <w:p>
                  <w:pPr>
                    <w:snapToGrid w:val="0"/>
                    <w:jc w:val="center"/>
                    <w:rPr>
                      <w:kern w:val="0"/>
                      <w:sz w:val="21"/>
                      <w:szCs w:val="21"/>
                    </w:rPr>
                  </w:pPr>
                  <w:r>
                    <w:t>√</w:t>
                  </w:r>
                </w:p>
              </w:tc>
              <w:tc>
                <w:tcPr>
                  <w:tcW w:w="2240" w:type="dxa"/>
                  <w:vAlign w:val="center"/>
                </w:tcPr>
                <w:p>
                  <w:pPr>
                    <w:snapToGrid w:val="0"/>
                    <w:jc w:val="center"/>
                    <w:rPr>
                      <w:kern w:val="0"/>
                      <w:sz w:val="21"/>
                      <w:szCs w:val="21"/>
                    </w:rPr>
                  </w:pPr>
                  <w:r>
                    <w:rPr>
                      <w:kern w:val="0"/>
                      <w:sz w:val="21"/>
                      <w:szCs w:val="21"/>
                    </w:rPr>
                    <w:t>预测方案二</w:t>
                  </w:r>
                </w:p>
              </w:tc>
            </w:tr>
          </w:tbl>
          <w:p>
            <w:pPr>
              <w:widowControl/>
              <w:adjustRightInd w:val="0"/>
              <w:snapToGrid w:val="0"/>
              <w:spacing w:line="360" w:lineRule="auto"/>
              <w:ind w:firstLine="480" w:firstLineChars="200"/>
              <w:jc w:val="left"/>
              <w:rPr>
                <w:b/>
                <w:bCs/>
              </w:rPr>
            </w:pPr>
            <w:r>
              <w:rPr>
                <w:kern w:val="0"/>
                <w:lang w:bidi="ar"/>
              </w:rPr>
              <w:t>根据以上设定参数，地表水中污染物采用</w:t>
            </w:r>
            <w:r>
              <w:rPr>
                <w:rFonts w:hint="eastAsia"/>
                <w:kern w:val="0"/>
              </w:rPr>
              <w:t>平面二维</w:t>
            </w:r>
            <w:r>
              <w:rPr>
                <w:kern w:val="0"/>
              </w:rPr>
              <w:t>数学模型解析法</w:t>
            </w:r>
            <w:r>
              <w:rPr>
                <w:kern w:val="0"/>
                <w:lang w:bidi="ar"/>
              </w:rPr>
              <w:t>模式进行预测，</w:t>
            </w:r>
            <w:r>
              <w:rPr>
                <w:lang w:val="en-GB"/>
              </w:rPr>
              <w:t>正常工况排污预测结果列于</w:t>
            </w:r>
            <w:r>
              <w:rPr>
                <w:rFonts w:hint="eastAsia"/>
                <w:lang w:val="en-GB"/>
              </w:rPr>
              <w:t>下表</w:t>
            </w:r>
            <w:r>
              <w:t>。</w:t>
            </w:r>
          </w:p>
          <w:p>
            <w:pPr>
              <w:adjustRightInd w:val="0"/>
              <w:snapToGrid w:val="0"/>
              <w:spacing w:line="360" w:lineRule="auto"/>
              <w:jc w:val="center"/>
              <w:rPr>
                <w:rFonts w:cs="Times New Roman"/>
                <w:b/>
                <w:szCs w:val="24"/>
              </w:rPr>
            </w:pPr>
            <w:r>
              <w:rPr>
                <w:rFonts w:cs="Times New Roman"/>
                <w:b/>
                <w:szCs w:val="24"/>
              </w:rPr>
              <w:t>表7-20  正常工况各污染物浓预测值(mg/L)</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95"/>
              <w:gridCol w:w="1129"/>
              <w:gridCol w:w="1245"/>
              <w:gridCol w:w="1249"/>
              <w:gridCol w:w="1254"/>
              <w:gridCol w:w="1265"/>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1219" w:type="pct"/>
                  <w:gridSpan w:val="2"/>
                  <w:vMerge w:val="restar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COD</w:t>
                  </w:r>
                </w:p>
              </w:tc>
              <w:tc>
                <w:tcPr>
                  <w:tcW w:w="3781" w:type="pct"/>
                  <w:gridSpan w:val="5"/>
                  <w:tcBorders>
                    <w:tl2br w:val="nil"/>
                    <w:tr2bl w:val="nil"/>
                  </w:tcBorders>
                  <w:vAlign w:val="center"/>
                </w:tcPr>
                <w:p>
                  <w:pPr>
                    <w:pStyle w:val="74"/>
                    <w:rPr>
                      <w:rFonts w:ascii="Times New Roman" w:hAnsi="Times New Roman" w:cs="Times New Roman"/>
                      <w:sz w:val="21"/>
                      <w:szCs w:val="21"/>
                    </w:rPr>
                  </w:pPr>
                  <w:r>
                    <w:rPr>
                      <w:rFonts w:ascii="Times New Roman" w:hAnsi="Times New Roman" w:cs="Times New Roman"/>
                      <w:sz w:val="21"/>
                      <w:szCs w:val="21"/>
                    </w:rPr>
                    <w:t>河宽Y（m）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1219" w:type="pct"/>
                  <w:gridSpan w:val="2"/>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0</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50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100</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cs="Times New Roman"/>
                      <w:sz w:val="21"/>
                      <w:szCs w:val="21"/>
                    </w:rPr>
                    <w:t>150</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539" w:type="pct"/>
                  <w:vMerge w:val="restar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河长X（m）</w:t>
                  </w: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11.0010</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10.9995</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10.9994</w:t>
                  </w:r>
                </w:p>
              </w:tc>
              <w:tc>
                <w:tcPr>
                  <w:tcW w:w="762"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10.9994</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20</w:t>
                  </w:r>
                </w:p>
              </w:tc>
              <w:tc>
                <w:tcPr>
                  <w:tcW w:w="750"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11.0000</w:t>
                  </w:r>
                </w:p>
              </w:tc>
              <w:tc>
                <w:tcPr>
                  <w:tcW w:w="752"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10.9991</w:t>
                  </w:r>
                </w:p>
              </w:tc>
              <w:tc>
                <w:tcPr>
                  <w:tcW w:w="755"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10.9989</w:t>
                  </w:r>
                </w:p>
              </w:tc>
              <w:tc>
                <w:tcPr>
                  <w:tcW w:w="762" w:type="pct"/>
                  <w:tcBorders>
                    <w:tl2br w:val="nil"/>
                    <w:tr2bl w:val="nil"/>
                  </w:tcBorders>
                  <w:vAlign w:val="center"/>
                </w:tcPr>
                <w:p>
                  <w:pPr>
                    <w:pStyle w:val="74"/>
                    <w:rPr>
                      <w:rFonts w:ascii="Times New Roman" w:hAnsi="Times New Roman" w:eastAsia="等线" w:cs="Times New Roman"/>
                      <w:b/>
                      <w:bCs/>
                      <w:sz w:val="22"/>
                      <w:szCs w:val="22"/>
                    </w:rPr>
                  </w:pPr>
                  <w:r>
                    <w:rPr>
                      <w:rFonts w:ascii="Times New Roman" w:hAnsi="Times New Roman" w:eastAsia="等线" w:cs="Times New Roman"/>
                      <w:b/>
                      <w:bCs/>
                      <w:sz w:val="22"/>
                      <w:szCs w:val="22"/>
                    </w:rPr>
                    <w:t>10.9988</w:t>
                  </w:r>
                </w:p>
              </w:tc>
              <w:tc>
                <w:tcPr>
                  <w:tcW w:w="762"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10.9988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30</w:t>
                  </w:r>
                </w:p>
              </w:tc>
              <w:tc>
                <w:tcPr>
                  <w:tcW w:w="750"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10.9992</w:t>
                  </w:r>
                </w:p>
              </w:tc>
              <w:tc>
                <w:tcPr>
                  <w:tcW w:w="752"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10.9986</w:t>
                  </w:r>
                </w:p>
              </w:tc>
              <w:tc>
                <w:tcPr>
                  <w:tcW w:w="755"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10.9983</w:t>
                  </w:r>
                </w:p>
              </w:tc>
              <w:tc>
                <w:tcPr>
                  <w:tcW w:w="762" w:type="pct"/>
                  <w:tcBorders>
                    <w:tl2br w:val="nil"/>
                    <w:tr2bl w:val="nil"/>
                  </w:tcBorders>
                  <w:vAlign w:val="center"/>
                </w:tcPr>
                <w:p>
                  <w:pPr>
                    <w:pStyle w:val="74"/>
                    <w:rPr>
                      <w:rFonts w:ascii="Times New Roman" w:hAnsi="Times New Roman" w:eastAsia="等线" w:cs="Times New Roman"/>
                      <w:b/>
                      <w:sz w:val="22"/>
                      <w:szCs w:val="22"/>
                    </w:rPr>
                  </w:pPr>
                  <w:r>
                    <w:rPr>
                      <w:rFonts w:ascii="Times New Roman" w:hAnsi="Times New Roman" w:eastAsia="等线" w:cs="Times New Roman"/>
                      <w:sz w:val="22"/>
                      <w:szCs w:val="22"/>
                    </w:rPr>
                    <w:t>10.9983</w:t>
                  </w:r>
                </w:p>
              </w:tc>
              <w:tc>
                <w:tcPr>
                  <w:tcW w:w="762"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40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10.9985</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10.9981</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10.9977</w:t>
                  </w:r>
                </w:p>
              </w:tc>
              <w:tc>
                <w:tcPr>
                  <w:tcW w:w="762"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10.9977</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50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10.9978</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10.9975</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10.9972</w:t>
                  </w:r>
                </w:p>
              </w:tc>
              <w:tc>
                <w:tcPr>
                  <w:tcW w:w="762"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10.9971</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60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10.9972</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10.9969</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10.9966</w:t>
                  </w:r>
                </w:p>
              </w:tc>
              <w:tc>
                <w:tcPr>
                  <w:tcW w:w="762"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10.9965</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70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10.9966</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10.9963</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10.9961</w:t>
                  </w:r>
                </w:p>
              </w:tc>
              <w:tc>
                <w:tcPr>
                  <w:tcW w:w="762"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10.9960</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80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10.9959</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10.9958</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10.9955</w:t>
                  </w:r>
                </w:p>
              </w:tc>
              <w:tc>
                <w:tcPr>
                  <w:tcW w:w="762"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10.9954</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90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10.9953</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10.9952</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10.9949</w:t>
                  </w:r>
                </w:p>
              </w:tc>
              <w:tc>
                <w:tcPr>
                  <w:tcW w:w="762"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10.9948</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10.9947</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10.9946</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10.9944</w:t>
                  </w:r>
                </w:p>
              </w:tc>
              <w:tc>
                <w:tcPr>
                  <w:tcW w:w="762"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10.9943</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1219" w:type="pct"/>
                  <w:gridSpan w:val="2"/>
                  <w:vMerge w:val="restar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NH</w:t>
                  </w:r>
                  <w:r>
                    <w:rPr>
                      <w:rFonts w:ascii="Times New Roman" w:hAnsi="Times New Roman" w:cs="Times New Roman"/>
                      <w:sz w:val="21"/>
                      <w:szCs w:val="21"/>
                      <w:vertAlign w:val="subscript"/>
                    </w:rPr>
                    <w:t>3</w:t>
                  </w:r>
                  <w:r>
                    <w:rPr>
                      <w:rFonts w:ascii="Times New Roman" w:hAnsi="Times New Roman" w:cs="Times New Roman"/>
                      <w:sz w:val="21"/>
                      <w:szCs w:val="21"/>
                    </w:rPr>
                    <w:t>-N</w:t>
                  </w:r>
                </w:p>
              </w:tc>
              <w:tc>
                <w:tcPr>
                  <w:tcW w:w="3781" w:type="pct"/>
                  <w:gridSpan w:val="5"/>
                  <w:tcBorders>
                    <w:tl2br w:val="nil"/>
                    <w:tr2bl w:val="nil"/>
                  </w:tcBorders>
                  <w:vAlign w:val="center"/>
                </w:tcPr>
                <w:p>
                  <w:pPr>
                    <w:pStyle w:val="74"/>
                    <w:rPr>
                      <w:rFonts w:ascii="Times New Roman" w:hAnsi="Times New Roman" w:cs="Times New Roman"/>
                      <w:sz w:val="21"/>
                      <w:szCs w:val="21"/>
                    </w:rPr>
                  </w:pPr>
                  <w:r>
                    <w:rPr>
                      <w:rFonts w:ascii="Times New Roman" w:hAnsi="Times New Roman" w:cs="Times New Roman"/>
                      <w:sz w:val="21"/>
                      <w:szCs w:val="21"/>
                    </w:rPr>
                    <w:t>河宽Y（m）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1219" w:type="pct"/>
                  <w:gridSpan w:val="2"/>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0</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50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100</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cs="Times New Roman"/>
                      <w:sz w:val="21"/>
                      <w:szCs w:val="21"/>
                    </w:rPr>
                    <w:t>150</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restar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河长X（m）</w:t>
                  </w: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0.1412</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20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30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40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50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60</w:t>
                  </w:r>
                </w:p>
              </w:tc>
              <w:tc>
                <w:tcPr>
                  <w:tcW w:w="750"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0.1410</w:t>
                  </w:r>
                </w:p>
              </w:tc>
              <w:tc>
                <w:tcPr>
                  <w:tcW w:w="752"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0.1410</w:t>
                  </w:r>
                </w:p>
              </w:tc>
              <w:tc>
                <w:tcPr>
                  <w:tcW w:w="762" w:type="pct"/>
                  <w:tcBorders>
                    <w:tl2br w:val="nil"/>
                    <w:tr2bl w:val="nil"/>
                  </w:tcBorders>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0.1410</w:t>
                  </w:r>
                </w:p>
              </w:tc>
              <w:tc>
                <w:tcPr>
                  <w:tcW w:w="762"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0.1410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70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80</w:t>
                  </w:r>
                </w:p>
              </w:tc>
              <w:tc>
                <w:tcPr>
                  <w:tcW w:w="750"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0.1410</w:t>
                  </w:r>
                </w:p>
              </w:tc>
              <w:tc>
                <w:tcPr>
                  <w:tcW w:w="752"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0.1410</w:t>
                  </w:r>
                </w:p>
              </w:tc>
              <w:tc>
                <w:tcPr>
                  <w:tcW w:w="762" w:type="pct"/>
                  <w:tcBorders>
                    <w:tl2br w:val="nil"/>
                    <w:tr2bl w:val="nil"/>
                  </w:tcBorders>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0.1409</w:t>
                  </w:r>
                </w:p>
              </w:tc>
              <w:tc>
                <w:tcPr>
                  <w:tcW w:w="762"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90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39"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100</w:t>
                  </w:r>
                </w:p>
              </w:tc>
              <w:tc>
                <w:tcPr>
                  <w:tcW w:w="750"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5"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c>
                <w:tcPr>
                  <w:tcW w:w="762"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c>
                <w:tcPr>
                  <w:tcW w:w="76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r>
          </w:tbl>
          <w:p>
            <w:pPr>
              <w:adjustRightInd w:val="0"/>
              <w:snapToGrid w:val="0"/>
              <w:spacing w:line="500" w:lineRule="exact"/>
              <w:ind w:firstLine="480" w:firstLineChars="200"/>
              <w:rPr>
                <w:b/>
                <w:bCs/>
                <w:lang w:val="en-GB"/>
              </w:rPr>
            </w:pPr>
            <w:r>
              <w:rPr>
                <w:lang w:val="en-GB"/>
              </w:rPr>
              <w:t>非正常工况排污预测结果列于</w:t>
            </w:r>
            <w:r>
              <w:rPr>
                <w:rFonts w:hint="eastAsia"/>
                <w:lang w:val="en-GB"/>
              </w:rPr>
              <w:t>下表</w:t>
            </w:r>
            <w:r>
              <w:rPr>
                <w:lang w:val="en-GB"/>
              </w:rPr>
              <w:t>。</w:t>
            </w:r>
          </w:p>
          <w:p>
            <w:pPr>
              <w:adjustRightInd w:val="0"/>
              <w:snapToGrid w:val="0"/>
              <w:spacing w:line="360" w:lineRule="auto"/>
              <w:jc w:val="center"/>
              <w:rPr>
                <w:rFonts w:cs="Times New Roman"/>
                <w:b/>
                <w:szCs w:val="24"/>
              </w:rPr>
            </w:pPr>
            <w:r>
              <w:rPr>
                <w:rFonts w:cs="Times New Roman"/>
                <w:b/>
                <w:szCs w:val="24"/>
              </w:rPr>
              <w:t>表7-21  非正常工况各污染物浓预测值(mg/L)</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97"/>
              <w:gridCol w:w="1132"/>
              <w:gridCol w:w="1247"/>
              <w:gridCol w:w="1252"/>
              <w:gridCol w:w="1255"/>
              <w:gridCol w:w="1255"/>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1222" w:type="pct"/>
                  <w:gridSpan w:val="2"/>
                  <w:vMerge w:val="restar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COD</w:t>
                  </w:r>
                </w:p>
              </w:tc>
              <w:tc>
                <w:tcPr>
                  <w:tcW w:w="3778" w:type="pct"/>
                  <w:gridSpan w:val="5"/>
                  <w:tcBorders>
                    <w:tl2br w:val="nil"/>
                    <w:tr2bl w:val="nil"/>
                  </w:tcBorders>
                  <w:vAlign w:val="center"/>
                </w:tcPr>
                <w:p>
                  <w:pPr>
                    <w:pStyle w:val="74"/>
                    <w:rPr>
                      <w:rFonts w:ascii="Times New Roman" w:hAnsi="Times New Roman" w:cs="Times New Roman"/>
                      <w:sz w:val="21"/>
                      <w:szCs w:val="21"/>
                    </w:rPr>
                  </w:pPr>
                  <w:r>
                    <w:rPr>
                      <w:rFonts w:ascii="Times New Roman" w:hAnsi="Times New Roman" w:cs="Times New Roman"/>
                      <w:sz w:val="21"/>
                      <w:szCs w:val="21"/>
                    </w:rPr>
                    <w:t>河宽Y（m）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1222" w:type="pct"/>
                  <w:gridSpan w:val="2"/>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0</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50</w:t>
                  </w:r>
                </w:p>
              </w:tc>
              <w:tc>
                <w:tcPr>
                  <w:tcW w:w="756"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cs="Times New Roman"/>
                      <w:sz w:val="21"/>
                      <w:szCs w:val="21"/>
                    </w:rPr>
                    <w:t>100</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150</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540" w:type="pct"/>
                  <w:vMerge w:val="restar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河长X（m）</w:t>
                  </w: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11.0034</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10.9996</w:t>
                  </w:r>
                </w:p>
              </w:tc>
              <w:tc>
                <w:tcPr>
                  <w:tcW w:w="756"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10.9994</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10.9994</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20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11.0017</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10.9995</w:t>
                  </w:r>
                </w:p>
              </w:tc>
              <w:tc>
                <w:tcPr>
                  <w:tcW w:w="756"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10.9989</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10.9988</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30</w:t>
                  </w:r>
                </w:p>
              </w:tc>
              <w:tc>
                <w:tcPr>
                  <w:tcW w:w="751"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11.0006</w:t>
                  </w:r>
                </w:p>
              </w:tc>
              <w:tc>
                <w:tcPr>
                  <w:tcW w:w="754"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10.9991</w:t>
                  </w:r>
                </w:p>
              </w:tc>
              <w:tc>
                <w:tcPr>
                  <w:tcW w:w="756"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10.9983</w:t>
                  </w:r>
                </w:p>
              </w:tc>
              <w:tc>
                <w:tcPr>
                  <w:tcW w:w="756"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10.9983</w:t>
                  </w:r>
                </w:p>
              </w:tc>
              <w:tc>
                <w:tcPr>
                  <w:tcW w:w="761"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40</w:t>
                  </w:r>
                </w:p>
              </w:tc>
              <w:tc>
                <w:tcPr>
                  <w:tcW w:w="751"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10.9997</w:t>
                  </w:r>
                </w:p>
              </w:tc>
              <w:tc>
                <w:tcPr>
                  <w:tcW w:w="754"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10.9986</w:t>
                  </w:r>
                </w:p>
              </w:tc>
              <w:tc>
                <w:tcPr>
                  <w:tcW w:w="756" w:type="pct"/>
                  <w:tcBorders>
                    <w:tl2br w:val="nil"/>
                    <w:tr2bl w:val="nil"/>
                  </w:tcBorders>
                  <w:vAlign w:val="center"/>
                </w:tcPr>
                <w:p>
                  <w:pPr>
                    <w:pStyle w:val="74"/>
                    <w:rPr>
                      <w:rFonts w:ascii="Times New Roman" w:hAnsi="Times New Roman" w:eastAsia="等线" w:cs="Times New Roman"/>
                      <w:b/>
                      <w:bCs/>
                      <w:sz w:val="22"/>
                      <w:szCs w:val="22"/>
                    </w:rPr>
                  </w:pPr>
                  <w:r>
                    <w:rPr>
                      <w:rFonts w:ascii="Times New Roman" w:hAnsi="Times New Roman" w:eastAsia="等线" w:cs="Times New Roman"/>
                      <w:b/>
                      <w:bCs/>
                      <w:sz w:val="22"/>
                      <w:szCs w:val="22"/>
                    </w:rPr>
                    <w:t>10.9978</w:t>
                  </w:r>
                </w:p>
              </w:tc>
              <w:tc>
                <w:tcPr>
                  <w:tcW w:w="756"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10.9977</w:t>
                  </w:r>
                </w:p>
              </w:tc>
              <w:tc>
                <w:tcPr>
                  <w:tcW w:w="761"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10.9977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50</w:t>
                  </w:r>
                </w:p>
              </w:tc>
              <w:tc>
                <w:tcPr>
                  <w:tcW w:w="751"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10.9989</w:t>
                  </w:r>
                </w:p>
              </w:tc>
              <w:tc>
                <w:tcPr>
                  <w:tcW w:w="754"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10.9981</w:t>
                  </w:r>
                </w:p>
              </w:tc>
              <w:tc>
                <w:tcPr>
                  <w:tcW w:w="756"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10.9973</w:t>
                  </w:r>
                </w:p>
              </w:tc>
              <w:tc>
                <w:tcPr>
                  <w:tcW w:w="756"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10.9971</w:t>
                  </w:r>
                </w:p>
              </w:tc>
              <w:tc>
                <w:tcPr>
                  <w:tcW w:w="761"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10.9971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60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10.9982</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10.9975</w:t>
                  </w:r>
                </w:p>
              </w:tc>
              <w:tc>
                <w:tcPr>
                  <w:tcW w:w="756"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10.9968</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10.9966</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70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10.9975</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10.9969</w:t>
                  </w:r>
                </w:p>
              </w:tc>
              <w:tc>
                <w:tcPr>
                  <w:tcW w:w="756"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10.9962</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10.9960</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80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10.9968</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10.9963</w:t>
                  </w:r>
                </w:p>
              </w:tc>
              <w:tc>
                <w:tcPr>
                  <w:tcW w:w="756"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10.9957</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10.9954</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90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10.9961</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10.9958</w:t>
                  </w:r>
                </w:p>
              </w:tc>
              <w:tc>
                <w:tcPr>
                  <w:tcW w:w="756"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10.9951</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10.9949</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10.9955</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10.9952</w:t>
                  </w:r>
                </w:p>
              </w:tc>
              <w:tc>
                <w:tcPr>
                  <w:tcW w:w="756" w:type="pct"/>
                  <w:tcBorders>
                    <w:tl2br w:val="nil"/>
                    <w:tr2bl w:val="nil"/>
                  </w:tcBorders>
                  <w:vAlign w:val="center"/>
                </w:tcPr>
                <w:p>
                  <w:pPr>
                    <w:pStyle w:val="74"/>
                    <w:rPr>
                      <w:rFonts w:ascii="Times New Roman" w:hAnsi="Times New Roman" w:eastAsia="等线" w:cs="Times New Roman"/>
                      <w:sz w:val="22"/>
                      <w:szCs w:val="22"/>
                    </w:rPr>
                  </w:pPr>
                  <w:r>
                    <w:rPr>
                      <w:rFonts w:ascii="Times New Roman" w:hAnsi="Times New Roman" w:eastAsia="等线" w:cs="Times New Roman"/>
                      <w:sz w:val="22"/>
                      <w:szCs w:val="22"/>
                    </w:rPr>
                    <w:t>10.9946</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10.9943</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10.9942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1222" w:type="pct"/>
                  <w:gridSpan w:val="2"/>
                  <w:vMerge w:val="restar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NH</w:t>
                  </w:r>
                  <w:r>
                    <w:rPr>
                      <w:rFonts w:ascii="Times New Roman" w:hAnsi="Times New Roman" w:cs="Times New Roman"/>
                      <w:sz w:val="21"/>
                      <w:szCs w:val="21"/>
                      <w:vertAlign w:val="subscript"/>
                    </w:rPr>
                    <w:t>3</w:t>
                  </w:r>
                  <w:r>
                    <w:rPr>
                      <w:rFonts w:ascii="Times New Roman" w:hAnsi="Times New Roman" w:cs="Times New Roman"/>
                      <w:sz w:val="21"/>
                      <w:szCs w:val="21"/>
                    </w:rPr>
                    <w:t>-N</w:t>
                  </w:r>
                </w:p>
              </w:tc>
              <w:tc>
                <w:tcPr>
                  <w:tcW w:w="3778" w:type="pct"/>
                  <w:gridSpan w:val="5"/>
                  <w:tcBorders>
                    <w:tl2br w:val="nil"/>
                    <w:tr2bl w:val="nil"/>
                  </w:tcBorders>
                  <w:vAlign w:val="center"/>
                </w:tcPr>
                <w:p>
                  <w:pPr>
                    <w:pStyle w:val="74"/>
                    <w:rPr>
                      <w:rFonts w:ascii="Times New Roman" w:hAnsi="Times New Roman" w:cs="Times New Roman"/>
                      <w:sz w:val="21"/>
                      <w:szCs w:val="21"/>
                    </w:rPr>
                  </w:pPr>
                  <w:r>
                    <w:rPr>
                      <w:rFonts w:ascii="Times New Roman" w:hAnsi="Times New Roman" w:cs="Times New Roman"/>
                      <w:sz w:val="21"/>
                      <w:szCs w:val="21"/>
                    </w:rPr>
                    <w:t>河宽Y（m）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1222" w:type="pct"/>
                  <w:gridSpan w:val="2"/>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0</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50</w:t>
                  </w:r>
                </w:p>
              </w:tc>
              <w:tc>
                <w:tcPr>
                  <w:tcW w:w="756" w:type="pct"/>
                  <w:tcBorders>
                    <w:tl2br w:val="nil"/>
                    <w:tr2bl w:val="nil"/>
                  </w:tcBorders>
                  <w:vAlign w:val="center"/>
                </w:tcPr>
                <w:p>
                  <w:pPr>
                    <w:pStyle w:val="74"/>
                    <w:rPr>
                      <w:rFonts w:ascii="Times New Roman" w:hAnsi="Times New Roman" w:cs="Times New Roman"/>
                      <w:sz w:val="21"/>
                      <w:szCs w:val="21"/>
                    </w:rPr>
                  </w:pPr>
                  <w:r>
                    <w:rPr>
                      <w:rFonts w:ascii="Times New Roman" w:hAnsi="Times New Roman" w:cs="Times New Roman"/>
                      <w:sz w:val="21"/>
                      <w:szCs w:val="21"/>
                    </w:rPr>
                    <w:t>100</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150</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restar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cs="Times New Roman"/>
                      <w:sz w:val="21"/>
                      <w:szCs w:val="21"/>
                    </w:rPr>
                    <w:t>河长X（m）</w:t>
                  </w: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0.1415</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vAlign w:val="center"/>
                </w:tcPr>
                <w:p>
                  <w:pPr>
                    <w:pStyle w:val="74"/>
                    <w:rPr>
                      <w:rFonts w:ascii="Times New Roman" w:hAnsi="Times New Roman" w:eastAsia="等线"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30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0.1413</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6" w:type="pct"/>
                  <w:tcBorders>
                    <w:tl2br w:val="nil"/>
                    <w:tr2bl w:val="nil"/>
                  </w:tcBorders>
                  <w:vAlign w:val="center"/>
                </w:tcPr>
                <w:p>
                  <w:pPr>
                    <w:pStyle w:val="74"/>
                    <w:rPr>
                      <w:rFonts w:ascii="Times New Roman" w:hAnsi="Times New Roman" w:eastAsia="等线"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50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0.1412</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6" w:type="pct"/>
                  <w:tcBorders>
                    <w:tl2br w:val="nil"/>
                    <w:tr2bl w:val="nil"/>
                  </w:tcBorders>
                  <w:vAlign w:val="center"/>
                </w:tcPr>
                <w:p>
                  <w:pPr>
                    <w:pStyle w:val="74"/>
                    <w:rPr>
                      <w:rFonts w:ascii="Times New Roman" w:hAnsi="Times New Roman" w:eastAsia="等线"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70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0.1412</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6" w:type="pct"/>
                  <w:tcBorders>
                    <w:tl2br w:val="nil"/>
                    <w:tr2bl w:val="nil"/>
                  </w:tcBorders>
                  <w:vAlign w:val="center"/>
                </w:tcPr>
                <w:p>
                  <w:pPr>
                    <w:pStyle w:val="74"/>
                    <w:rPr>
                      <w:rFonts w:ascii="Times New Roman" w:hAnsi="Times New Roman" w:eastAsia="等线"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90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6" w:type="pct"/>
                  <w:tcBorders>
                    <w:tl2br w:val="nil"/>
                    <w:tr2bl w:val="nil"/>
                  </w:tcBorders>
                  <w:vAlign w:val="center"/>
                </w:tcPr>
                <w:p>
                  <w:pPr>
                    <w:pStyle w:val="74"/>
                    <w:rPr>
                      <w:rFonts w:ascii="Times New Roman" w:hAnsi="Times New Roman" w:eastAsia="等线"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110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vAlign w:val="center"/>
                </w:tcPr>
                <w:p>
                  <w:pPr>
                    <w:pStyle w:val="74"/>
                    <w:rPr>
                      <w:rFonts w:ascii="Times New Roman" w:hAnsi="Times New Roman" w:eastAsia="等线"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130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0.1411</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vAlign w:val="center"/>
                </w:tcPr>
                <w:p>
                  <w:pPr>
                    <w:pStyle w:val="74"/>
                    <w:rPr>
                      <w:rFonts w:ascii="Times New Roman" w:hAnsi="Times New Roman" w:eastAsia="等线"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150</w:t>
                  </w:r>
                </w:p>
              </w:tc>
              <w:tc>
                <w:tcPr>
                  <w:tcW w:w="751"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0.1410</w:t>
                  </w:r>
                </w:p>
              </w:tc>
              <w:tc>
                <w:tcPr>
                  <w:tcW w:w="754"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0.1410</w:t>
                  </w:r>
                </w:p>
              </w:tc>
              <w:tc>
                <w:tcPr>
                  <w:tcW w:w="756" w:type="pct"/>
                  <w:tcBorders>
                    <w:tl2br w:val="nil"/>
                    <w:tr2bl w:val="nil"/>
                  </w:tcBorders>
                  <w:vAlign w:val="center"/>
                </w:tcPr>
                <w:p>
                  <w:pPr>
                    <w:pStyle w:val="74"/>
                    <w:rPr>
                      <w:rFonts w:ascii="Times New Roman" w:hAnsi="Times New Roman" w:eastAsia="等线" w:cs="Times New Roman"/>
                      <w:b/>
                      <w:bCs/>
                      <w:sz w:val="21"/>
                      <w:szCs w:val="21"/>
                    </w:rPr>
                  </w:pPr>
                  <w:r>
                    <w:rPr>
                      <w:rFonts w:ascii="Times New Roman" w:hAnsi="Times New Roman" w:eastAsia="等线" w:cs="Times New Roman"/>
                      <w:b/>
                      <w:bCs/>
                      <w:sz w:val="22"/>
                      <w:szCs w:val="22"/>
                    </w:rPr>
                    <w:t>0.1410</w:t>
                  </w:r>
                </w:p>
              </w:tc>
              <w:tc>
                <w:tcPr>
                  <w:tcW w:w="756"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0.1409</w:t>
                  </w:r>
                </w:p>
              </w:tc>
              <w:tc>
                <w:tcPr>
                  <w:tcW w:w="761" w:type="pct"/>
                  <w:tcBorders>
                    <w:tl2br w:val="nil"/>
                    <w:tr2bl w:val="nil"/>
                  </w:tcBorders>
                  <w:shd w:val="clear" w:color="auto" w:fill="auto"/>
                  <w:vAlign w:val="center"/>
                </w:tcPr>
                <w:p>
                  <w:pPr>
                    <w:pStyle w:val="74"/>
                    <w:rPr>
                      <w:rFonts w:ascii="Times New Roman" w:hAnsi="Times New Roman" w:cs="Times New Roman"/>
                      <w:b/>
                      <w:bCs/>
                      <w:sz w:val="21"/>
                      <w:szCs w:val="21"/>
                    </w:rPr>
                  </w:pPr>
                  <w:r>
                    <w:rPr>
                      <w:rFonts w:ascii="Times New Roman" w:hAnsi="Times New Roman" w:eastAsia="等线" w:cs="Times New Roman"/>
                      <w:b/>
                      <w:bCs/>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170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vAlign w:val="center"/>
                </w:tcPr>
                <w:p>
                  <w:pPr>
                    <w:pStyle w:val="74"/>
                    <w:rPr>
                      <w:rFonts w:ascii="Times New Roman" w:hAnsi="Times New Roman" w:eastAsia="等线" w:cs="Times New Roman"/>
                      <w:sz w:val="21"/>
                      <w:szCs w:val="21"/>
                    </w:rPr>
                  </w:pPr>
                  <w:r>
                    <w:rPr>
                      <w:rFonts w:ascii="Times New Roman" w:hAnsi="Times New Roman" w:eastAsia="等线" w:cs="Times New Roman"/>
                      <w:sz w:val="22"/>
                      <w:szCs w:val="22"/>
                    </w:rPr>
                    <w:t>0.1409</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190</w:t>
                  </w:r>
                </w:p>
              </w:tc>
              <w:tc>
                <w:tcPr>
                  <w:tcW w:w="751"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0.1410</w:t>
                  </w:r>
                </w:p>
              </w:tc>
              <w:tc>
                <w:tcPr>
                  <w:tcW w:w="754"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0.1410</w:t>
                  </w:r>
                </w:p>
              </w:tc>
              <w:tc>
                <w:tcPr>
                  <w:tcW w:w="756" w:type="pct"/>
                  <w:tcBorders>
                    <w:tl2br w:val="nil"/>
                    <w:tr2bl w:val="nil"/>
                  </w:tcBorders>
                  <w:vAlign w:val="center"/>
                </w:tcPr>
                <w:p>
                  <w:pPr>
                    <w:pStyle w:val="74"/>
                    <w:rPr>
                      <w:rFonts w:ascii="Times New Roman" w:hAnsi="Times New Roman" w:eastAsia="等线" w:cs="Times New Roman"/>
                      <w:b/>
                      <w:sz w:val="21"/>
                      <w:szCs w:val="21"/>
                    </w:rPr>
                  </w:pPr>
                  <w:r>
                    <w:rPr>
                      <w:rFonts w:ascii="Times New Roman" w:hAnsi="Times New Roman" w:eastAsia="等线" w:cs="Times New Roman"/>
                      <w:sz w:val="22"/>
                      <w:szCs w:val="22"/>
                    </w:rPr>
                    <w:t>0.1409</w:t>
                  </w:r>
                </w:p>
              </w:tc>
              <w:tc>
                <w:tcPr>
                  <w:tcW w:w="756"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0.1409</w:t>
                  </w:r>
                </w:p>
              </w:tc>
              <w:tc>
                <w:tcPr>
                  <w:tcW w:w="761" w:type="pct"/>
                  <w:tcBorders>
                    <w:tl2br w:val="nil"/>
                    <w:tr2bl w:val="nil"/>
                  </w:tcBorders>
                  <w:shd w:val="clear" w:color="auto" w:fill="auto"/>
                  <w:vAlign w:val="center"/>
                </w:tcPr>
                <w:p>
                  <w:pPr>
                    <w:pStyle w:val="74"/>
                    <w:rPr>
                      <w:rFonts w:ascii="Times New Roman" w:hAnsi="Times New Roman" w:cs="Times New Roman"/>
                      <w:b/>
                      <w:sz w:val="21"/>
                      <w:szCs w:val="21"/>
                    </w:rPr>
                  </w:pPr>
                  <w:r>
                    <w:rPr>
                      <w:rFonts w:ascii="Times New Roman" w:hAnsi="Times New Roman" w:eastAsia="等线" w:cs="Times New Roman"/>
                      <w:sz w:val="22"/>
                      <w:szCs w:val="22"/>
                    </w:rPr>
                    <w:t>0.1409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540" w:type="pct"/>
                  <w:vMerge w:val="continue"/>
                  <w:tcBorders>
                    <w:tl2br w:val="nil"/>
                    <w:tr2bl w:val="nil"/>
                  </w:tcBorders>
                  <w:shd w:val="clear" w:color="auto" w:fill="auto"/>
                  <w:vAlign w:val="center"/>
                </w:tcPr>
                <w:p>
                  <w:pPr>
                    <w:pStyle w:val="74"/>
                    <w:rPr>
                      <w:rFonts w:ascii="Times New Roman" w:hAnsi="Times New Roman" w:cs="Times New Roman"/>
                      <w:sz w:val="21"/>
                      <w:szCs w:val="21"/>
                    </w:rPr>
                  </w:pPr>
                </w:p>
              </w:tc>
              <w:tc>
                <w:tcPr>
                  <w:tcW w:w="682"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200</w:t>
                  </w:r>
                </w:p>
              </w:tc>
              <w:tc>
                <w:tcPr>
                  <w:tcW w:w="75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4"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0.1410</w:t>
                  </w:r>
                </w:p>
              </w:tc>
              <w:tc>
                <w:tcPr>
                  <w:tcW w:w="756" w:type="pct"/>
                  <w:tcBorders>
                    <w:tl2br w:val="nil"/>
                    <w:tr2bl w:val="nil"/>
                  </w:tcBorders>
                  <w:vAlign w:val="center"/>
                </w:tcPr>
                <w:p>
                  <w:pPr>
                    <w:pStyle w:val="74"/>
                    <w:rPr>
                      <w:rFonts w:ascii="Times New Roman" w:hAnsi="Times New Roman" w:eastAsia="等线" w:cs="Times New Roman"/>
                      <w:sz w:val="21"/>
                      <w:szCs w:val="21"/>
                    </w:rPr>
                  </w:pPr>
                  <w:r>
                    <w:rPr>
                      <w:rFonts w:ascii="Times New Roman" w:hAnsi="Times New Roman" w:eastAsia="等线" w:cs="Times New Roman"/>
                      <w:sz w:val="22"/>
                      <w:szCs w:val="22"/>
                    </w:rPr>
                    <w:t>0.1409</w:t>
                  </w:r>
                </w:p>
              </w:tc>
              <w:tc>
                <w:tcPr>
                  <w:tcW w:w="756"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c>
                <w:tcPr>
                  <w:tcW w:w="761" w:type="pct"/>
                  <w:tcBorders>
                    <w:tl2br w:val="nil"/>
                    <w:tr2bl w:val="nil"/>
                  </w:tcBorders>
                  <w:shd w:val="clear" w:color="auto" w:fill="auto"/>
                  <w:vAlign w:val="center"/>
                </w:tcPr>
                <w:p>
                  <w:pPr>
                    <w:pStyle w:val="74"/>
                    <w:rPr>
                      <w:rFonts w:ascii="Times New Roman" w:hAnsi="Times New Roman" w:cs="Times New Roman"/>
                      <w:sz w:val="21"/>
                      <w:szCs w:val="21"/>
                    </w:rPr>
                  </w:pPr>
                  <w:r>
                    <w:rPr>
                      <w:rFonts w:ascii="Times New Roman" w:hAnsi="Times New Roman" w:eastAsia="等线" w:cs="Times New Roman"/>
                      <w:sz w:val="22"/>
                      <w:szCs w:val="22"/>
                    </w:rPr>
                    <w:t>0.1409</w:t>
                  </w:r>
                </w:p>
              </w:tc>
            </w:tr>
          </w:tbl>
          <w:p>
            <w:pPr>
              <w:widowControl/>
              <w:adjustRightInd w:val="0"/>
              <w:snapToGrid w:val="0"/>
              <w:spacing w:line="360" w:lineRule="auto"/>
              <w:ind w:firstLine="480" w:firstLineChars="200"/>
              <w:rPr>
                <w:highlight w:val="yellow"/>
              </w:rPr>
            </w:pPr>
            <w:r>
              <w:t>根据上表分析，经预测，本项目在废水正常排放时，COD在排污口下游20m恢复到背景浓度，NH</w:t>
            </w:r>
            <w:r>
              <w:rPr>
                <w:vertAlign w:val="subscript"/>
              </w:rPr>
              <w:t>3</w:t>
            </w:r>
            <w:r>
              <w:t>-N在排污口下游60m恢复到背景浓度；预测河段NH</w:t>
            </w:r>
            <w:r>
              <w:rPr>
                <w:vertAlign w:val="subscript"/>
              </w:rPr>
              <w:t>3</w:t>
            </w:r>
            <w:r>
              <w:t>-N、COD浓度均符合</w:t>
            </w:r>
            <w:r>
              <w:rPr>
                <w:kern w:val="0"/>
                <w:lang w:bidi="ar"/>
              </w:rPr>
              <w:t>III类水质标准。随着本项目的正常运营，</w:t>
            </w:r>
            <w:r>
              <w:rPr>
                <w:rFonts w:hint="eastAsia"/>
                <w:kern w:val="0"/>
                <w:lang w:bidi="ar"/>
              </w:rPr>
              <w:t>马嘶溪村火车站</w:t>
            </w:r>
            <w:r>
              <w:rPr>
                <w:kern w:val="0"/>
                <w:lang w:bidi="ar"/>
              </w:rPr>
              <w:t>片区河段背景值将在原来的基础上继续得到改善，水环境容量逐渐增大。</w:t>
            </w:r>
          </w:p>
          <w:p>
            <w:pPr>
              <w:adjustRightInd w:val="0"/>
              <w:snapToGrid w:val="0"/>
              <w:spacing w:line="360" w:lineRule="auto"/>
              <w:ind w:firstLine="480" w:firstLineChars="200"/>
            </w:pPr>
            <w:r>
              <w:t>本项目在</w:t>
            </w:r>
            <w:r>
              <w:rPr>
                <w:lang w:val="en-GB"/>
              </w:rPr>
              <w:t>非正常排放</w:t>
            </w:r>
            <w:r>
              <w:t>时，COD在排污口下游40m恢复到背景浓度，NH</w:t>
            </w:r>
            <w:r>
              <w:rPr>
                <w:vertAlign w:val="subscript"/>
              </w:rPr>
              <w:t>3</w:t>
            </w:r>
            <w:r>
              <w:t>-N在排污口下游</w:t>
            </w:r>
            <w:r>
              <w:rPr>
                <w:rFonts w:hint="eastAsia"/>
              </w:rPr>
              <w:t>1</w:t>
            </w:r>
            <w:r>
              <w:t>50m恢复到背景浓度。污水直排不仅不能实现减排目标，还会导致本项目受纳水体水质持续污染，水质超标情况不能得到改善。</w:t>
            </w:r>
          </w:p>
          <w:p>
            <w:pPr>
              <w:widowControl/>
              <w:adjustRightInd w:val="0"/>
              <w:snapToGrid w:val="0"/>
              <w:spacing w:line="360" w:lineRule="auto"/>
              <w:ind w:firstLine="480" w:firstLineChars="200"/>
            </w:pPr>
            <w:r>
              <w:rPr>
                <w:kern w:val="0"/>
                <w:lang w:bidi="ar"/>
              </w:rPr>
              <w:t>（7）水环境影响分析</w:t>
            </w:r>
          </w:p>
          <w:p>
            <w:pPr>
              <w:widowControl/>
              <w:adjustRightInd w:val="0"/>
              <w:snapToGrid w:val="0"/>
              <w:spacing w:line="360" w:lineRule="auto"/>
              <w:ind w:firstLine="480" w:firstLineChars="200"/>
              <w:rPr>
                <w:kern w:val="0"/>
                <w:lang w:bidi="ar"/>
              </w:rPr>
            </w:pPr>
            <w:r>
              <w:rPr>
                <w:kern w:val="0"/>
                <w:lang w:bidi="ar"/>
              </w:rPr>
              <w:t>综上所述，本项目正常工况排放的废水中COD、NH</w:t>
            </w:r>
            <w:r>
              <w:rPr>
                <w:kern w:val="0"/>
                <w:sz w:val="16"/>
                <w:szCs w:val="16"/>
                <w:lang w:bidi="ar"/>
              </w:rPr>
              <w:t>3</w:t>
            </w:r>
            <w:r>
              <w:rPr>
                <w:kern w:val="0"/>
                <w:lang w:bidi="ar"/>
              </w:rPr>
              <w:t>-N对河流的贡献值小，</w:t>
            </w:r>
            <w:r>
              <w:rPr>
                <w:rFonts w:hint="eastAsia"/>
                <w:kern w:val="0"/>
                <w:lang w:bidi="ar"/>
              </w:rPr>
              <w:t>大渡河</w:t>
            </w:r>
            <w:r>
              <w:rPr>
                <w:kern w:val="0"/>
                <w:lang w:bidi="ar"/>
              </w:rPr>
              <w:t>水质满足III类水域水质标准，污水处理站的建成实现减排COD：3.285t/a，NH</w:t>
            </w:r>
            <w:r>
              <w:rPr>
                <w:kern w:val="0"/>
                <w:sz w:val="16"/>
                <w:szCs w:val="16"/>
                <w:lang w:bidi="ar"/>
              </w:rPr>
              <w:t>3</w:t>
            </w:r>
            <w:r>
              <w:rPr>
                <w:kern w:val="0"/>
                <w:lang w:bidi="ar"/>
              </w:rPr>
              <w:t>-N：0.438t/a，水域水质进一步改善，河流背景值也继续好转。事故外排的废水对水环境的影响较大，河流水质会持续受到污染。因此，污水处理站设计应有相应措施，加强对污水处理设施的管理，杜绝事故性排放。</w:t>
            </w:r>
          </w:p>
          <w:p>
            <w:pPr>
              <w:adjustRightInd w:val="0"/>
              <w:snapToGrid w:val="0"/>
              <w:spacing w:line="360" w:lineRule="auto"/>
              <w:jc w:val="center"/>
              <w:rPr>
                <w:rFonts w:cs="Times New Roman"/>
                <w:b/>
                <w:szCs w:val="24"/>
              </w:rPr>
            </w:pPr>
            <w:r>
              <w:rPr>
                <w:rFonts w:cs="Times New Roman"/>
                <w:b/>
                <w:szCs w:val="24"/>
              </w:rPr>
              <w:t>表7-22  废水类别、污染物及污染治理设施信息表</w:t>
            </w:r>
          </w:p>
          <w:tbl>
            <w:tblPr>
              <w:tblStyle w:val="30"/>
              <w:tblW w:w="8296"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39"/>
              <w:gridCol w:w="870"/>
              <w:gridCol w:w="750"/>
              <w:gridCol w:w="636"/>
              <w:gridCol w:w="598"/>
              <w:gridCol w:w="610"/>
              <w:gridCol w:w="1408"/>
              <w:gridCol w:w="614"/>
              <w:gridCol w:w="787"/>
              <w:gridCol w:w="1157"/>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序号</w:t>
                  </w:r>
                </w:p>
              </w:tc>
              <w:tc>
                <w:tcPr>
                  <w:tcW w:w="439"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废水类别a</w:t>
                  </w:r>
                </w:p>
              </w:tc>
              <w:tc>
                <w:tcPr>
                  <w:tcW w:w="870"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污染物种类b</w:t>
                  </w:r>
                </w:p>
              </w:tc>
              <w:tc>
                <w:tcPr>
                  <w:tcW w:w="750"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排放去向c</w:t>
                  </w:r>
                </w:p>
              </w:tc>
              <w:tc>
                <w:tcPr>
                  <w:tcW w:w="636"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排放规律d</w:t>
                  </w:r>
                </w:p>
              </w:tc>
              <w:tc>
                <w:tcPr>
                  <w:tcW w:w="2616" w:type="dxa"/>
                  <w:gridSpan w:val="3"/>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污染治理设施</w:t>
                  </w:r>
                </w:p>
              </w:tc>
              <w:tc>
                <w:tcPr>
                  <w:tcW w:w="614"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排放口编号f</w:t>
                  </w:r>
                </w:p>
              </w:tc>
              <w:tc>
                <w:tcPr>
                  <w:tcW w:w="787"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排放口设置是否符合要求g</w:t>
                  </w:r>
                </w:p>
              </w:tc>
              <w:tc>
                <w:tcPr>
                  <w:tcW w:w="1157"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排放口类型</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vAlign w:val="center"/>
                </w:tcPr>
                <w:p>
                  <w:pPr>
                    <w:pStyle w:val="173"/>
                    <w:snapToGrid w:val="0"/>
                    <w:jc w:val="center"/>
                    <w:rPr>
                      <w:rFonts w:ascii="Times New Roman" w:hAnsi="Times New Roman" w:eastAsia="宋体" w:cs="Times New Roman"/>
                      <w:color w:val="auto"/>
                      <w:sz w:val="21"/>
                      <w:szCs w:val="21"/>
                    </w:rPr>
                  </w:pPr>
                </w:p>
              </w:tc>
              <w:tc>
                <w:tcPr>
                  <w:tcW w:w="439" w:type="dxa"/>
                  <w:vMerge w:val="continue"/>
                  <w:vAlign w:val="center"/>
                </w:tcPr>
                <w:p>
                  <w:pPr>
                    <w:pStyle w:val="173"/>
                    <w:snapToGrid w:val="0"/>
                    <w:jc w:val="center"/>
                    <w:rPr>
                      <w:rFonts w:ascii="Times New Roman" w:hAnsi="Times New Roman" w:eastAsia="宋体" w:cs="Times New Roman"/>
                      <w:color w:val="auto"/>
                      <w:sz w:val="21"/>
                      <w:szCs w:val="21"/>
                    </w:rPr>
                  </w:pPr>
                </w:p>
              </w:tc>
              <w:tc>
                <w:tcPr>
                  <w:tcW w:w="870" w:type="dxa"/>
                  <w:vMerge w:val="continue"/>
                  <w:vAlign w:val="center"/>
                </w:tcPr>
                <w:p>
                  <w:pPr>
                    <w:pStyle w:val="173"/>
                    <w:snapToGrid w:val="0"/>
                    <w:jc w:val="center"/>
                    <w:rPr>
                      <w:rFonts w:ascii="Times New Roman" w:hAnsi="Times New Roman" w:eastAsia="宋体" w:cs="Times New Roman"/>
                      <w:color w:val="auto"/>
                      <w:sz w:val="21"/>
                      <w:szCs w:val="21"/>
                    </w:rPr>
                  </w:pPr>
                </w:p>
              </w:tc>
              <w:tc>
                <w:tcPr>
                  <w:tcW w:w="750" w:type="dxa"/>
                  <w:vMerge w:val="continue"/>
                  <w:vAlign w:val="center"/>
                </w:tcPr>
                <w:p>
                  <w:pPr>
                    <w:pStyle w:val="173"/>
                    <w:snapToGrid w:val="0"/>
                    <w:jc w:val="center"/>
                    <w:rPr>
                      <w:rFonts w:ascii="Times New Roman" w:hAnsi="Times New Roman" w:eastAsia="宋体" w:cs="Times New Roman"/>
                      <w:color w:val="auto"/>
                      <w:sz w:val="21"/>
                      <w:szCs w:val="21"/>
                    </w:rPr>
                  </w:pPr>
                </w:p>
              </w:tc>
              <w:tc>
                <w:tcPr>
                  <w:tcW w:w="636" w:type="dxa"/>
                  <w:vMerge w:val="continue"/>
                  <w:vAlign w:val="center"/>
                </w:tcPr>
                <w:p>
                  <w:pPr>
                    <w:pStyle w:val="173"/>
                    <w:snapToGrid w:val="0"/>
                    <w:jc w:val="center"/>
                    <w:rPr>
                      <w:rFonts w:ascii="Times New Roman" w:hAnsi="Times New Roman" w:eastAsia="宋体" w:cs="Times New Roman"/>
                      <w:color w:val="auto"/>
                      <w:sz w:val="21"/>
                      <w:szCs w:val="21"/>
                    </w:rPr>
                  </w:pPr>
                </w:p>
              </w:tc>
              <w:tc>
                <w:tcPr>
                  <w:tcW w:w="598" w:type="dxa"/>
                  <w:vAlign w:val="center"/>
                </w:tcPr>
                <w:p>
                  <w:pPr>
                    <w:pStyle w:val="173"/>
                    <w:snapToGrid w:val="0"/>
                    <w:jc w:val="center"/>
                    <w:rPr>
                      <w:rFonts w:ascii="Times New Roman" w:hAnsi="Times New Roman" w:eastAsia="宋体" w:cs="Times New Roman"/>
                      <w:b/>
                      <w:color w:val="auto"/>
                      <w:sz w:val="21"/>
                      <w:szCs w:val="21"/>
                    </w:rPr>
                  </w:pPr>
                  <w:r>
                    <w:rPr>
                      <w:rFonts w:ascii="Times New Roman" w:hAnsi="Times New Roman" w:eastAsia="宋体" w:cs="Times New Roman"/>
                      <w:b/>
                      <w:color w:val="auto"/>
                      <w:sz w:val="21"/>
                      <w:szCs w:val="21"/>
                    </w:rPr>
                    <w:t>污染治理设施编号</w:t>
                  </w:r>
                </w:p>
              </w:tc>
              <w:tc>
                <w:tcPr>
                  <w:tcW w:w="610" w:type="dxa"/>
                  <w:vAlign w:val="center"/>
                </w:tcPr>
                <w:p>
                  <w:pPr>
                    <w:pStyle w:val="173"/>
                    <w:snapToGrid w:val="0"/>
                    <w:jc w:val="center"/>
                    <w:rPr>
                      <w:rFonts w:ascii="Times New Roman" w:hAnsi="Times New Roman" w:eastAsia="宋体" w:cs="Times New Roman"/>
                      <w:b/>
                      <w:color w:val="auto"/>
                      <w:sz w:val="21"/>
                      <w:szCs w:val="21"/>
                    </w:rPr>
                  </w:pPr>
                  <w:r>
                    <w:rPr>
                      <w:rFonts w:ascii="Times New Roman" w:hAnsi="Times New Roman" w:eastAsia="宋体" w:cs="Times New Roman"/>
                      <w:b/>
                      <w:color w:val="auto"/>
                      <w:sz w:val="21"/>
                      <w:szCs w:val="21"/>
                    </w:rPr>
                    <w:t>污染治理设施名称e</w:t>
                  </w:r>
                </w:p>
              </w:tc>
              <w:tc>
                <w:tcPr>
                  <w:tcW w:w="1408" w:type="dxa"/>
                  <w:vAlign w:val="center"/>
                </w:tcPr>
                <w:p>
                  <w:pPr>
                    <w:pStyle w:val="173"/>
                    <w:snapToGrid w:val="0"/>
                    <w:jc w:val="center"/>
                    <w:rPr>
                      <w:rFonts w:ascii="Times New Roman" w:hAnsi="Times New Roman" w:eastAsia="宋体" w:cs="Times New Roman"/>
                      <w:b/>
                      <w:color w:val="auto"/>
                      <w:sz w:val="21"/>
                      <w:szCs w:val="21"/>
                    </w:rPr>
                  </w:pPr>
                  <w:r>
                    <w:rPr>
                      <w:rFonts w:ascii="Times New Roman" w:hAnsi="Times New Roman" w:eastAsia="宋体" w:cs="Times New Roman"/>
                      <w:b/>
                      <w:color w:val="auto"/>
                      <w:sz w:val="21"/>
                      <w:szCs w:val="21"/>
                    </w:rPr>
                    <w:t>污染治理设施工艺</w:t>
                  </w:r>
                </w:p>
              </w:tc>
              <w:tc>
                <w:tcPr>
                  <w:tcW w:w="614" w:type="dxa"/>
                  <w:vMerge w:val="continue"/>
                  <w:vAlign w:val="center"/>
                </w:tcPr>
                <w:p>
                  <w:pPr>
                    <w:pStyle w:val="173"/>
                    <w:snapToGrid w:val="0"/>
                    <w:jc w:val="center"/>
                    <w:rPr>
                      <w:rFonts w:ascii="Times New Roman" w:hAnsi="Times New Roman" w:eastAsia="宋体" w:cs="Times New Roman"/>
                      <w:color w:val="auto"/>
                      <w:sz w:val="21"/>
                      <w:szCs w:val="21"/>
                    </w:rPr>
                  </w:pPr>
                </w:p>
              </w:tc>
              <w:tc>
                <w:tcPr>
                  <w:tcW w:w="787" w:type="dxa"/>
                  <w:vMerge w:val="continue"/>
                  <w:vAlign w:val="center"/>
                </w:tcPr>
                <w:p>
                  <w:pPr>
                    <w:pStyle w:val="173"/>
                    <w:snapToGrid w:val="0"/>
                    <w:jc w:val="center"/>
                    <w:rPr>
                      <w:rFonts w:ascii="Times New Roman" w:hAnsi="Times New Roman" w:eastAsia="宋体" w:cs="Times New Roman"/>
                      <w:color w:val="auto"/>
                      <w:sz w:val="21"/>
                      <w:szCs w:val="21"/>
                    </w:rPr>
                  </w:pPr>
                </w:p>
              </w:tc>
              <w:tc>
                <w:tcPr>
                  <w:tcW w:w="1157" w:type="dxa"/>
                  <w:vMerge w:val="continue"/>
                  <w:vAlign w:val="center"/>
                </w:tcPr>
                <w:p>
                  <w:pPr>
                    <w:pStyle w:val="173"/>
                    <w:snapToGrid w:val="0"/>
                    <w:jc w:val="center"/>
                    <w:rPr>
                      <w:rFonts w:ascii="Times New Roman" w:hAnsi="Times New Roman" w:eastAsia="宋体"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439"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生活污水</w:t>
                  </w:r>
                </w:p>
              </w:tc>
              <w:tc>
                <w:tcPr>
                  <w:tcW w:w="870"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COD、NH</w:t>
                  </w:r>
                  <w:r>
                    <w:rPr>
                      <w:rFonts w:ascii="Times New Roman" w:hAnsi="Times New Roman" w:eastAsia="宋体" w:cs="Times New Roman"/>
                      <w:color w:val="auto"/>
                      <w:sz w:val="21"/>
                      <w:szCs w:val="21"/>
                      <w:vertAlign w:val="subscript"/>
                    </w:rPr>
                    <w:t>3</w:t>
                  </w:r>
                  <w:r>
                    <w:rPr>
                      <w:rFonts w:ascii="Times New Roman" w:hAnsi="Times New Roman" w:eastAsia="宋体" w:cs="Times New Roman"/>
                      <w:color w:val="auto"/>
                      <w:sz w:val="21"/>
                      <w:szCs w:val="21"/>
                    </w:rPr>
                    <w:t>-N</w:t>
                  </w:r>
                </w:p>
              </w:tc>
              <w:tc>
                <w:tcPr>
                  <w:tcW w:w="750"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直接进入江河、湖、库等水环境</w:t>
                  </w:r>
                </w:p>
              </w:tc>
              <w:tc>
                <w:tcPr>
                  <w:tcW w:w="636"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包括连续排放，流量稳定</w:t>
                  </w:r>
                </w:p>
              </w:tc>
              <w:tc>
                <w:tcPr>
                  <w:tcW w:w="598"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610"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生活污水处理系统</w:t>
                  </w:r>
                </w:p>
              </w:tc>
              <w:tc>
                <w:tcPr>
                  <w:tcW w:w="1408"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预处理+A/O+MBR膜</w:t>
                  </w:r>
                  <w:r>
                    <w:rPr>
                      <w:rFonts w:hint="eastAsia" w:ascii="Times New Roman" w:hAnsi="Times New Roman" w:eastAsia="宋体" w:cs="Times New Roman"/>
                      <w:color w:val="auto"/>
                      <w:sz w:val="21"/>
                      <w:szCs w:val="21"/>
                    </w:rPr>
                    <w:t>生化</w:t>
                  </w:r>
                  <w:r>
                    <w:rPr>
                      <w:rFonts w:ascii="Times New Roman" w:hAnsi="Times New Roman" w:eastAsia="宋体" w:cs="Times New Roman"/>
                      <w:color w:val="auto"/>
                      <w:sz w:val="21"/>
                      <w:szCs w:val="21"/>
                    </w:rPr>
                    <w:t>+紫外线消毒</w:t>
                  </w:r>
                </w:p>
              </w:tc>
              <w:tc>
                <w:tcPr>
                  <w:tcW w:w="614"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787"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是</w:t>
                  </w:r>
                </w:p>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否</w:t>
                  </w:r>
                </w:p>
              </w:tc>
              <w:tc>
                <w:tcPr>
                  <w:tcW w:w="1157" w:type="dxa"/>
                  <w:vAlign w:val="center"/>
                </w:tcPr>
                <w:p>
                  <w:pPr>
                    <w:pStyle w:val="173"/>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企业总排</w:t>
                  </w:r>
                </w:p>
                <w:p>
                  <w:pPr>
                    <w:pStyle w:val="173"/>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雨水排放</w:t>
                  </w:r>
                </w:p>
                <w:p>
                  <w:pPr>
                    <w:pStyle w:val="173"/>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清净下水排放</w:t>
                  </w:r>
                </w:p>
                <w:p>
                  <w:pPr>
                    <w:pStyle w:val="173"/>
                    <w:snapToGrid w:val="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温排水排放</w:t>
                  </w:r>
                </w:p>
                <w:p>
                  <w:pPr>
                    <w:pStyle w:val="173"/>
                    <w:snapToGrid w:val="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车间或车间处理设施排放</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11"/>
                  <w:vAlign w:val="center"/>
                </w:tcPr>
                <w:p>
                  <w:pPr>
                    <w:pStyle w:val="173"/>
                    <w:snapToGrid w:val="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a指产生废水的工艺、工序，或废水类型的名称。</w:t>
                  </w:r>
                </w:p>
                <w:p>
                  <w:pPr>
                    <w:pStyle w:val="173"/>
                    <w:snapToGrid w:val="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b指产生的主要污染物类型，以相应排放标准中确定的污染因子为准。</w:t>
                  </w:r>
                </w:p>
                <w:p>
                  <w:pPr>
                    <w:pStyle w:val="173"/>
                    <w:snapToGrid w:val="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c包括不外排；排至厂内综合污水处理站；直接进入海域；直接进入江河、湖、库等水环境；进入城市下水道(再入江河、湖、库) ；进入城市下水道(再入沿海海域) ；进入城市污水处理厂；直接进入污灌农田；进入地渗或蒸发地；进入其他单位；工业废水集中处理厂；其他(包括回用等)。对于工艺、工序产生的废水，“不外排"指全部在工序内部循环使用，“排至厂内综合污水处理站”指工序废水经处理后排至综合处理站。对于综合污水处理站，“不外排”指全厂废水经处理后全部回用不排放。</w:t>
                  </w:r>
                </w:p>
                <w:p>
                  <w:pPr>
                    <w:pStyle w:val="173"/>
                    <w:snapToGrid w:val="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d包括连续排放，流量稳定；连续排放，流量不稳定，但有周期性规律；连续排放，流量不稳定，但有规律，且不属于周期性规律；连续排放，流量不稳定，属于冲击型排放；连续排放，流量不稳定且无规律，但不属于冲击型排放：间断排放，排放期间流量稳定：间断排放，排放期间流量不稳定，但有周期性规律；间断排放，排放期间流量不稳定，但有规律，且不属于非周期性规律；间断排放，排放期间流量不稳定，属于冲击型排放；间断排放，排放期间流量不稳定且无规律，但不属于冲击型排放。</w:t>
                  </w:r>
                </w:p>
                <w:p>
                  <w:pPr>
                    <w:pStyle w:val="173"/>
                    <w:snapToGrid w:val="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e指主要污水处理设施名称，如“综合污水处理站”“生活污水处理系统”等。</w:t>
                  </w:r>
                </w:p>
                <w:p>
                  <w:pPr>
                    <w:pStyle w:val="173"/>
                    <w:snapToGrid w:val="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f排放口编号可按地方环境管理部门]现有编号进行填写或由企业根据国家相关规范进行编制。</w:t>
                  </w:r>
                </w:p>
                <w:p>
                  <w:pPr>
                    <w:pStyle w:val="173"/>
                    <w:snapToGrid w:val="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g指排放口设置是否符合排放口规范化整治技术要求等相关文件的规定。</w:t>
                  </w:r>
                </w:p>
              </w:tc>
            </w:tr>
          </w:tbl>
          <w:p>
            <w:pPr>
              <w:adjustRightInd w:val="0"/>
              <w:snapToGrid w:val="0"/>
              <w:spacing w:line="360" w:lineRule="auto"/>
              <w:jc w:val="center"/>
              <w:rPr>
                <w:rFonts w:cs="Times New Roman"/>
                <w:b/>
                <w:szCs w:val="24"/>
              </w:rPr>
            </w:pPr>
            <w:r>
              <w:rPr>
                <w:rFonts w:cs="Times New Roman"/>
                <w:b/>
                <w:szCs w:val="24"/>
              </w:rPr>
              <w:t>表7-23  废水污染物排放执行标准表</w:t>
            </w:r>
          </w:p>
          <w:tbl>
            <w:tblPr>
              <w:tblStyle w:val="30"/>
              <w:tblW w:w="8296"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945"/>
              <w:gridCol w:w="1321"/>
              <w:gridCol w:w="3330"/>
              <w:gridCol w:w="2013"/>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序号</w:t>
                  </w:r>
                </w:p>
              </w:tc>
              <w:tc>
                <w:tcPr>
                  <w:tcW w:w="945"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排放口编号</w:t>
                  </w:r>
                </w:p>
              </w:tc>
              <w:tc>
                <w:tcPr>
                  <w:tcW w:w="1321" w:type="dxa"/>
                  <w:vMerge w:val="restart"/>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污染物种类</w:t>
                  </w:r>
                </w:p>
              </w:tc>
              <w:tc>
                <w:tcPr>
                  <w:tcW w:w="5343" w:type="dxa"/>
                  <w:gridSpan w:val="2"/>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国家或地方污染物排放标准及其他按规定商定的排放协议a</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Merge w:val="continue"/>
                  <w:vAlign w:val="center"/>
                </w:tcPr>
                <w:p>
                  <w:pPr>
                    <w:pStyle w:val="173"/>
                    <w:snapToGrid w:val="0"/>
                    <w:jc w:val="center"/>
                    <w:rPr>
                      <w:rFonts w:ascii="Times New Roman" w:hAnsi="Times New Roman" w:eastAsia="宋体" w:cs="Times New Roman"/>
                      <w:color w:val="auto"/>
                      <w:sz w:val="21"/>
                      <w:szCs w:val="21"/>
                    </w:rPr>
                  </w:pPr>
                </w:p>
              </w:tc>
              <w:tc>
                <w:tcPr>
                  <w:tcW w:w="945" w:type="dxa"/>
                  <w:vMerge w:val="continue"/>
                  <w:vAlign w:val="center"/>
                </w:tcPr>
                <w:p>
                  <w:pPr>
                    <w:pStyle w:val="173"/>
                    <w:snapToGrid w:val="0"/>
                    <w:jc w:val="center"/>
                    <w:rPr>
                      <w:rFonts w:ascii="Times New Roman" w:hAnsi="Times New Roman" w:eastAsia="宋体" w:cs="Times New Roman"/>
                      <w:color w:val="auto"/>
                      <w:sz w:val="21"/>
                      <w:szCs w:val="21"/>
                    </w:rPr>
                  </w:pPr>
                </w:p>
              </w:tc>
              <w:tc>
                <w:tcPr>
                  <w:tcW w:w="1321" w:type="dxa"/>
                  <w:vMerge w:val="continue"/>
                  <w:vAlign w:val="center"/>
                </w:tcPr>
                <w:p>
                  <w:pPr>
                    <w:pStyle w:val="173"/>
                    <w:snapToGrid w:val="0"/>
                    <w:jc w:val="center"/>
                    <w:rPr>
                      <w:rFonts w:ascii="Times New Roman" w:hAnsi="Times New Roman" w:eastAsia="宋体" w:cs="Times New Roman"/>
                      <w:color w:val="auto"/>
                      <w:sz w:val="21"/>
                      <w:szCs w:val="21"/>
                    </w:rPr>
                  </w:pPr>
                </w:p>
              </w:tc>
              <w:tc>
                <w:tcPr>
                  <w:tcW w:w="3330"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名称</w:t>
                  </w:r>
                </w:p>
              </w:tc>
              <w:tc>
                <w:tcPr>
                  <w:tcW w:w="2013"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浓度限值（mg/L）</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945"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1321"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COD、NH</w:t>
                  </w:r>
                  <w:r>
                    <w:rPr>
                      <w:rFonts w:ascii="Times New Roman" w:hAnsi="Times New Roman" w:eastAsia="宋体" w:cs="Times New Roman"/>
                      <w:color w:val="auto"/>
                      <w:sz w:val="21"/>
                      <w:szCs w:val="21"/>
                      <w:vertAlign w:val="subscript"/>
                    </w:rPr>
                    <w:t>3</w:t>
                  </w:r>
                  <w:r>
                    <w:rPr>
                      <w:rFonts w:ascii="Times New Roman" w:hAnsi="Times New Roman" w:eastAsia="宋体" w:cs="Times New Roman"/>
                      <w:color w:val="auto"/>
                      <w:sz w:val="21"/>
                      <w:szCs w:val="21"/>
                    </w:rPr>
                    <w:t>-N</w:t>
                  </w:r>
                </w:p>
              </w:tc>
              <w:tc>
                <w:tcPr>
                  <w:tcW w:w="3330" w:type="dxa"/>
                  <w:vAlign w:val="center"/>
                </w:tcPr>
                <w:p>
                  <w:pPr>
                    <w:pStyle w:val="2"/>
                    <w:keepNext w:val="0"/>
                    <w:widowControl/>
                    <w:adjustRightInd w:val="0"/>
                    <w:snapToGrid w:val="0"/>
                    <w:spacing w:line="240" w:lineRule="auto"/>
                    <w:rPr>
                      <w:rFonts w:cs="Times New Roman"/>
                      <w:b w:val="0"/>
                      <w:bCs/>
                      <w:sz w:val="21"/>
                      <w:szCs w:val="21"/>
                    </w:rPr>
                  </w:pPr>
                  <w:r>
                    <w:rPr>
                      <w:rFonts w:hint="eastAsia" w:cs="Times New Roman"/>
                      <w:b w:val="0"/>
                      <w:bCs/>
                      <w:sz w:val="21"/>
                      <w:szCs w:val="21"/>
                    </w:rPr>
                    <w:t>《农村生活污水处理设施水污染物排放标准》（DB51/2626-2019）一级标准</w:t>
                  </w:r>
                </w:p>
              </w:tc>
              <w:tc>
                <w:tcPr>
                  <w:tcW w:w="2013"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COD：60</w:t>
                  </w:r>
                </w:p>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NH</w:t>
                  </w:r>
                  <w:r>
                    <w:rPr>
                      <w:rFonts w:ascii="Times New Roman" w:hAnsi="Times New Roman" w:eastAsia="宋体" w:cs="Times New Roman"/>
                      <w:color w:val="auto"/>
                      <w:sz w:val="21"/>
                      <w:szCs w:val="21"/>
                      <w:vertAlign w:val="subscript"/>
                    </w:rPr>
                    <w:t>3</w:t>
                  </w:r>
                  <w:r>
                    <w:rPr>
                      <w:rFonts w:ascii="Times New Roman" w:hAnsi="Times New Roman" w:eastAsia="宋体" w:cs="Times New Roman"/>
                      <w:color w:val="auto"/>
                      <w:sz w:val="21"/>
                      <w:szCs w:val="21"/>
                    </w:rPr>
                    <w:t>-N：</w:t>
                  </w:r>
                  <w:r>
                    <w:rPr>
                      <w:rFonts w:hint="eastAsia" w:ascii="Times New Roman" w:hAnsi="Times New Roman" w:eastAsia="宋体" w:cs="Times New Roman"/>
                      <w:color w:val="auto"/>
                      <w:sz w:val="21"/>
                      <w:szCs w:val="21"/>
                    </w:rPr>
                    <w:t>8</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5"/>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a指对应排放口须执行的国家或地方污染物排放标准以及其他按规定商定建设项目水污染物排放控制要求的协议，据此确定的排放浓度限值。</w:t>
                  </w:r>
                </w:p>
              </w:tc>
            </w:tr>
          </w:tbl>
          <w:p>
            <w:pPr>
              <w:adjustRightInd w:val="0"/>
              <w:snapToGrid w:val="0"/>
              <w:spacing w:line="360" w:lineRule="auto"/>
              <w:jc w:val="center"/>
              <w:rPr>
                <w:rFonts w:cs="Times New Roman"/>
                <w:b/>
                <w:szCs w:val="24"/>
              </w:rPr>
            </w:pPr>
            <w:r>
              <w:rPr>
                <w:rFonts w:cs="Times New Roman"/>
                <w:b/>
                <w:szCs w:val="24"/>
              </w:rPr>
              <w:t>表7-24  废水污染物排放信息表</w:t>
            </w:r>
          </w:p>
          <w:tbl>
            <w:tblPr>
              <w:tblStyle w:val="30"/>
              <w:tblW w:w="8296"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1162"/>
              <w:gridCol w:w="1283"/>
              <w:gridCol w:w="2390"/>
              <w:gridCol w:w="1394"/>
              <w:gridCol w:w="1454"/>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b/>
                      <w:bCs/>
                      <w:color w:val="auto"/>
                      <w:sz w:val="21"/>
                      <w:szCs w:val="21"/>
                    </w:rPr>
                    <w:t>序号</w:t>
                  </w:r>
                </w:p>
              </w:tc>
              <w:tc>
                <w:tcPr>
                  <w:tcW w:w="1162"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b/>
                      <w:bCs/>
                      <w:color w:val="auto"/>
                      <w:sz w:val="21"/>
                      <w:szCs w:val="21"/>
                    </w:rPr>
                    <w:t>排放口编号</w:t>
                  </w:r>
                </w:p>
              </w:tc>
              <w:tc>
                <w:tcPr>
                  <w:tcW w:w="1283"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b/>
                      <w:bCs/>
                      <w:color w:val="auto"/>
                      <w:sz w:val="21"/>
                      <w:szCs w:val="21"/>
                    </w:rPr>
                    <w:t>污染物种类</w:t>
                  </w:r>
                </w:p>
              </w:tc>
              <w:tc>
                <w:tcPr>
                  <w:tcW w:w="2390" w:type="dxa"/>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排放浓度（mg/L）</w:t>
                  </w:r>
                </w:p>
              </w:tc>
              <w:tc>
                <w:tcPr>
                  <w:tcW w:w="1394" w:type="dxa"/>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日排放量（t/d）</w:t>
                  </w:r>
                </w:p>
              </w:tc>
              <w:tc>
                <w:tcPr>
                  <w:tcW w:w="1454" w:type="dxa"/>
                  <w:vAlign w:val="center"/>
                </w:tcPr>
                <w:p>
                  <w:pPr>
                    <w:pStyle w:val="173"/>
                    <w:snapToGrid w:val="0"/>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年排放量（t/a）</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162"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1283"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COD、NH</w:t>
                  </w:r>
                  <w:r>
                    <w:rPr>
                      <w:rFonts w:ascii="Times New Roman" w:hAnsi="Times New Roman" w:eastAsia="宋体" w:cs="Times New Roman"/>
                      <w:color w:val="auto"/>
                      <w:sz w:val="21"/>
                      <w:szCs w:val="21"/>
                      <w:vertAlign w:val="subscript"/>
                    </w:rPr>
                    <w:t>3</w:t>
                  </w:r>
                  <w:r>
                    <w:rPr>
                      <w:rFonts w:ascii="Times New Roman" w:hAnsi="Times New Roman" w:eastAsia="宋体" w:cs="Times New Roman"/>
                      <w:color w:val="auto"/>
                      <w:sz w:val="21"/>
                      <w:szCs w:val="21"/>
                    </w:rPr>
                    <w:t>-N</w:t>
                  </w:r>
                </w:p>
              </w:tc>
              <w:tc>
                <w:tcPr>
                  <w:tcW w:w="2390"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COD：60</w:t>
                  </w:r>
                </w:p>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NH</w:t>
                  </w:r>
                  <w:r>
                    <w:rPr>
                      <w:rFonts w:ascii="Times New Roman" w:hAnsi="Times New Roman" w:eastAsia="宋体" w:cs="Times New Roman"/>
                      <w:color w:val="auto"/>
                      <w:sz w:val="21"/>
                      <w:szCs w:val="21"/>
                      <w:vertAlign w:val="subscript"/>
                    </w:rPr>
                    <w:t>3</w:t>
                  </w:r>
                  <w:r>
                    <w:rPr>
                      <w:rFonts w:ascii="Times New Roman" w:hAnsi="Times New Roman" w:eastAsia="宋体" w:cs="Times New Roman"/>
                      <w:color w:val="auto"/>
                      <w:sz w:val="21"/>
                      <w:szCs w:val="21"/>
                    </w:rPr>
                    <w:t>-N：</w:t>
                  </w:r>
                  <w:r>
                    <w:rPr>
                      <w:rFonts w:hint="eastAsia" w:ascii="Times New Roman" w:hAnsi="Times New Roman" w:eastAsia="宋体" w:cs="Times New Roman"/>
                      <w:color w:val="auto"/>
                      <w:sz w:val="21"/>
                      <w:szCs w:val="21"/>
                    </w:rPr>
                    <w:t>8</w:t>
                  </w:r>
                </w:p>
              </w:tc>
              <w:tc>
                <w:tcPr>
                  <w:tcW w:w="1394"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100</w:t>
                  </w:r>
                </w:p>
              </w:tc>
              <w:tc>
                <w:tcPr>
                  <w:tcW w:w="1454" w:type="dxa"/>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36500</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gridSpan w:val="2"/>
                  <w:vMerge w:val="restart"/>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全厂排放口合计</w:t>
                  </w:r>
                </w:p>
              </w:tc>
              <w:tc>
                <w:tcPr>
                  <w:tcW w:w="5067" w:type="dxa"/>
                  <w:gridSpan w:val="3"/>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COD</w:t>
                  </w:r>
                </w:p>
              </w:tc>
              <w:tc>
                <w:tcPr>
                  <w:tcW w:w="1454" w:type="dxa"/>
                  <w:vAlign w:val="center"/>
                </w:tcPr>
                <w:p>
                  <w:pPr>
                    <w:pStyle w:val="173"/>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2.19</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gridSpan w:val="2"/>
                  <w:vMerge w:val="continue"/>
                  <w:vAlign w:val="center"/>
                </w:tcPr>
                <w:p>
                  <w:pPr>
                    <w:pStyle w:val="173"/>
                    <w:snapToGrid w:val="0"/>
                    <w:jc w:val="center"/>
                    <w:rPr>
                      <w:rFonts w:ascii="Times New Roman" w:hAnsi="Times New Roman" w:eastAsia="宋体" w:cs="Times New Roman"/>
                      <w:color w:val="auto"/>
                      <w:sz w:val="21"/>
                      <w:szCs w:val="21"/>
                    </w:rPr>
                  </w:pPr>
                </w:p>
              </w:tc>
              <w:tc>
                <w:tcPr>
                  <w:tcW w:w="5067" w:type="dxa"/>
                  <w:gridSpan w:val="3"/>
                  <w:vAlign w:val="center"/>
                </w:tcPr>
                <w:p>
                  <w:pPr>
                    <w:pStyle w:val="173"/>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NH</w:t>
                  </w:r>
                  <w:r>
                    <w:rPr>
                      <w:rFonts w:ascii="Times New Roman" w:hAnsi="Times New Roman" w:eastAsia="宋体" w:cs="Times New Roman"/>
                      <w:color w:val="auto"/>
                      <w:sz w:val="21"/>
                      <w:szCs w:val="21"/>
                      <w:vertAlign w:val="subscript"/>
                    </w:rPr>
                    <w:t>3</w:t>
                  </w:r>
                  <w:r>
                    <w:rPr>
                      <w:rFonts w:ascii="Times New Roman" w:hAnsi="Times New Roman" w:eastAsia="宋体" w:cs="Times New Roman"/>
                      <w:color w:val="auto"/>
                      <w:sz w:val="21"/>
                      <w:szCs w:val="21"/>
                    </w:rPr>
                    <w:t>-N</w:t>
                  </w:r>
                </w:p>
              </w:tc>
              <w:tc>
                <w:tcPr>
                  <w:tcW w:w="1454" w:type="dxa"/>
                  <w:vAlign w:val="center"/>
                </w:tcPr>
                <w:p>
                  <w:pPr>
                    <w:pStyle w:val="173"/>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0.</w:t>
                  </w:r>
                  <w:r>
                    <w:rPr>
                      <w:rFonts w:ascii="Times New Roman" w:hAnsi="Times New Roman" w:eastAsia="宋体" w:cs="Times New Roman"/>
                      <w:color w:val="auto"/>
                      <w:sz w:val="21"/>
                      <w:szCs w:val="21"/>
                    </w:rPr>
                    <w:t>292</w:t>
                  </w:r>
                </w:p>
              </w:tc>
            </w:tr>
          </w:tbl>
          <w:p>
            <w:pPr>
              <w:widowControl/>
              <w:adjustRightInd w:val="0"/>
              <w:snapToGrid w:val="0"/>
              <w:spacing w:line="360" w:lineRule="auto"/>
              <w:ind w:firstLine="482" w:firstLineChars="200"/>
              <w:jc w:val="left"/>
              <w:rPr>
                <w:b/>
                <w:bCs/>
              </w:rPr>
            </w:pPr>
            <w:r>
              <w:rPr>
                <w:b/>
                <w:bCs/>
                <w:kern w:val="0"/>
                <w:lang w:bidi="ar"/>
              </w:rPr>
              <w:t>2、污水排口设置合理性分析</w:t>
            </w:r>
          </w:p>
          <w:p>
            <w:pPr>
              <w:widowControl/>
              <w:adjustRightInd w:val="0"/>
              <w:snapToGrid w:val="0"/>
              <w:spacing w:line="360" w:lineRule="auto"/>
              <w:ind w:firstLine="480" w:firstLineChars="200"/>
              <w:jc w:val="left"/>
            </w:pPr>
            <w:r>
              <w:rPr>
                <w:kern w:val="0"/>
                <w:lang w:bidi="ar"/>
              </w:rPr>
              <w:t>根据场址地理位置特点，合理进行平面布置，在满足工艺的情况下，将污水处理站尾水排放口设置在项目厂区</w:t>
            </w:r>
            <w:r>
              <w:rPr>
                <w:rFonts w:hint="eastAsia"/>
                <w:kern w:val="0"/>
                <w:lang w:bidi="ar"/>
              </w:rPr>
              <w:t>东北侧</w:t>
            </w:r>
            <w:r>
              <w:rPr>
                <w:kern w:val="0"/>
                <w:lang w:bidi="ar"/>
              </w:rPr>
              <w:t>的</w:t>
            </w:r>
            <w:r>
              <w:rPr>
                <w:rFonts w:hint="eastAsia"/>
                <w:kern w:val="0"/>
                <w:lang w:bidi="ar"/>
              </w:rPr>
              <w:t>大渡河</w:t>
            </w:r>
            <w:r>
              <w:rPr>
                <w:kern w:val="0"/>
                <w:lang w:bidi="ar"/>
              </w:rPr>
              <w:t>左岸，尾水可就近排放排入河流，减少管道建铺设量。项目河道标高低于污水处理站，故营运期处理后尾水可通过重力自流进入河流，同时在排水口处设置防倒灌措施，避免洪水期间河水倒灌进入污水处理站内。不会改变</w:t>
            </w:r>
            <w:r>
              <w:rPr>
                <w:rFonts w:hint="eastAsia"/>
                <w:kern w:val="0"/>
                <w:lang w:bidi="ar"/>
              </w:rPr>
              <w:t>大渡河</w:t>
            </w:r>
            <w:r>
              <w:rPr>
                <w:kern w:val="0"/>
                <w:lang w:bidi="ar"/>
              </w:rPr>
              <w:t>水环境功能区划，不会恶化河水水质，项目的实施可减少排入河流的污染物量，对河流的水环境产生的影响小。</w:t>
            </w:r>
          </w:p>
          <w:p>
            <w:pPr>
              <w:widowControl/>
              <w:adjustRightInd w:val="0"/>
              <w:snapToGrid w:val="0"/>
              <w:spacing w:line="360" w:lineRule="auto"/>
              <w:ind w:firstLine="480" w:firstLineChars="200"/>
              <w:jc w:val="left"/>
            </w:pPr>
            <w:r>
              <w:rPr>
                <w:kern w:val="0"/>
                <w:lang w:bidi="ar"/>
              </w:rPr>
              <w:t>为了更好地保护水环境，</w:t>
            </w:r>
            <w:r>
              <w:rPr>
                <w:rFonts w:hint="eastAsia"/>
                <w:kern w:val="0"/>
                <w:lang w:bidi="ar"/>
              </w:rPr>
              <w:t>大渡河</w:t>
            </w:r>
            <w:r>
              <w:rPr>
                <w:kern w:val="0"/>
                <w:lang w:bidi="ar"/>
              </w:rPr>
              <w:t>水环境质量评价标准执行《地表水环境质量标准》（GB3838-2002）的</w:t>
            </w:r>
            <w:r>
              <w:rPr>
                <w:rFonts w:hint="eastAsia" w:ascii="宋体" w:hAnsi="宋体" w:cs="宋体"/>
                <w:kern w:val="0"/>
                <w:lang w:bidi="ar"/>
              </w:rPr>
              <w:t>Ⅲ</w:t>
            </w:r>
            <w:r>
              <w:rPr>
                <w:kern w:val="0"/>
                <w:lang w:bidi="ar"/>
              </w:rPr>
              <w:t>类标准。入河排污口位置符合项目所在地总体规划，达标排放后对水功能区的影响甚微，污水处理工程修建后对下游用水户是正效益，排污口的位置和排放方式基本合理。排污河段无通航功能，且无码头，不存在其他用水户的制约因素。且根据本次评价工程分析，排污口的设置对地表水环境影响较小。</w:t>
            </w:r>
          </w:p>
          <w:p>
            <w:pPr>
              <w:widowControl/>
              <w:adjustRightInd w:val="0"/>
              <w:snapToGrid w:val="0"/>
              <w:spacing w:line="360" w:lineRule="auto"/>
              <w:ind w:firstLine="480" w:firstLineChars="200"/>
            </w:pPr>
            <w:r>
              <w:rPr>
                <w:kern w:val="0"/>
                <w:lang w:bidi="ar"/>
              </w:rPr>
              <w:t>本次环评要求：排污口设置应取得当地</w:t>
            </w:r>
            <w:r>
              <w:rPr>
                <w:rFonts w:hint="eastAsia"/>
                <w:kern w:val="0"/>
                <w:lang w:bidi="ar"/>
              </w:rPr>
              <w:t>生态环境主管部门</w:t>
            </w:r>
            <w:r>
              <w:rPr>
                <w:kern w:val="0"/>
                <w:lang w:bidi="ar"/>
              </w:rPr>
              <w:t>同意方可在此设置排污口，若排污口位置发生变化，应经论证后报当地生态环境局同意方可实施。因此建设单位在采取一系列措施，并在运营期加强管理监督后，从环境角度而言，尾水排放口设置较为合理。</w:t>
            </w:r>
          </w:p>
          <w:p>
            <w:pPr>
              <w:widowControl/>
              <w:adjustRightInd w:val="0"/>
              <w:snapToGrid w:val="0"/>
              <w:spacing w:line="360" w:lineRule="auto"/>
              <w:ind w:firstLine="480" w:firstLineChars="200"/>
            </w:pPr>
            <w:r>
              <w:rPr>
                <w:kern w:val="0"/>
                <w:lang w:bidi="ar"/>
              </w:rPr>
              <w:t>因此，排污口的位置是基本合理的。</w:t>
            </w:r>
          </w:p>
          <w:p>
            <w:pPr>
              <w:widowControl/>
              <w:adjustRightInd w:val="0"/>
              <w:snapToGrid w:val="0"/>
              <w:spacing w:line="360" w:lineRule="auto"/>
              <w:ind w:firstLine="482" w:firstLineChars="200"/>
              <w:rPr>
                <w:b/>
                <w:kern w:val="0"/>
                <w:lang w:bidi="ar"/>
              </w:rPr>
            </w:pPr>
            <w:r>
              <w:rPr>
                <w:b/>
                <w:kern w:val="0"/>
                <w:lang w:bidi="ar"/>
              </w:rPr>
              <w:t>本项目营运期应加强管理，确保各处理设施正常运行，处理尾水达标排放。</w:t>
            </w:r>
          </w:p>
          <w:p>
            <w:pPr>
              <w:pStyle w:val="5"/>
              <w:spacing w:before="0" w:after="0"/>
              <w:ind w:firstLine="482" w:firstLineChars="200"/>
              <w:rPr>
                <w:rFonts w:ascii="Times New Roman" w:hAnsi="Times New Roman" w:eastAsia="宋体" w:cs="Arial Unicode MS"/>
                <w:bCs w:val="0"/>
                <w:kern w:val="0"/>
                <w:sz w:val="24"/>
                <w:szCs w:val="20"/>
                <w:lang w:bidi="ar"/>
              </w:rPr>
            </w:pPr>
            <w:bookmarkStart w:id="16" w:name="_Toc31642"/>
            <w:bookmarkStart w:id="17" w:name="_Toc9309"/>
            <w:r>
              <w:rPr>
                <w:rFonts w:ascii="Times New Roman" w:hAnsi="Times New Roman" w:eastAsia="宋体" w:cs="Arial Unicode MS"/>
                <w:bCs w:val="0"/>
                <w:kern w:val="0"/>
                <w:sz w:val="24"/>
                <w:szCs w:val="20"/>
                <w:lang w:bidi="ar"/>
              </w:rPr>
              <w:t>排污口规范化措施</w:t>
            </w:r>
            <w:bookmarkEnd w:id="16"/>
            <w:bookmarkEnd w:id="17"/>
            <w:r>
              <w:rPr>
                <w:rFonts w:ascii="Times New Roman" w:hAnsi="Times New Roman" w:eastAsia="宋体" w:cs="Arial Unicode MS"/>
                <w:bCs w:val="0"/>
                <w:kern w:val="0"/>
                <w:sz w:val="24"/>
                <w:szCs w:val="20"/>
                <w:lang w:bidi="ar"/>
              </w:rPr>
              <w:t>：</w:t>
            </w:r>
          </w:p>
          <w:p>
            <w:pPr>
              <w:pStyle w:val="29"/>
              <w:adjustRightInd w:val="0"/>
              <w:snapToGrid w:val="0"/>
              <w:spacing w:after="0" w:line="360" w:lineRule="auto"/>
              <w:ind w:left="0" w:leftChars="0" w:firstLine="480"/>
              <w:rPr>
                <w:sz w:val="24"/>
                <w:szCs w:val="32"/>
              </w:rPr>
            </w:pPr>
            <w:r>
              <w:rPr>
                <w:sz w:val="24"/>
                <w:szCs w:val="32"/>
              </w:rPr>
              <w:t>1）排污口规范化管理的基本原则</w:t>
            </w:r>
          </w:p>
          <w:p>
            <w:pPr>
              <w:pStyle w:val="85"/>
              <w:snapToGrid w:val="0"/>
              <w:ind w:firstLine="480" w:firstLineChars="200"/>
              <w:rPr>
                <w:rFonts w:ascii="Times New Roman" w:hAnsi="Times New Roman" w:cs="Times New Roman"/>
              </w:rPr>
            </w:pPr>
            <w:r>
              <w:t>①向环境排放污染物的排污口必须规范化，应符合“一明显、二合理、三便于的要求”，即环保标志明显，排污口设置合理、排污去向合理，便于采集、便于监测计算、</w:t>
            </w:r>
            <w:r>
              <w:rPr>
                <w:rFonts w:ascii="Times New Roman" w:hAnsi="Times New Roman" w:cs="Times New Roman"/>
              </w:rPr>
              <w:t>便于公众参与监督。</w:t>
            </w:r>
          </w:p>
          <w:p>
            <w:pPr>
              <w:pStyle w:val="85"/>
              <w:snapToGrid w:val="0"/>
              <w:ind w:firstLine="480" w:firstLineChars="200"/>
              <w:rPr>
                <w:rFonts w:ascii="Times New Roman" w:hAnsi="Times New Roman" w:cs="Times New Roman"/>
              </w:rPr>
            </w:pPr>
            <w:r>
              <w:rPr>
                <w:rFonts w:hint="eastAsia" w:ascii="宋体" w:hAnsi="宋体" w:cs="宋体"/>
              </w:rPr>
              <w:t>②</w:t>
            </w:r>
            <w:r>
              <w:rPr>
                <w:rFonts w:ascii="Times New Roman" w:hAnsi="Times New Roman" w:cs="Times New Roman"/>
              </w:rPr>
              <w:t>考虑列入总量控制指标的污染物中排放的COD、NH</w:t>
            </w:r>
            <w:r>
              <w:rPr>
                <w:rFonts w:ascii="Times New Roman" w:hAnsi="Times New Roman" w:cs="Times New Roman"/>
                <w:vertAlign w:val="subscript"/>
              </w:rPr>
              <w:t>3</w:t>
            </w:r>
            <w:r>
              <w:rPr>
                <w:rFonts w:ascii="Times New Roman" w:hAnsi="Times New Roman" w:cs="Times New Roman"/>
              </w:rPr>
              <w:t>-N、TP、TN排放口为管理重点。</w:t>
            </w:r>
          </w:p>
          <w:p>
            <w:pPr>
              <w:pStyle w:val="85"/>
              <w:snapToGrid w:val="0"/>
              <w:ind w:firstLine="480" w:firstLineChars="200"/>
              <w:rPr>
                <w:rFonts w:ascii="Times New Roman" w:hAnsi="Times New Roman" w:cs="Times New Roman"/>
              </w:rPr>
            </w:pPr>
            <w:r>
              <w:rPr>
                <w:rFonts w:hint="eastAsia" w:ascii="宋体" w:hAnsi="宋体" w:cs="宋体"/>
              </w:rPr>
              <w:t>③</w:t>
            </w:r>
            <w:r>
              <w:rPr>
                <w:rFonts w:ascii="Times New Roman" w:hAnsi="Times New Roman" w:cs="Times New Roman"/>
              </w:rPr>
              <w:t>规范化排污口，应对项目雨、污排污口进行区别。</w:t>
            </w:r>
          </w:p>
          <w:p>
            <w:pPr>
              <w:widowControl/>
              <w:adjustRightInd w:val="0"/>
              <w:snapToGrid w:val="0"/>
              <w:spacing w:line="360" w:lineRule="auto"/>
              <w:ind w:firstLine="480" w:firstLineChars="200"/>
              <w:rPr>
                <w:rFonts w:cs="Times New Roman"/>
              </w:rPr>
            </w:pPr>
            <w:r>
              <w:rPr>
                <w:rFonts w:cs="Times New Roman"/>
              </w:rPr>
              <w:t>2）排污口的技术要求</w:t>
            </w:r>
          </w:p>
          <w:p>
            <w:pPr>
              <w:pStyle w:val="85"/>
              <w:snapToGrid w:val="0"/>
              <w:ind w:firstLine="480" w:firstLineChars="200"/>
              <w:rPr>
                <w:rFonts w:ascii="Times New Roman" w:hAnsi="Times New Roman" w:cs="Times New Roman"/>
              </w:rPr>
            </w:pPr>
            <w:r>
              <w:rPr>
                <w:rFonts w:hint="eastAsia" w:ascii="宋体" w:hAnsi="宋体" w:cs="宋体"/>
              </w:rPr>
              <w:t>①</w:t>
            </w:r>
            <w:r>
              <w:rPr>
                <w:rFonts w:ascii="Times New Roman" w:hAnsi="Times New Roman" w:cs="Times New Roman"/>
              </w:rPr>
              <w:t>排污口的位置必须合理确定，按《排污口规范化建设》（环监[1996]470号）文件要求进行规范化管理。</w:t>
            </w:r>
          </w:p>
          <w:p>
            <w:pPr>
              <w:pStyle w:val="85"/>
              <w:snapToGrid w:val="0"/>
              <w:ind w:firstLine="480" w:firstLineChars="200"/>
            </w:pPr>
            <w:r>
              <w:t>②排放污染物的采样点设置应按《污染源监测技术规范》要求设置。</w:t>
            </w:r>
          </w:p>
          <w:p>
            <w:pPr>
              <w:pStyle w:val="85"/>
              <w:snapToGrid w:val="0"/>
              <w:ind w:firstLine="480" w:firstLineChars="200"/>
            </w:pPr>
            <w:r>
              <w:t>③污水排放口应安装流量计。</w:t>
            </w:r>
          </w:p>
          <w:p>
            <w:pPr>
              <w:pStyle w:val="85"/>
              <w:snapToGrid w:val="0"/>
              <w:ind w:firstLine="480" w:firstLineChars="200"/>
            </w:pPr>
            <w:r>
              <w:rPr>
                <w:rFonts w:hint="eastAsia"/>
              </w:rPr>
              <w:t>④</w:t>
            </w:r>
            <w:r>
              <w:t>排污口应设置明渠加管道入河的方式，便于人民群众的监督。</w:t>
            </w:r>
          </w:p>
          <w:p>
            <w:pPr>
              <w:widowControl/>
              <w:adjustRightInd w:val="0"/>
              <w:snapToGrid w:val="0"/>
              <w:spacing w:line="360" w:lineRule="auto"/>
              <w:ind w:firstLine="480" w:firstLineChars="200"/>
              <w:rPr>
                <w:rFonts w:cs="Times New Roman"/>
              </w:rPr>
            </w:pPr>
            <w:r>
              <w:t>3）排污口</w:t>
            </w:r>
            <w:r>
              <w:rPr>
                <w:rFonts w:cs="Times New Roman"/>
              </w:rPr>
              <w:t>立标管理</w:t>
            </w:r>
          </w:p>
          <w:p>
            <w:pPr>
              <w:pStyle w:val="85"/>
              <w:snapToGrid w:val="0"/>
              <w:ind w:firstLine="480" w:firstLineChars="200"/>
              <w:rPr>
                <w:rFonts w:ascii="Times New Roman" w:hAnsi="Times New Roman" w:cs="Times New Roman"/>
              </w:rPr>
            </w:pPr>
            <w:r>
              <w:rPr>
                <w:rFonts w:hint="eastAsia" w:ascii="宋体" w:hAnsi="宋体" w:cs="宋体"/>
              </w:rPr>
              <w:t>①</w:t>
            </w:r>
            <w:r>
              <w:rPr>
                <w:rFonts w:ascii="Times New Roman" w:hAnsi="Times New Roman" w:cs="Times New Roman"/>
              </w:rPr>
              <w:t>企业污染物排放口的标志，应按国家《环境保护图形标志排放口》（15562.1-1995）及《环境保护图形标志固体废物贮存（处置）场》（15562.2-1995）的规定，设置国家生态环境部统一制作的环境保护图形标志牌。</w:t>
            </w:r>
          </w:p>
          <w:p>
            <w:pPr>
              <w:pStyle w:val="85"/>
              <w:snapToGrid w:val="0"/>
              <w:ind w:firstLine="480" w:firstLineChars="200"/>
              <w:rPr>
                <w:rFonts w:ascii="Times New Roman" w:hAnsi="Times New Roman" w:cs="Times New Roman"/>
              </w:rPr>
            </w:pPr>
            <w:r>
              <w:rPr>
                <w:rFonts w:hint="eastAsia" w:ascii="宋体" w:hAnsi="宋体" w:cs="宋体"/>
              </w:rPr>
              <w:t>②</w:t>
            </w:r>
            <w:r>
              <w:rPr>
                <w:rFonts w:ascii="Times New Roman" w:hAnsi="Times New Roman" w:cs="Times New Roman"/>
              </w:rPr>
              <w:t>污染物排放口的环保图形标志牌应设置在靠近采样点的醒目处，标志牌设置高度为其上缘距地面2m。</w:t>
            </w:r>
          </w:p>
          <w:p>
            <w:pPr>
              <w:pStyle w:val="29"/>
              <w:ind w:left="480"/>
            </w:pPr>
            <w:r>
              <w:drawing>
                <wp:inline distT="0" distB="0" distL="0" distR="0">
                  <wp:extent cx="4143375" cy="2409825"/>
                  <wp:effectExtent l="0" t="0" r="9525" b="9525"/>
                  <wp:docPr id="11" name="图片 11" descr="QQ图片2019102313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19102313255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4143375" cy="2409825"/>
                          </a:xfrm>
                          <a:prstGeom prst="rect">
                            <a:avLst/>
                          </a:prstGeom>
                          <a:noFill/>
                          <a:ln>
                            <a:noFill/>
                          </a:ln>
                        </pic:spPr>
                      </pic:pic>
                    </a:graphicData>
                  </a:graphic>
                </wp:inline>
              </w:drawing>
            </w:r>
          </w:p>
          <w:p>
            <w:pPr>
              <w:widowControl/>
              <w:adjustRightInd w:val="0"/>
              <w:snapToGrid w:val="0"/>
              <w:spacing w:line="360" w:lineRule="auto"/>
              <w:jc w:val="center"/>
              <w:rPr>
                <w:rFonts w:cs="Times New Roman"/>
                <w:b/>
                <w:bCs/>
                <w:sz w:val="21"/>
                <w:szCs w:val="16"/>
              </w:rPr>
            </w:pPr>
            <w:r>
              <w:rPr>
                <w:rFonts w:cs="Times New Roman"/>
                <w:b/>
                <w:bCs/>
                <w:sz w:val="21"/>
                <w:szCs w:val="16"/>
              </w:rPr>
              <w:t>图7-1  雨水排放口示意图</w:t>
            </w:r>
          </w:p>
          <w:p>
            <w:pPr>
              <w:widowControl/>
              <w:adjustRightInd w:val="0"/>
              <w:snapToGrid w:val="0"/>
              <w:spacing w:line="360" w:lineRule="auto"/>
              <w:jc w:val="center"/>
            </w:pPr>
            <w:r>
              <w:drawing>
                <wp:inline distT="0" distB="0" distL="0" distR="0">
                  <wp:extent cx="4162425" cy="2409825"/>
                  <wp:effectExtent l="0" t="0" r="9525" b="9525"/>
                  <wp:docPr id="10" name="图片 10" descr="QQ图片2019102313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19102313300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4162425" cy="2409825"/>
                          </a:xfrm>
                          <a:prstGeom prst="rect">
                            <a:avLst/>
                          </a:prstGeom>
                          <a:noFill/>
                          <a:ln>
                            <a:noFill/>
                          </a:ln>
                        </pic:spPr>
                      </pic:pic>
                    </a:graphicData>
                  </a:graphic>
                </wp:inline>
              </w:drawing>
            </w:r>
          </w:p>
          <w:p>
            <w:pPr>
              <w:widowControl/>
              <w:adjustRightInd w:val="0"/>
              <w:snapToGrid w:val="0"/>
              <w:spacing w:line="360" w:lineRule="auto"/>
              <w:jc w:val="center"/>
              <w:rPr>
                <w:rFonts w:cs="Times New Roman"/>
                <w:b/>
                <w:bCs/>
                <w:sz w:val="21"/>
                <w:szCs w:val="16"/>
              </w:rPr>
            </w:pPr>
            <w:r>
              <w:rPr>
                <w:rFonts w:cs="Times New Roman"/>
                <w:b/>
                <w:bCs/>
                <w:sz w:val="21"/>
                <w:szCs w:val="16"/>
              </w:rPr>
              <w:t>图7-2  污水排放口示意图</w:t>
            </w:r>
          </w:p>
          <w:p>
            <w:pPr>
              <w:widowControl/>
              <w:adjustRightInd w:val="0"/>
              <w:snapToGrid w:val="0"/>
              <w:spacing w:line="360" w:lineRule="auto"/>
              <w:ind w:firstLine="480" w:firstLineChars="200"/>
            </w:pPr>
            <w:r>
              <w:t>4）排污口建档管理</w:t>
            </w:r>
          </w:p>
          <w:p>
            <w:pPr>
              <w:widowControl/>
              <w:adjustRightInd w:val="0"/>
              <w:snapToGrid w:val="0"/>
              <w:spacing w:line="360" w:lineRule="auto"/>
              <w:ind w:firstLine="480" w:firstLineChars="200"/>
            </w:pPr>
            <w:r>
              <w:rPr>
                <w:rFonts w:hint="eastAsia" w:ascii="宋体" w:hAnsi="宋体" w:cs="宋体"/>
              </w:rPr>
              <w:t>①</w:t>
            </w:r>
            <w:r>
              <w:t>要求使用生态环境部统一印刷的《中华人民共和国规范化排污口标志登记证》，并按要求填写有关内容。</w:t>
            </w:r>
          </w:p>
          <w:p>
            <w:pPr>
              <w:widowControl/>
              <w:adjustRightInd w:val="0"/>
              <w:snapToGrid w:val="0"/>
              <w:spacing w:line="360" w:lineRule="auto"/>
              <w:ind w:firstLine="480" w:firstLineChars="200"/>
            </w:pPr>
            <w:r>
              <w:rPr>
                <w:rFonts w:hint="eastAsia" w:ascii="宋体" w:hAnsi="宋体" w:cs="宋体"/>
              </w:rPr>
              <w:t>②</w:t>
            </w:r>
            <w:r>
              <w:t>根据排污口管理档案内容要求，项目建成后，应将主要污染物种类、数量、浓度、排放去向、达标情况及设施运行情况记录于档案。</w:t>
            </w:r>
          </w:p>
          <w:p>
            <w:pPr>
              <w:widowControl/>
              <w:adjustRightInd w:val="0"/>
              <w:snapToGrid w:val="0"/>
              <w:spacing w:line="360" w:lineRule="auto"/>
              <w:ind w:firstLine="482" w:firstLineChars="200"/>
              <w:jc w:val="left"/>
              <w:rPr>
                <w:b/>
                <w:bCs/>
              </w:rPr>
            </w:pPr>
            <w:r>
              <w:rPr>
                <w:b/>
                <w:bCs/>
                <w:kern w:val="0"/>
                <w:lang w:bidi="ar"/>
              </w:rPr>
              <w:t>3、环境正效应</w:t>
            </w:r>
          </w:p>
          <w:p>
            <w:pPr>
              <w:widowControl/>
              <w:adjustRightInd w:val="0"/>
              <w:snapToGrid w:val="0"/>
              <w:spacing w:line="360" w:lineRule="auto"/>
              <w:ind w:firstLine="480" w:firstLineChars="200"/>
            </w:pPr>
            <w:r>
              <w:rPr>
                <w:kern w:val="0"/>
                <w:lang w:bidi="ar"/>
              </w:rPr>
              <w:t>本工程运营后</w:t>
            </w:r>
            <w:r>
              <w:rPr>
                <w:rFonts w:hint="eastAsia"/>
                <w:kern w:val="0"/>
                <w:lang w:bidi="ar"/>
              </w:rPr>
              <w:t>将</w:t>
            </w:r>
            <w:r>
              <w:rPr>
                <w:rFonts w:hint="eastAsia" w:cs="Times New Roman"/>
              </w:rPr>
              <w:t>提高</w:t>
            </w:r>
            <w:r>
              <w:rPr>
                <w:rFonts w:hint="eastAsia" w:cs="Times New Roman"/>
                <w:szCs w:val="24"/>
              </w:rPr>
              <w:t>峨边彝族自治县老人民医院片区居民生活污水的收集率，改变经营所片区未进行雨污分流，大量雨水进入污水管网、马嘶溪火车站片区居民生活污水未经处理直接排入周边地表水的现状。经营所片区实现雨污分流，老人民医院片区、</w:t>
            </w:r>
            <w:r>
              <w:rPr>
                <w:rFonts w:hint="eastAsia"/>
                <w:kern w:val="0"/>
                <w:lang w:bidi="ar"/>
              </w:rPr>
              <w:t>马嘶溪火车站</w:t>
            </w:r>
            <w:r>
              <w:rPr>
                <w:kern w:val="0"/>
                <w:lang w:bidi="ar"/>
              </w:rPr>
              <w:t>片区污水集中收集处理达标后排放，区域内生活污水将得到有效地收集和处理，彻底改善</w:t>
            </w:r>
            <w:r>
              <w:rPr>
                <w:rFonts w:hint="eastAsia" w:cs="Times New Roman"/>
                <w:szCs w:val="24"/>
              </w:rPr>
              <w:t>老人民医院片区、</w:t>
            </w:r>
            <w:r>
              <w:rPr>
                <w:rFonts w:hint="eastAsia"/>
                <w:kern w:val="0"/>
                <w:lang w:bidi="ar"/>
              </w:rPr>
              <w:t>马嘶溪火车站</w:t>
            </w:r>
            <w:r>
              <w:rPr>
                <w:kern w:val="0"/>
                <w:lang w:bidi="ar"/>
              </w:rPr>
              <w:t>片区以往污水未经处理直接排放的不良局面。本项目属于项目所在地基础设施项目，主要目的为服务于社会，建成后，将增加</w:t>
            </w:r>
            <w:r>
              <w:rPr>
                <w:rFonts w:hint="eastAsia"/>
                <w:kern w:val="0"/>
                <w:lang w:bidi="ar"/>
              </w:rPr>
              <w:t>马嘶溪火车站</w:t>
            </w:r>
            <w:r>
              <w:rPr>
                <w:kern w:val="0"/>
                <w:lang w:bidi="ar"/>
              </w:rPr>
              <w:t>片区</w:t>
            </w:r>
            <w:r>
              <w:rPr>
                <w:rFonts w:hint="eastAsia"/>
                <w:kern w:val="0"/>
                <w:lang w:bidi="ar"/>
              </w:rPr>
              <w:t>农村生活</w:t>
            </w:r>
            <w:r>
              <w:rPr>
                <w:kern w:val="0"/>
                <w:lang w:bidi="ar"/>
              </w:rPr>
              <w:t>污水100m</w:t>
            </w:r>
            <w:r>
              <w:rPr>
                <w:kern w:val="0"/>
                <w:vertAlign w:val="superscript"/>
                <w:lang w:bidi="ar"/>
              </w:rPr>
              <w:t>3</w:t>
            </w:r>
            <w:r>
              <w:rPr>
                <w:kern w:val="0"/>
                <w:lang w:bidi="ar"/>
              </w:rPr>
              <w:t>/d的处理能力，有效改善河流水域环境，实现以点带面，建立良好的定点示范工程，实现项目所在地的可持续发展，进一步提高当地居民生产和生活质量。</w:t>
            </w:r>
          </w:p>
          <w:p>
            <w:pPr>
              <w:widowControl/>
              <w:adjustRightInd w:val="0"/>
              <w:snapToGrid w:val="0"/>
              <w:spacing w:line="360" w:lineRule="auto"/>
              <w:ind w:firstLine="482" w:firstLineChars="200"/>
              <w:rPr>
                <w:b/>
                <w:bCs/>
              </w:rPr>
            </w:pPr>
            <w:r>
              <w:rPr>
                <w:b/>
                <w:bCs/>
                <w:kern w:val="0"/>
                <w:lang w:bidi="ar"/>
              </w:rPr>
              <w:t>本项目的建设，对项目所在地地表水环境的改善有正效益影响，可减少的排放量COD</w:t>
            </w:r>
            <w:r>
              <w:rPr>
                <w:b/>
                <w:bCs/>
                <w:kern w:val="0"/>
                <w:sz w:val="16"/>
                <w:szCs w:val="16"/>
                <w:lang w:bidi="ar"/>
              </w:rPr>
              <w:t>Cr</w:t>
            </w:r>
            <w:r>
              <w:rPr>
                <w:b/>
                <w:bCs/>
                <w:kern w:val="0"/>
                <w:lang w:bidi="ar"/>
              </w:rPr>
              <w:t>：3.285t/a，NH</w:t>
            </w:r>
            <w:r>
              <w:rPr>
                <w:b/>
                <w:bCs/>
                <w:kern w:val="0"/>
                <w:sz w:val="16"/>
                <w:szCs w:val="16"/>
                <w:lang w:bidi="ar"/>
              </w:rPr>
              <w:t>3</w:t>
            </w:r>
            <w:r>
              <w:rPr>
                <w:b/>
                <w:bCs/>
                <w:kern w:val="0"/>
                <w:lang w:bidi="ar"/>
              </w:rPr>
              <w:t>-N：</w:t>
            </w:r>
            <w:r>
              <w:rPr>
                <w:rFonts w:hint="eastAsia"/>
                <w:b/>
                <w:bCs/>
                <w:kern w:val="0"/>
                <w:lang w:bidi="ar"/>
              </w:rPr>
              <w:t>0.</w:t>
            </w:r>
            <w:r>
              <w:rPr>
                <w:b/>
                <w:bCs/>
                <w:kern w:val="0"/>
                <w:lang w:bidi="ar"/>
              </w:rPr>
              <w:t>438t/a，TP：0.09125t/a，TN：0.1825t/a，SS：4.745t/a。</w:t>
            </w:r>
          </w:p>
          <w:p>
            <w:pPr>
              <w:widowControl/>
              <w:adjustRightInd w:val="0"/>
              <w:snapToGrid w:val="0"/>
              <w:spacing w:line="360" w:lineRule="auto"/>
              <w:ind w:firstLine="480" w:firstLineChars="200"/>
              <w:jc w:val="left"/>
              <w:rPr>
                <w:bCs/>
              </w:rPr>
            </w:pPr>
            <w:r>
              <w:rPr>
                <w:bCs/>
                <w:kern w:val="0"/>
                <w:lang w:bidi="ar"/>
              </w:rPr>
              <w:t>4、洪水冲刷对本项目场站的影响</w:t>
            </w:r>
          </w:p>
          <w:p>
            <w:pPr>
              <w:widowControl/>
              <w:adjustRightInd w:val="0"/>
              <w:snapToGrid w:val="0"/>
              <w:spacing w:line="360" w:lineRule="auto"/>
              <w:ind w:firstLine="480" w:firstLineChars="200"/>
              <w:jc w:val="left"/>
            </w:pPr>
            <w:r>
              <w:rPr>
                <w:rFonts w:hint="eastAsia"/>
                <w:kern w:val="0"/>
                <w:lang w:bidi="ar"/>
              </w:rPr>
              <w:t>大渡河</w:t>
            </w:r>
            <w:r>
              <w:rPr>
                <w:kern w:val="0"/>
                <w:lang w:bidi="ar"/>
              </w:rPr>
              <w:t>水量较大，但暴雨和洪水不会威胁废水处理站安全，污水处理站区域地理位置相较于</w:t>
            </w:r>
            <w:r>
              <w:rPr>
                <w:rFonts w:hint="eastAsia"/>
                <w:kern w:val="0"/>
                <w:lang w:bidi="ar"/>
              </w:rPr>
              <w:t>大渡河</w:t>
            </w:r>
            <w:r>
              <w:rPr>
                <w:kern w:val="0"/>
                <w:lang w:bidi="ar"/>
              </w:rPr>
              <w:t>水位较高，周围行洪河道较多，发生洪灾的可能性极小。</w:t>
            </w:r>
          </w:p>
          <w:p>
            <w:pPr>
              <w:widowControl/>
              <w:adjustRightInd w:val="0"/>
              <w:snapToGrid w:val="0"/>
              <w:spacing w:line="360" w:lineRule="auto"/>
              <w:ind w:firstLine="480" w:firstLineChars="200"/>
              <w:jc w:val="left"/>
            </w:pPr>
            <w:r>
              <w:rPr>
                <w:kern w:val="0"/>
                <w:lang w:bidi="ar"/>
              </w:rPr>
              <w:t>本项目入河排污口为管道自流，岸边敷设，连续排放。环评建议，建设单位修建入河排污明管时，管底高程高于二十年一遇洪水位，并在排污口设置切断阀，汛期采用泵抽排方式排入河沟，防止河水倒灌，同时加强汛期的预警系统，保证汛期防洪安全。</w:t>
            </w:r>
          </w:p>
          <w:p>
            <w:pPr>
              <w:widowControl/>
              <w:adjustRightInd w:val="0"/>
              <w:snapToGrid w:val="0"/>
              <w:spacing w:line="360" w:lineRule="auto"/>
              <w:ind w:firstLine="480" w:firstLineChars="200"/>
              <w:rPr>
                <w:b/>
                <w:bCs/>
                <w:kern w:val="0"/>
                <w:lang w:bidi="ar"/>
              </w:rPr>
            </w:pPr>
            <w:r>
              <w:rPr>
                <w:kern w:val="0"/>
                <w:lang w:bidi="ar"/>
              </w:rPr>
              <w:t>本项目的建设不占用河道，对河道行洪影响较小。在采取以上防洪措施后，汛期洪水对场站的影响较小。</w:t>
            </w:r>
          </w:p>
          <w:p>
            <w:pPr>
              <w:tabs>
                <w:tab w:val="left" w:pos="5670"/>
              </w:tabs>
              <w:spacing w:line="360" w:lineRule="auto"/>
              <w:ind w:firstLine="480" w:firstLineChars="200"/>
              <w:rPr>
                <w:rFonts w:cs="Times New Roman"/>
              </w:rPr>
            </w:pPr>
            <w:r>
              <w:rPr>
                <w:rFonts w:cs="Times New Roman"/>
              </w:rPr>
              <w:t>3、营运期噪声环境影响分析</w:t>
            </w:r>
          </w:p>
          <w:p>
            <w:pPr>
              <w:tabs>
                <w:tab w:val="left" w:pos="462"/>
              </w:tabs>
              <w:adjustRightInd w:val="0"/>
              <w:snapToGrid w:val="0"/>
              <w:spacing w:line="360" w:lineRule="auto"/>
              <w:ind w:firstLine="482" w:firstLineChars="200"/>
              <w:rPr>
                <w:b/>
                <w:bCs/>
              </w:rPr>
            </w:pPr>
            <w:r>
              <w:rPr>
                <w:rFonts w:hint="eastAsia"/>
                <w:b/>
                <w:bCs/>
              </w:rPr>
              <w:t>（1）</w:t>
            </w:r>
            <w:r>
              <w:rPr>
                <w:b/>
                <w:bCs/>
              </w:rPr>
              <w:t>影响分析</w:t>
            </w:r>
          </w:p>
          <w:p>
            <w:pPr>
              <w:widowControl/>
              <w:adjustRightInd w:val="0"/>
              <w:snapToGrid w:val="0"/>
              <w:spacing w:line="360" w:lineRule="auto"/>
              <w:ind w:firstLine="480" w:firstLineChars="200"/>
              <w:rPr>
                <w:rFonts w:eastAsia="黑体"/>
              </w:rPr>
            </w:pPr>
            <w:r>
              <w:t>本项目主要噪声来源于传动机械工作时产生的噪声，主要噪声源有：污水提升泵、鼓风机等，根据类似设备噪声强度调查，主要的机械设备噪声值见</w:t>
            </w:r>
            <w:r>
              <w:rPr>
                <w:rFonts w:hint="eastAsia"/>
              </w:rPr>
              <w:t>下表</w:t>
            </w:r>
            <w:r>
              <w:t>。</w:t>
            </w:r>
          </w:p>
          <w:p>
            <w:pPr>
              <w:widowControl/>
              <w:adjustRightInd w:val="0"/>
              <w:snapToGrid w:val="0"/>
              <w:spacing w:line="360" w:lineRule="auto"/>
              <w:jc w:val="center"/>
              <w:rPr>
                <w:rFonts w:cs="Times New Roman"/>
                <w:b/>
                <w:szCs w:val="24"/>
              </w:rPr>
            </w:pPr>
            <w:r>
              <w:rPr>
                <w:rFonts w:cs="Times New Roman"/>
                <w:b/>
                <w:szCs w:val="24"/>
              </w:rPr>
              <w:t>表7-25  项目噪声源强及防治措施一览表</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321"/>
              <w:gridCol w:w="1536"/>
              <w:gridCol w:w="1157"/>
              <w:gridCol w:w="709"/>
              <w:gridCol w:w="1637"/>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681" w:type="dxa"/>
                  <w:vAlign w:val="center"/>
                </w:tcPr>
                <w:p>
                  <w:pPr>
                    <w:pStyle w:val="46"/>
                    <w:rPr>
                      <w:b/>
                      <w:bCs/>
                      <w:sz w:val="21"/>
                      <w:szCs w:val="21"/>
                    </w:rPr>
                  </w:pPr>
                  <w:r>
                    <w:rPr>
                      <w:b/>
                      <w:bCs/>
                      <w:sz w:val="21"/>
                      <w:szCs w:val="21"/>
                    </w:rPr>
                    <w:t>序号</w:t>
                  </w:r>
                </w:p>
              </w:tc>
              <w:tc>
                <w:tcPr>
                  <w:tcW w:w="1321" w:type="dxa"/>
                  <w:vAlign w:val="center"/>
                </w:tcPr>
                <w:p>
                  <w:pPr>
                    <w:pStyle w:val="46"/>
                    <w:rPr>
                      <w:b/>
                      <w:bCs/>
                      <w:sz w:val="21"/>
                      <w:szCs w:val="21"/>
                    </w:rPr>
                  </w:pPr>
                  <w:r>
                    <w:rPr>
                      <w:b/>
                      <w:bCs/>
                      <w:sz w:val="21"/>
                      <w:szCs w:val="21"/>
                    </w:rPr>
                    <w:t>设备名称</w:t>
                  </w:r>
                </w:p>
              </w:tc>
              <w:tc>
                <w:tcPr>
                  <w:tcW w:w="1536" w:type="dxa"/>
                  <w:vAlign w:val="center"/>
                </w:tcPr>
                <w:p>
                  <w:pPr>
                    <w:pStyle w:val="46"/>
                    <w:rPr>
                      <w:b/>
                      <w:bCs/>
                      <w:sz w:val="21"/>
                      <w:szCs w:val="21"/>
                    </w:rPr>
                  </w:pPr>
                  <w:r>
                    <w:rPr>
                      <w:b/>
                      <w:bCs/>
                      <w:sz w:val="21"/>
                      <w:szCs w:val="21"/>
                    </w:rPr>
                    <w:t>数量</w:t>
                  </w:r>
                </w:p>
              </w:tc>
              <w:tc>
                <w:tcPr>
                  <w:tcW w:w="1157" w:type="dxa"/>
                  <w:vAlign w:val="center"/>
                </w:tcPr>
                <w:p>
                  <w:pPr>
                    <w:pStyle w:val="46"/>
                    <w:rPr>
                      <w:b/>
                      <w:bCs/>
                      <w:sz w:val="21"/>
                      <w:szCs w:val="21"/>
                    </w:rPr>
                  </w:pPr>
                  <w:r>
                    <w:rPr>
                      <w:b/>
                      <w:bCs/>
                      <w:sz w:val="21"/>
                      <w:szCs w:val="21"/>
                    </w:rPr>
                    <w:t>源强（dB（A））</w:t>
                  </w:r>
                </w:p>
              </w:tc>
              <w:tc>
                <w:tcPr>
                  <w:tcW w:w="709" w:type="dxa"/>
                  <w:vAlign w:val="center"/>
                </w:tcPr>
                <w:p>
                  <w:pPr>
                    <w:pStyle w:val="46"/>
                    <w:rPr>
                      <w:b/>
                      <w:bCs/>
                      <w:sz w:val="21"/>
                      <w:szCs w:val="21"/>
                    </w:rPr>
                  </w:pPr>
                  <w:r>
                    <w:rPr>
                      <w:b/>
                      <w:bCs/>
                      <w:sz w:val="21"/>
                      <w:szCs w:val="21"/>
                    </w:rPr>
                    <w:t>备注</w:t>
                  </w:r>
                </w:p>
              </w:tc>
              <w:tc>
                <w:tcPr>
                  <w:tcW w:w="1637" w:type="dxa"/>
                  <w:vAlign w:val="center"/>
                </w:tcPr>
                <w:p>
                  <w:pPr>
                    <w:pStyle w:val="46"/>
                    <w:rPr>
                      <w:b/>
                      <w:bCs/>
                      <w:sz w:val="21"/>
                      <w:szCs w:val="21"/>
                    </w:rPr>
                  </w:pPr>
                  <w:r>
                    <w:rPr>
                      <w:b/>
                      <w:bCs/>
                      <w:sz w:val="21"/>
                      <w:szCs w:val="21"/>
                    </w:rPr>
                    <w:t>防治措施</w:t>
                  </w:r>
                </w:p>
              </w:tc>
              <w:tc>
                <w:tcPr>
                  <w:tcW w:w="1261" w:type="dxa"/>
                </w:tcPr>
                <w:p>
                  <w:pPr>
                    <w:pStyle w:val="46"/>
                    <w:rPr>
                      <w:b/>
                      <w:bCs/>
                      <w:sz w:val="21"/>
                      <w:szCs w:val="21"/>
                    </w:rPr>
                  </w:pPr>
                  <w:r>
                    <w:rPr>
                      <w:b/>
                      <w:bCs/>
                      <w:sz w:val="21"/>
                      <w:szCs w:val="21"/>
                    </w:rPr>
                    <w:t>源强（dB（A））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1" w:type="dxa"/>
                  <w:vAlign w:val="center"/>
                </w:tcPr>
                <w:p>
                  <w:pPr>
                    <w:widowControl/>
                    <w:adjustRightInd w:val="0"/>
                    <w:snapToGrid w:val="0"/>
                    <w:jc w:val="center"/>
                    <w:rPr>
                      <w:sz w:val="21"/>
                      <w:szCs w:val="21"/>
                    </w:rPr>
                  </w:pPr>
                  <w:r>
                    <w:rPr>
                      <w:rFonts w:hint="eastAsia"/>
                      <w:bCs/>
                      <w:sz w:val="21"/>
                      <w:szCs w:val="21"/>
                    </w:rPr>
                    <w:t>1</w:t>
                  </w:r>
                </w:p>
              </w:tc>
              <w:tc>
                <w:tcPr>
                  <w:tcW w:w="1321" w:type="dxa"/>
                  <w:vAlign w:val="center"/>
                </w:tcPr>
                <w:p>
                  <w:pPr>
                    <w:widowControl/>
                    <w:adjustRightInd w:val="0"/>
                    <w:snapToGrid w:val="0"/>
                    <w:jc w:val="center"/>
                    <w:rPr>
                      <w:sz w:val="21"/>
                      <w:szCs w:val="21"/>
                    </w:rPr>
                  </w:pPr>
                  <w:r>
                    <w:rPr>
                      <w:bCs/>
                      <w:sz w:val="21"/>
                      <w:szCs w:val="21"/>
                    </w:rPr>
                    <w:t>污水提升泵</w:t>
                  </w:r>
                </w:p>
              </w:tc>
              <w:tc>
                <w:tcPr>
                  <w:tcW w:w="1536" w:type="dxa"/>
                  <w:vAlign w:val="center"/>
                </w:tcPr>
                <w:p>
                  <w:pPr>
                    <w:jc w:val="center"/>
                    <w:rPr>
                      <w:sz w:val="21"/>
                      <w:szCs w:val="21"/>
                    </w:rPr>
                  </w:pPr>
                  <w:r>
                    <w:rPr>
                      <w:bCs/>
                      <w:sz w:val="21"/>
                      <w:szCs w:val="21"/>
                    </w:rPr>
                    <w:t>2（1用1备）</w:t>
                  </w:r>
                </w:p>
              </w:tc>
              <w:tc>
                <w:tcPr>
                  <w:tcW w:w="1157" w:type="dxa"/>
                  <w:vAlign w:val="center"/>
                </w:tcPr>
                <w:p>
                  <w:pPr>
                    <w:widowControl/>
                    <w:adjustRightInd w:val="0"/>
                    <w:snapToGrid w:val="0"/>
                    <w:jc w:val="center"/>
                    <w:rPr>
                      <w:sz w:val="21"/>
                      <w:szCs w:val="21"/>
                    </w:rPr>
                  </w:pPr>
                  <w:r>
                    <w:rPr>
                      <w:rFonts w:hint="eastAsia"/>
                      <w:bCs/>
                      <w:sz w:val="21"/>
                      <w:szCs w:val="21"/>
                    </w:rPr>
                    <w:t>65</w:t>
                  </w:r>
                </w:p>
              </w:tc>
              <w:tc>
                <w:tcPr>
                  <w:tcW w:w="709" w:type="dxa"/>
                  <w:vAlign w:val="center"/>
                </w:tcPr>
                <w:p>
                  <w:pPr>
                    <w:widowControl/>
                    <w:adjustRightInd w:val="0"/>
                    <w:snapToGrid w:val="0"/>
                    <w:jc w:val="center"/>
                    <w:rPr>
                      <w:sz w:val="21"/>
                      <w:szCs w:val="21"/>
                    </w:rPr>
                  </w:pPr>
                  <w:r>
                    <w:rPr>
                      <w:sz w:val="21"/>
                      <w:szCs w:val="21"/>
                    </w:rPr>
                    <w:t>连续</w:t>
                  </w:r>
                </w:p>
              </w:tc>
              <w:tc>
                <w:tcPr>
                  <w:tcW w:w="1637" w:type="dxa"/>
                  <w:vAlign w:val="center"/>
                </w:tcPr>
                <w:p>
                  <w:pPr>
                    <w:pStyle w:val="46"/>
                    <w:rPr>
                      <w:sz w:val="21"/>
                      <w:szCs w:val="21"/>
                    </w:rPr>
                  </w:pPr>
                  <w:r>
                    <w:rPr>
                      <w:sz w:val="21"/>
                      <w:szCs w:val="21"/>
                    </w:rPr>
                    <w:t>基础减振、消声、隔声</w:t>
                  </w:r>
                </w:p>
              </w:tc>
              <w:tc>
                <w:tcPr>
                  <w:tcW w:w="1261" w:type="dxa"/>
                  <w:vAlign w:val="center"/>
                </w:tcPr>
                <w:p>
                  <w:pPr>
                    <w:pStyle w:val="46"/>
                    <w:rPr>
                      <w:sz w:val="21"/>
                      <w:szCs w:val="21"/>
                    </w:rPr>
                  </w:pPr>
                  <w:r>
                    <w:rPr>
                      <w:rFonts w:hint="eastAsia"/>
                      <w:sz w:val="21"/>
                      <w:szCs w:val="21"/>
                    </w:rPr>
                    <w:t>4</w:t>
                  </w:r>
                  <w:r>
                    <w:rPr>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1" w:type="dxa"/>
                  <w:vAlign w:val="center"/>
                </w:tcPr>
                <w:p>
                  <w:pPr>
                    <w:widowControl/>
                    <w:adjustRightInd w:val="0"/>
                    <w:snapToGrid w:val="0"/>
                    <w:jc w:val="center"/>
                    <w:rPr>
                      <w:bCs/>
                      <w:sz w:val="21"/>
                      <w:szCs w:val="21"/>
                    </w:rPr>
                  </w:pPr>
                  <w:r>
                    <w:rPr>
                      <w:rFonts w:hint="eastAsia"/>
                      <w:bCs/>
                      <w:sz w:val="21"/>
                      <w:szCs w:val="21"/>
                    </w:rPr>
                    <w:t>2</w:t>
                  </w:r>
                </w:p>
              </w:tc>
              <w:tc>
                <w:tcPr>
                  <w:tcW w:w="1321" w:type="dxa"/>
                  <w:vAlign w:val="center"/>
                </w:tcPr>
                <w:p>
                  <w:pPr>
                    <w:widowControl/>
                    <w:adjustRightInd w:val="0"/>
                    <w:snapToGrid w:val="0"/>
                    <w:jc w:val="center"/>
                    <w:rPr>
                      <w:bCs/>
                      <w:sz w:val="21"/>
                      <w:szCs w:val="21"/>
                    </w:rPr>
                  </w:pPr>
                  <w:r>
                    <w:rPr>
                      <w:sz w:val="21"/>
                      <w:szCs w:val="21"/>
                    </w:rPr>
                    <w:t>鼓风机</w:t>
                  </w:r>
                </w:p>
              </w:tc>
              <w:tc>
                <w:tcPr>
                  <w:tcW w:w="1536" w:type="dxa"/>
                  <w:vAlign w:val="center"/>
                </w:tcPr>
                <w:p>
                  <w:pPr>
                    <w:jc w:val="center"/>
                    <w:rPr>
                      <w:bCs/>
                      <w:sz w:val="21"/>
                      <w:szCs w:val="21"/>
                    </w:rPr>
                  </w:pPr>
                  <w:r>
                    <w:rPr>
                      <w:bCs/>
                      <w:sz w:val="21"/>
                      <w:szCs w:val="21"/>
                    </w:rPr>
                    <w:t>2（1用1备）</w:t>
                  </w:r>
                </w:p>
              </w:tc>
              <w:tc>
                <w:tcPr>
                  <w:tcW w:w="1157" w:type="dxa"/>
                  <w:vAlign w:val="center"/>
                </w:tcPr>
                <w:p>
                  <w:pPr>
                    <w:widowControl/>
                    <w:adjustRightInd w:val="0"/>
                    <w:snapToGrid w:val="0"/>
                    <w:jc w:val="center"/>
                    <w:rPr>
                      <w:bCs/>
                      <w:sz w:val="21"/>
                      <w:szCs w:val="21"/>
                    </w:rPr>
                  </w:pPr>
                  <w:r>
                    <w:rPr>
                      <w:rFonts w:hint="eastAsia"/>
                      <w:bCs/>
                      <w:sz w:val="21"/>
                      <w:szCs w:val="21"/>
                    </w:rPr>
                    <w:t>8</w:t>
                  </w:r>
                  <w:r>
                    <w:rPr>
                      <w:bCs/>
                      <w:sz w:val="21"/>
                      <w:szCs w:val="21"/>
                    </w:rPr>
                    <w:t>5</w:t>
                  </w:r>
                </w:p>
              </w:tc>
              <w:tc>
                <w:tcPr>
                  <w:tcW w:w="709" w:type="dxa"/>
                  <w:vAlign w:val="center"/>
                </w:tcPr>
                <w:p>
                  <w:pPr>
                    <w:widowControl/>
                    <w:adjustRightInd w:val="0"/>
                    <w:snapToGrid w:val="0"/>
                    <w:jc w:val="center"/>
                    <w:rPr>
                      <w:sz w:val="21"/>
                      <w:szCs w:val="21"/>
                    </w:rPr>
                  </w:pPr>
                  <w:r>
                    <w:rPr>
                      <w:sz w:val="21"/>
                      <w:szCs w:val="21"/>
                    </w:rPr>
                    <w:t>连续</w:t>
                  </w:r>
                </w:p>
              </w:tc>
              <w:tc>
                <w:tcPr>
                  <w:tcW w:w="1637" w:type="dxa"/>
                  <w:vAlign w:val="center"/>
                </w:tcPr>
                <w:p>
                  <w:pPr>
                    <w:pStyle w:val="46"/>
                    <w:rPr>
                      <w:sz w:val="21"/>
                      <w:szCs w:val="21"/>
                    </w:rPr>
                  </w:pPr>
                  <w:r>
                    <w:rPr>
                      <w:sz w:val="21"/>
                      <w:szCs w:val="21"/>
                    </w:rPr>
                    <w:t>消声、隔声</w:t>
                  </w:r>
                  <w:r>
                    <w:rPr>
                      <w:rFonts w:hint="eastAsia"/>
                      <w:sz w:val="21"/>
                      <w:szCs w:val="21"/>
                    </w:rPr>
                    <w:t>、减振</w:t>
                  </w:r>
                </w:p>
              </w:tc>
              <w:tc>
                <w:tcPr>
                  <w:tcW w:w="1261" w:type="dxa"/>
                  <w:vAlign w:val="center"/>
                </w:tcPr>
                <w:p>
                  <w:pPr>
                    <w:pStyle w:val="46"/>
                    <w:rPr>
                      <w:sz w:val="21"/>
                      <w:szCs w:val="21"/>
                    </w:rPr>
                  </w:pPr>
                  <w:r>
                    <w:rPr>
                      <w:rFonts w:hint="eastAsia"/>
                      <w:sz w:val="21"/>
                      <w:szCs w:val="21"/>
                    </w:rPr>
                    <w:t>6</w:t>
                  </w:r>
                  <w:r>
                    <w:rPr>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1" w:type="dxa"/>
                  <w:vAlign w:val="center"/>
                </w:tcPr>
                <w:p>
                  <w:pPr>
                    <w:widowControl/>
                    <w:adjustRightInd w:val="0"/>
                    <w:snapToGrid w:val="0"/>
                    <w:jc w:val="center"/>
                    <w:rPr>
                      <w:sz w:val="21"/>
                      <w:szCs w:val="21"/>
                    </w:rPr>
                  </w:pPr>
                  <w:r>
                    <w:rPr>
                      <w:rFonts w:hint="eastAsia"/>
                      <w:sz w:val="21"/>
                      <w:szCs w:val="21"/>
                    </w:rPr>
                    <w:t>3</w:t>
                  </w:r>
                </w:p>
              </w:tc>
              <w:tc>
                <w:tcPr>
                  <w:tcW w:w="1321" w:type="dxa"/>
                  <w:vAlign w:val="center"/>
                </w:tcPr>
                <w:p>
                  <w:pPr>
                    <w:widowControl/>
                    <w:adjustRightInd w:val="0"/>
                    <w:snapToGrid w:val="0"/>
                    <w:jc w:val="center"/>
                    <w:rPr>
                      <w:sz w:val="21"/>
                      <w:szCs w:val="21"/>
                    </w:rPr>
                  </w:pPr>
                  <w:r>
                    <w:rPr>
                      <w:rFonts w:hint="eastAsia"/>
                      <w:sz w:val="21"/>
                      <w:szCs w:val="21"/>
                    </w:rPr>
                    <w:t>污泥回流泵</w:t>
                  </w:r>
                </w:p>
              </w:tc>
              <w:tc>
                <w:tcPr>
                  <w:tcW w:w="1536" w:type="dxa"/>
                  <w:vAlign w:val="center"/>
                </w:tcPr>
                <w:p>
                  <w:pPr>
                    <w:jc w:val="center"/>
                    <w:rPr>
                      <w:sz w:val="21"/>
                      <w:szCs w:val="21"/>
                    </w:rPr>
                  </w:pPr>
                  <w:r>
                    <w:rPr>
                      <w:bCs/>
                      <w:sz w:val="21"/>
                      <w:szCs w:val="21"/>
                    </w:rPr>
                    <w:t>2（1用1备）</w:t>
                  </w:r>
                </w:p>
              </w:tc>
              <w:tc>
                <w:tcPr>
                  <w:tcW w:w="1157" w:type="dxa"/>
                  <w:vAlign w:val="center"/>
                </w:tcPr>
                <w:p>
                  <w:pPr>
                    <w:widowControl/>
                    <w:adjustRightInd w:val="0"/>
                    <w:snapToGrid w:val="0"/>
                    <w:jc w:val="center"/>
                    <w:rPr>
                      <w:sz w:val="21"/>
                      <w:szCs w:val="21"/>
                    </w:rPr>
                  </w:pPr>
                  <w:r>
                    <w:rPr>
                      <w:rFonts w:hint="eastAsia"/>
                      <w:bCs/>
                      <w:sz w:val="21"/>
                      <w:szCs w:val="21"/>
                    </w:rPr>
                    <w:t>65</w:t>
                  </w:r>
                </w:p>
              </w:tc>
              <w:tc>
                <w:tcPr>
                  <w:tcW w:w="709" w:type="dxa"/>
                  <w:vAlign w:val="center"/>
                </w:tcPr>
                <w:p>
                  <w:pPr>
                    <w:widowControl/>
                    <w:adjustRightInd w:val="0"/>
                    <w:snapToGrid w:val="0"/>
                    <w:jc w:val="center"/>
                    <w:rPr>
                      <w:sz w:val="21"/>
                      <w:szCs w:val="21"/>
                    </w:rPr>
                  </w:pPr>
                  <w:r>
                    <w:rPr>
                      <w:sz w:val="21"/>
                      <w:szCs w:val="21"/>
                    </w:rPr>
                    <w:t>连续</w:t>
                  </w:r>
                </w:p>
              </w:tc>
              <w:tc>
                <w:tcPr>
                  <w:tcW w:w="1637" w:type="dxa"/>
                  <w:vAlign w:val="center"/>
                </w:tcPr>
                <w:p>
                  <w:pPr>
                    <w:pStyle w:val="46"/>
                    <w:rPr>
                      <w:sz w:val="21"/>
                      <w:szCs w:val="21"/>
                    </w:rPr>
                  </w:pPr>
                  <w:r>
                    <w:rPr>
                      <w:sz w:val="21"/>
                      <w:szCs w:val="21"/>
                    </w:rPr>
                    <w:t>基础减振、消声、隔声</w:t>
                  </w:r>
                </w:p>
              </w:tc>
              <w:tc>
                <w:tcPr>
                  <w:tcW w:w="1261" w:type="dxa"/>
                  <w:vAlign w:val="center"/>
                </w:tcPr>
                <w:p>
                  <w:pPr>
                    <w:pStyle w:val="46"/>
                    <w:rPr>
                      <w:sz w:val="21"/>
                      <w:szCs w:val="21"/>
                    </w:rPr>
                  </w:pPr>
                  <w:r>
                    <w:rPr>
                      <w:rFonts w:hint="eastAsia"/>
                      <w:sz w:val="21"/>
                      <w:szCs w:val="21"/>
                    </w:rPr>
                    <w:t>4</w:t>
                  </w:r>
                  <w:r>
                    <w:rPr>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1" w:type="dxa"/>
                  <w:vAlign w:val="center"/>
                </w:tcPr>
                <w:p>
                  <w:pPr>
                    <w:widowControl/>
                    <w:adjustRightInd w:val="0"/>
                    <w:snapToGrid w:val="0"/>
                    <w:jc w:val="center"/>
                    <w:rPr>
                      <w:bCs/>
                      <w:sz w:val="21"/>
                      <w:szCs w:val="21"/>
                    </w:rPr>
                  </w:pPr>
                  <w:r>
                    <w:rPr>
                      <w:rFonts w:hint="eastAsia"/>
                      <w:bCs/>
                      <w:sz w:val="21"/>
                      <w:szCs w:val="21"/>
                    </w:rPr>
                    <w:t>4</w:t>
                  </w:r>
                </w:p>
              </w:tc>
              <w:tc>
                <w:tcPr>
                  <w:tcW w:w="1321" w:type="dxa"/>
                  <w:vAlign w:val="center"/>
                </w:tcPr>
                <w:p>
                  <w:pPr>
                    <w:widowControl/>
                    <w:adjustRightInd w:val="0"/>
                    <w:snapToGrid w:val="0"/>
                    <w:jc w:val="center"/>
                    <w:rPr>
                      <w:sz w:val="21"/>
                      <w:szCs w:val="21"/>
                    </w:rPr>
                  </w:pPr>
                  <w:r>
                    <w:rPr>
                      <w:rFonts w:hint="eastAsia"/>
                      <w:sz w:val="21"/>
                      <w:szCs w:val="21"/>
                    </w:rPr>
                    <w:t>反冲洗泵</w:t>
                  </w:r>
                </w:p>
              </w:tc>
              <w:tc>
                <w:tcPr>
                  <w:tcW w:w="1536" w:type="dxa"/>
                  <w:vAlign w:val="center"/>
                </w:tcPr>
                <w:p>
                  <w:pPr>
                    <w:jc w:val="center"/>
                    <w:rPr>
                      <w:bCs/>
                      <w:sz w:val="21"/>
                      <w:szCs w:val="21"/>
                    </w:rPr>
                  </w:pPr>
                  <w:r>
                    <w:rPr>
                      <w:bCs/>
                      <w:sz w:val="21"/>
                      <w:szCs w:val="21"/>
                    </w:rPr>
                    <w:t>2（1用1备）</w:t>
                  </w:r>
                </w:p>
              </w:tc>
              <w:tc>
                <w:tcPr>
                  <w:tcW w:w="1157" w:type="dxa"/>
                  <w:vAlign w:val="center"/>
                </w:tcPr>
                <w:p>
                  <w:pPr>
                    <w:widowControl/>
                    <w:adjustRightInd w:val="0"/>
                    <w:snapToGrid w:val="0"/>
                    <w:jc w:val="center"/>
                    <w:rPr>
                      <w:bCs/>
                      <w:sz w:val="21"/>
                      <w:szCs w:val="21"/>
                    </w:rPr>
                  </w:pPr>
                  <w:r>
                    <w:rPr>
                      <w:bCs/>
                      <w:sz w:val="21"/>
                      <w:szCs w:val="21"/>
                    </w:rPr>
                    <w:t>65</w:t>
                  </w:r>
                </w:p>
              </w:tc>
              <w:tc>
                <w:tcPr>
                  <w:tcW w:w="709" w:type="dxa"/>
                  <w:vAlign w:val="center"/>
                </w:tcPr>
                <w:p>
                  <w:pPr>
                    <w:widowControl/>
                    <w:adjustRightInd w:val="0"/>
                    <w:snapToGrid w:val="0"/>
                    <w:jc w:val="center"/>
                    <w:rPr>
                      <w:sz w:val="21"/>
                      <w:szCs w:val="21"/>
                    </w:rPr>
                  </w:pPr>
                  <w:r>
                    <w:rPr>
                      <w:sz w:val="21"/>
                      <w:szCs w:val="21"/>
                    </w:rPr>
                    <w:t>连续</w:t>
                  </w:r>
                </w:p>
              </w:tc>
              <w:tc>
                <w:tcPr>
                  <w:tcW w:w="1637" w:type="dxa"/>
                  <w:vAlign w:val="center"/>
                </w:tcPr>
                <w:p>
                  <w:pPr>
                    <w:pStyle w:val="46"/>
                    <w:rPr>
                      <w:sz w:val="21"/>
                      <w:szCs w:val="21"/>
                    </w:rPr>
                  </w:pPr>
                  <w:r>
                    <w:rPr>
                      <w:sz w:val="21"/>
                      <w:szCs w:val="21"/>
                    </w:rPr>
                    <w:t>基础减振、消声、隔声</w:t>
                  </w:r>
                </w:p>
              </w:tc>
              <w:tc>
                <w:tcPr>
                  <w:tcW w:w="1261" w:type="dxa"/>
                  <w:vAlign w:val="center"/>
                </w:tcPr>
                <w:p>
                  <w:pPr>
                    <w:pStyle w:val="46"/>
                    <w:rPr>
                      <w:sz w:val="21"/>
                      <w:szCs w:val="21"/>
                    </w:rPr>
                  </w:pPr>
                  <w:r>
                    <w:rPr>
                      <w:rFonts w:hint="eastAsia"/>
                      <w:sz w:val="21"/>
                      <w:szCs w:val="21"/>
                    </w:rPr>
                    <w:t>4</w:t>
                  </w:r>
                  <w:r>
                    <w:rPr>
                      <w:sz w:val="21"/>
                      <w:szCs w:val="21"/>
                    </w:rPr>
                    <w:t>0</w:t>
                  </w:r>
                </w:p>
              </w:tc>
            </w:tr>
          </w:tbl>
          <w:p>
            <w:pPr>
              <w:adjustRightInd w:val="0"/>
              <w:snapToGrid w:val="0"/>
              <w:spacing w:line="360" w:lineRule="auto"/>
              <w:ind w:firstLine="480" w:firstLineChars="200"/>
            </w:pPr>
            <w:r>
              <w:t>本评价噪声主要贡献为MBR一体化处理设备。评价将一体化处理设备作为一个等效声源叠加计算出声源等效声压级。经自然衰减贡献值和本底声源叠加，预测是否达标。声源声压级叠加公式如下：</w:t>
            </w:r>
          </w:p>
          <w:p>
            <w:pPr>
              <w:adjustRightInd w:val="0"/>
              <w:snapToGrid w:val="0"/>
              <w:spacing w:line="360" w:lineRule="auto"/>
              <w:ind w:firstLine="480" w:firstLineChars="200"/>
              <w:jc w:val="center"/>
            </w:pPr>
            <w:r>
              <w:rPr>
                <w:position w:val="-30"/>
              </w:rPr>
              <w:object>
                <v:shape id="_x0000_i1035" o:spt="75" type="#_x0000_t75" style="height:46.2pt;width:120.35pt;" o:ole="t" filled="f" o:preferrelative="t" stroked="f" coordsize="21600,21600">
                  <v:path/>
                  <v:fill on="f" focussize="0,0"/>
                  <v:stroke on="f" joinstyle="miter"/>
                  <v:imagedata r:id="rId41" embosscolor="#FFFFFF" o:title=""/>
                  <o:lock v:ext="edit" aspectratio="t"/>
                  <w10:wrap type="none"/>
                  <w10:anchorlock/>
                </v:shape>
                <o:OLEObject Type="Embed" ProgID="Equation.3" ShapeID="_x0000_i1035" DrawAspect="Content" ObjectID="_1468075735" r:id="rId40">
                  <o:LockedField>false</o:LockedField>
                </o:OLEObject>
              </w:object>
            </w:r>
          </w:p>
          <w:p>
            <w:pPr>
              <w:adjustRightInd w:val="0"/>
              <w:snapToGrid w:val="0"/>
              <w:spacing w:line="360" w:lineRule="auto"/>
              <w:ind w:firstLine="480" w:firstLineChars="200"/>
            </w:pPr>
            <w:r>
              <w:t>式中：Lp——n个声源叠加声压级，dB（A）；</w:t>
            </w:r>
          </w:p>
          <w:p>
            <w:pPr>
              <w:adjustRightInd w:val="0"/>
              <w:snapToGrid w:val="0"/>
              <w:spacing w:line="360" w:lineRule="auto"/>
              <w:ind w:firstLine="1200" w:firstLineChars="500"/>
            </w:pPr>
            <w:r>
              <w:t>Li——声源i的等效声压级，dB（A）；</w:t>
            </w:r>
          </w:p>
          <w:p>
            <w:pPr>
              <w:adjustRightInd w:val="0"/>
              <w:snapToGrid w:val="0"/>
              <w:spacing w:line="360" w:lineRule="auto"/>
              <w:ind w:firstLine="1200" w:firstLineChars="500"/>
            </w:pPr>
            <w:r>
              <w:t>n——声源数量。</w:t>
            </w:r>
          </w:p>
          <w:p>
            <w:pPr>
              <w:adjustRightInd w:val="0"/>
              <w:snapToGrid w:val="0"/>
              <w:spacing w:line="360" w:lineRule="auto"/>
              <w:ind w:firstLine="480" w:firstLineChars="200"/>
            </w:pPr>
            <w:r>
              <w:t>经计算，将工作区作为一个整体声源处理后等效声级为</w:t>
            </w:r>
            <w:r>
              <w:rPr>
                <w:rFonts w:hint="eastAsia"/>
              </w:rPr>
              <w:t>6</w:t>
            </w:r>
            <w:r>
              <w:t>0.13dB（A）。本次评价噪声衰减采用无指向性点源几何发散衰减基本公式计算厂界贡献值，基本公式如下：</w:t>
            </w:r>
          </w:p>
          <w:p>
            <w:pPr>
              <w:adjustRightInd w:val="0"/>
              <w:snapToGrid w:val="0"/>
              <w:spacing w:line="360" w:lineRule="auto"/>
              <w:ind w:firstLine="480" w:firstLineChars="200"/>
              <w:jc w:val="center"/>
            </w:pPr>
            <w:r>
              <w:t>Lr=Lr</w:t>
            </w:r>
            <w:r>
              <w:rPr>
                <w:vertAlign w:val="subscript"/>
              </w:rPr>
              <w:t>0</w:t>
            </w:r>
            <w:r>
              <w:t>-20lg（r/r</w:t>
            </w:r>
            <w:r>
              <w:rPr>
                <w:vertAlign w:val="subscript"/>
              </w:rPr>
              <w:t>0</w:t>
            </w:r>
            <w:r>
              <w:t>）</w:t>
            </w:r>
          </w:p>
          <w:p>
            <w:pPr>
              <w:adjustRightInd w:val="0"/>
              <w:snapToGrid w:val="0"/>
              <w:spacing w:line="360" w:lineRule="auto"/>
              <w:ind w:firstLine="480" w:firstLineChars="200"/>
            </w:pPr>
            <w:r>
              <w:t>式中：Lr——r处声级，dB（A）；</w:t>
            </w:r>
          </w:p>
          <w:p>
            <w:pPr>
              <w:adjustRightInd w:val="0"/>
              <w:snapToGrid w:val="0"/>
              <w:spacing w:line="360" w:lineRule="auto"/>
              <w:ind w:firstLine="480" w:firstLineChars="200"/>
            </w:pPr>
            <w:r>
              <w:t xml:space="preserve">      Lr</w:t>
            </w:r>
            <w:r>
              <w:rPr>
                <w:vertAlign w:val="subscript"/>
              </w:rPr>
              <w:t>0</w:t>
            </w:r>
            <w:r>
              <w:t>——r</w:t>
            </w:r>
            <w:r>
              <w:rPr>
                <w:vertAlign w:val="subscript"/>
              </w:rPr>
              <w:t>0</w:t>
            </w:r>
            <w:r>
              <w:t>处声级，dB（A）。</w:t>
            </w:r>
          </w:p>
          <w:p>
            <w:pPr>
              <w:adjustRightInd w:val="0"/>
              <w:snapToGrid w:val="0"/>
              <w:spacing w:line="360" w:lineRule="auto"/>
              <w:ind w:firstLine="480" w:firstLineChars="200"/>
            </w:pPr>
            <w:r>
              <w:t xml:space="preserve">      r——点声源至受声点的距离</w:t>
            </w:r>
          </w:p>
          <w:p>
            <w:pPr>
              <w:adjustRightInd w:val="0"/>
              <w:snapToGrid w:val="0"/>
              <w:spacing w:line="360" w:lineRule="auto"/>
              <w:ind w:firstLine="480" w:firstLineChars="200"/>
            </w:pPr>
            <w:r>
              <w:t>项目噪声对敏感点预测如下表：</w:t>
            </w:r>
          </w:p>
          <w:p>
            <w:pPr>
              <w:adjustRightInd w:val="0"/>
              <w:snapToGrid w:val="0"/>
              <w:spacing w:line="360" w:lineRule="auto"/>
              <w:jc w:val="center"/>
              <w:rPr>
                <w:b/>
              </w:rPr>
            </w:pPr>
            <w:r>
              <w:rPr>
                <w:b/>
              </w:rPr>
              <w:t>表7-26  噪声影响值预测表  单位：dB(A)</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3"/>
              <w:gridCol w:w="845"/>
              <w:gridCol w:w="927"/>
              <w:gridCol w:w="789"/>
              <w:gridCol w:w="835"/>
              <w:gridCol w:w="697"/>
              <w:gridCol w:w="754"/>
              <w:gridCol w:w="731"/>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56" w:type="pct"/>
                  <w:vMerge w:val="restart"/>
                  <w:vAlign w:val="center"/>
                </w:tcPr>
                <w:p>
                  <w:pPr>
                    <w:pStyle w:val="74"/>
                    <w:rPr>
                      <w:rFonts w:ascii="Times New Roman" w:hAnsi="Times New Roman" w:cs="Times New Roman"/>
                      <w:sz w:val="21"/>
                      <w:szCs w:val="21"/>
                    </w:rPr>
                  </w:pPr>
                  <w:r>
                    <w:rPr>
                      <w:rFonts w:ascii="Times New Roman" w:hAnsi="Times New Roman" w:cs="Times New Roman"/>
                      <w:sz w:val="21"/>
                      <w:szCs w:val="21"/>
                    </w:rPr>
                    <w:t>预测点</w:t>
                  </w:r>
                </w:p>
                <w:p>
                  <w:pPr>
                    <w:pStyle w:val="74"/>
                    <w:rPr>
                      <w:rFonts w:ascii="Times New Roman" w:hAnsi="Times New Roman" w:cs="Times New Roman"/>
                      <w:sz w:val="21"/>
                      <w:szCs w:val="21"/>
                    </w:rPr>
                  </w:pPr>
                  <w:r>
                    <w:rPr>
                      <w:rFonts w:ascii="Times New Roman" w:hAnsi="Times New Roman" w:cs="Times New Roman"/>
                      <w:sz w:val="21"/>
                      <w:szCs w:val="21"/>
                    </w:rPr>
                    <w:t>预测内容</w:t>
                  </w:r>
                </w:p>
              </w:tc>
              <w:tc>
                <w:tcPr>
                  <w:tcW w:w="3944" w:type="pct"/>
                  <w:gridSpan w:val="8"/>
                  <w:vAlign w:val="center"/>
                </w:tcPr>
                <w:p>
                  <w:pPr>
                    <w:pStyle w:val="74"/>
                    <w:rPr>
                      <w:rFonts w:ascii="Times New Roman" w:hAnsi="Times New Roman" w:cs="Times New Roman"/>
                      <w:sz w:val="21"/>
                      <w:szCs w:val="21"/>
                    </w:rPr>
                  </w:pPr>
                  <w:r>
                    <w:rPr>
                      <w:rFonts w:ascii="Times New Roman" w:hAnsi="Times New Roman" w:cs="Times New Roman"/>
                      <w:sz w:val="21"/>
                      <w:szCs w:val="21"/>
                    </w:rPr>
                    <w:t>噪声预测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pct"/>
                  <w:vMerge w:val="continue"/>
                  <w:vAlign w:val="center"/>
                </w:tcPr>
                <w:p>
                  <w:pPr>
                    <w:pStyle w:val="74"/>
                    <w:rPr>
                      <w:rFonts w:ascii="Times New Roman" w:hAnsi="Times New Roman" w:cs="Times New Roman"/>
                      <w:sz w:val="21"/>
                      <w:szCs w:val="21"/>
                    </w:rPr>
                  </w:pPr>
                </w:p>
              </w:tc>
              <w:tc>
                <w:tcPr>
                  <w:tcW w:w="1067" w:type="pct"/>
                  <w:gridSpan w:val="2"/>
                  <w:vAlign w:val="center"/>
                </w:tcPr>
                <w:p>
                  <w:pPr>
                    <w:pStyle w:val="74"/>
                    <w:rPr>
                      <w:rFonts w:ascii="Times New Roman" w:hAnsi="Times New Roman" w:cs="Times New Roman"/>
                      <w:sz w:val="21"/>
                      <w:szCs w:val="21"/>
                    </w:rPr>
                  </w:pPr>
                  <w:r>
                    <w:rPr>
                      <w:sz w:val="21"/>
                      <w:szCs w:val="21"/>
                    </w:rPr>
                    <w:t>厂界东</w:t>
                  </w:r>
                  <w:r>
                    <w:rPr>
                      <w:rFonts w:ascii="Times New Roman" w:hAnsi="Times New Roman" w:cs="Times New Roman"/>
                      <w:sz w:val="21"/>
                      <w:szCs w:val="21"/>
                    </w:rPr>
                    <w:t>侧</w:t>
                  </w:r>
                </w:p>
              </w:tc>
              <w:tc>
                <w:tcPr>
                  <w:tcW w:w="978" w:type="pct"/>
                  <w:gridSpan w:val="2"/>
                  <w:vAlign w:val="center"/>
                </w:tcPr>
                <w:p>
                  <w:pPr>
                    <w:pStyle w:val="74"/>
                    <w:rPr>
                      <w:rFonts w:ascii="Times New Roman" w:hAnsi="Times New Roman" w:cs="Times New Roman"/>
                      <w:sz w:val="21"/>
                      <w:szCs w:val="21"/>
                    </w:rPr>
                  </w:pPr>
                  <w:r>
                    <w:rPr>
                      <w:sz w:val="21"/>
                      <w:szCs w:val="21"/>
                    </w:rPr>
                    <w:t>厂界</w:t>
                  </w:r>
                  <w:r>
                    <w:rPr>
                      <w:rFonts w:ascii="Times New Roman" w:hAnsi="Times New Roman" w:cs="Times New Roman"/>
                      <w:sz w:val="21"/>
                      <w:szCs w:val="21"/>
                    </w:rPr>
                    <w:t>南侧</w:t>
                  </w:r>
                </w:p>
              </w:tc>
              <w:tc>
                <w:tcPr>
                  <w:tcW w:w="874" w:type="pct"/>
                  <w:gridSpan w:val="2"/>
                  <w:vAlign w:val="center"/>
                </w:tcPr>
                <w:p>
                  <w:pPr>
                    <w:pStyle w:val="74"/>
                    <w:rPr>
                      <w:rFonts w:ascii="Times New Roman" w:hAnsi="Times New Roman" w:cs="Times New Roman"/>
                      <w:sz w:val="21"/>
                      <w:szCs w:val="21"/>
                    </w:rPr>
                  </w:pPr>
                  <w:r>
                    <w:rPr>
                      <w:sz w:val="21"/>
                      <w:szCs w:val="21"/>
                    </w:rPr>
                    <w:t>厂界</w:t>
                  </w:r>
                  <w:r>
                    <w:rPr>
                      <w:rFonts w:hint="eastAsia"/>
                      <w:sz w:val="21"/>
                      <w:szCs w:val="21"/>
                    </w:rPr>
                    <w:t>西</w:t>
                  </w:r>
                  <w:r>
                    <w:rPr>
                      <w:rFonts w:ascii="Times New Roman" w:hAnsi="Times New Roman" w:cs="Times New Roman"/>
                      <w:sz w:val="21"/>
                      <w:szCs w:val="21"/>
                    </w:rPr>
                    <w:t>侧</w:t>
                  </w:r>
                </w:p>
              </w:tc>
              <w:tc>
                <w:tcPr>
                  <w:tcW w:w="1025" w:type="pct"/>
                  <w:gridSpan w:val="2"/>
                  <w:vAlign w:val="center"/>
                </w:tcPr>
                <w:p>
                  <w:pPr>
                    <w:pStyle w:val="74"/>
                    <w:rPr>
                      <w:rFonts w:ascii="Times New Roman" w:hAnsi="Times New Roman" w:cs="Times New Roman"/>
                      <w:sz w:val="21"/>
                      <w:szCs w:val="21"/>
                    </w:rPr>
                  </w:pPr>
                  <w:r>
                    <w:rPr>
                      <w:sz w:val="21"/>
                      <w:szCs w:val="21"/>
                    </w:rPr>
                    <w:t>厂界</w:t>
                  </w:r>
                  <w:r>
                    <w:rPr>
                      <w:rFonts w:ascii="Times New Roman" w:hAnsi="Times New Roman" w:cs="Times New Roman"/>
                      <w:sz w:val="21"/>
                      <w:szCs w:val="21"/>
                    </w:rPr>
                    <w:t>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6" w:type="pct"/>
                  <w:vAlign w:val="center"/>
                </w:tcPr>
                <w:p>
                  <w:pPr>
                    <w:pStyle w:val="74"/>
                    <w:rPr>
                      <w:rFonts w:ascii="Times New Roman" w:hAnsi="Times New Roman" w:cs="Times New Roman"/>
                      <w:sz w:val="21"/>
                      <w:szCs w:val="21"/>
                    </w:rPr>
                  </w:pPr>
                  <w:r>
                    <w:rPr>
                      <w:rFonts w:ascii="Times New Roman" w:hAnsi="Times New Roman" w:cs="Times New Roman"/>
                      <w:sz w:val="21"/>
                      <w:szCs w:val="21"/>
                    </w:rPr>
                    <w:t>时段</w:t>
                  </w:r>
                </w:p>
              </w:tc>
              <w:tc>
                <w:tcPr>
                  <w:tcW w:w="509" w:type="pct"/>
                  <w:vAlign w:val="center"/>
                </w:tcPr>
                <w:p>
                  <w:pPr>
                    <w:pStyle w:val="74"/>
                    <w:rPr>
                      <w:rFonts w:ascii="Times New Roman" w:hAnsi="Times New Roman" w:cs="Times New Roman"/>
                      <w:sz w:val="21"/>
                      <w:szCs w:val="21"/>
                    </w:rPr>
                  </w:pPr>
                  <w:r>
                    <w:rPr>
                      <w:rFonts w:ascii="Times New Roman" w:hAnsi="Times New Roman" w:cs="Times New Roman"/>
                      <w:sz w:val="21"/>
                      <w:szCs w:val="21"/>
                    </w:rPr>
                    <w:t>昼间</w:t>
                  </w:r>
                </w:p>
              </w:tc>
              <w:tc>
                <w:tcPr>
                  <w:tcW w:w="558" w:type="pct"/>
                  <w:vAlign w:val="center"/>
                </w:tcPr>
                <w:p>
                  <w:pPr>
                    <w:pStyle w:val="74"/>
                    <w:rPr>
                      <w:rFonts w:ascii="Times New Roman" w:hAnsi="Times New Roman" w:cs="Times New Roman"/>
                      <w:sz w:val="21"/>
                      <w:szCs w:val="21"/>
                    </w:rPr>
                  </w:pPr>
                  <w:r>
                    <w:rPr>
                      <w:rFonts w:ascii="Times New Roman" w:hAnsi="Times New Roman" w:cs="Times New Roman"/>
                      <w:sz w:val="21"/>
                      <w:szCs w:val="21"/>
                    </w:rPr>
                    <w:t>夜间</w:t>
                  </w:r>
                </w:p>
              </w:tc>
              <w:tc>
                <w:tcPr>
                  <w:tcW w:w="475" w:type="pct"/>
                  <w:vAlign w:val="center"/>
                </w:tcPr>
                <w:p>
                  <w:pPr>
                    <w:pStyle w:val="74"/>
                    <w:rPr>
                      <w:rFonts w:ascii="Times New Roman" w:hAnsi="Times New Roman" w:cs="Times New Roman"/>
                      <w:sz w:val="21"/>
                      <w:szCs w:val="21"/>
                    </w:rPr>
                  </w:pPr>
                  <w:r>
                    <w:rPr>
                      <w:rFonts w:ascii="Times New Roman" w:hAnsi="Times New Roman" w:cs="Times New Roman"/>
                      <w:sz w:val="21"/>
                      <w:szCs w:val="21"/>
                    </w:rPr>
                    <w:t>昼间</w:t>
                  </w:r>
                </w:p>
              </w:tc>
              <w:tc>
                <w:tcPr>
                  <w:tcW w:w="503" w:type="pct"/>
                  <w:vAlign w:val="center"/>
                </w:tcPr>
                <w:p>
                  <w:pPr>
                    <w:pStyle w:val="74"/>
                    <w:rPr>
                      <w:rFonts w:ascii="Times New Roman" w:hAnsi="Times New Roman" w:cs="Times New Roman"/>
                      <w:sz w:val="21"/>
                      <w:szCs w:val="21"/>
                    </w:rPr>
                  </w:pPr>
                  <w:r>
                    <w:rPr>
                      <w:rFonts w:ascii="Times New Roman" w:hAnsi="Times New Roman" w:cs="Times New Roman"/>
                      <w:sz w:val="21"/>
                      <w:szCs w:val="21"/>
                    </w:rPr>
                    <w:t>夜间</w:t>
                  </w:r>
                </w:p>
              </w:tc>
              <w:tc>
                <w:tcPr>
                  <w:tcW w:w="420" w:type="pct"/>
                  <w:vAlign w:val="center"/>
                </w:tcPr>
                <w:p>
                  <w:pPr>
                    <w:pStyle w:val="74"/>
                    <w:rPr>
                      <w:rFonts w:ascii="Times New Roman" w:hAnsi="Times New Roman" w:cs="Times New Roman"/>
                      <w:sz w:val="21"/>
                      <w:szCs w:val="21"/>
                    </w:rPr>
                  </w:pPr>
                  <w:r>
                    <w:rPr>
                      <w:rFonts w:ascii="Times New Roman" w:hAnsi="Times New Roman" w:cs="Times New Roman"/>
                      <w:sz w:val="21"/>
                      <w:szCs w:val="21"/>
                    </w:rPr>
                    <w:t>昼间</w:t>
                  </w:r>
                </w:p>
              </w:tc>
              <w:tc>
                <w:tcPr>
                  <w:tcW w:w="454" w:type="pct"/>
                  <w:vAlign w:val="center"/>
                </w:tcPr>
                <w:p>
                  <w:pPr>
                    <w:pStyle w:val="74"/>
                    <w:rPr>
                      <w:rFonts w:ascii="Times New Roman" w:hAnsi="Times New Roman" w:cs="Times New Roman"/>
                      <w:sz w:val="21"/>
                      <w:szCs w:val="21"/>
                    </w:rPr>
                  </w:pPr>
                  <w:r>
                    <w:rPr>
                      <w:rFonts w:ascii="Times New Roman" w:hAnsi="Times New Roman" w:cs="Times New Roman"/>
                      <w:sz w:val="21"/>
                      <w:szCs w:val="21"/>
                    </w:rPr>
                    <w:t>夜间</w:t>
                  </w:r>
                </w:p>
              </w:tc>
              <w:tc>
                <w:tcPr>
                  <w:tcW w:w="440" w:type="pct"/>
                  <w:vAlign w:val="center"/>
                </w:tcPr>
                <w:p>
                  <w:pPr>
                    <w:pStyle w:val="74"/>
                    <w:rPr>
                      <w:rFonts w:ascii="Times New Roman" w:hAnsi="Times New Roman" w:cs="Times New Roman"/>
                      <w:sz w:val="21"/>
                      <w:szCs w:val="21"/>
                    </w:rPr>
                  </w:pPr>
                  <w:r>
                    <w:rPr>
                      <w:rFonts w:ascii="Times New Roman" w:hAnsi="Times New Roman" w:cs="Times New Roman"/>
                      <w:sz w:val="21"/>
                      <w:szCs w:val="21"/>
                    </w:rPr>
                    <w:t>昼间</w:t>
                  </w:r>
                </w:p>
              </w:tc>
              <w:tc>
                <w:tcPr>
                  <w:tcW w:w="585" w:type="pct"/>
                  <w:vAlign w:val="center"/>
                </w:tcPr>
                <w:p>
                  <w:pPr>
                    <w:pStyle w:val="74"/>
                    <w:rPr>
                      <w:rFonts w:ascii="Times New Roman" w:hAnsi="Times New Roman" w:cs="Times New Roman"/>
                      <w:sz w:val="21"/>
                      <w:szCs w:val="21"/>
                    </w:rPr>
                  </w:pPr>
                  <w:r>
                    <w:rPr>
                      <w:rFonts w:ascii="Times New Roman" w:hAnsi="Times New Roman" w:cs="Times New Roman"/>
                      <w:sz w:val="21"/>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056" w:type="pct"/>
                  <w:vAlign w:val="center"/>
                </w:tcPr>
                <w:p>
                  <w:pPr>
                    <w:pStyle w:val="74"/>
                    <w:rPr>
                      <w:rFonts w:ascii="Times New Roman" w:hAnsi="Times New Roman" w:cs="Times New Roman"/>
                      <w:sz w:val="21"/>
                      <w:szCs w:val="21"/>
                    </w:rPr>
                  </w:pPr>
                  <w:r>
                    <w:rPr>
                      <w:rFonts w:ascii="Times New Roman" w:hAnsi="Times New Roman" w:cs="Times New Roman"/>
                      <w:sz w:val="21"/>
                      <w:szCs w:val="21"/>
                    </w:rPr>
                    <w:t>噪声贡献值</w:t>
                  </w:r>
                </w:p>
              </w:tc>
              <w:tc>
                <w:tcPr>
                  <w:tcW w:w="509" w:type="pct"/>
                  <w:vAlign w:val="center"/>
                </w:tcPr>
                <w:p>
                  <w:pPr>
                    <w:pStyle w:val="74"/>
                    <w:rPr>
                      <w:rFonts w:ascii="Times New Roman" w:hAnsi="Times New Roman" w:cs="Times New Roman"/>
                      <w:sz w:val="21"/>
                      <w:szCs w:val="21"/>
                    </w:rPr>
                  </w:pPr>
                  <w:r>
                    <w:rPr>
                      <w:rFonts w:ascii="Times New Roman" w:hAnsi="Times New Roman" w:cs="Times New Roman"/>
                      <w:sz w:val="21"/>
                      <w:szCs w:val="21"/>
                    </w:rPr>
                    <w:t>43.2</w:t>
                  </w:r>
                </w:p>
              </w:tc>
              <w:tc>
                <w:tcPr>
                  <w:tcW w:w="558" w:type="pct"/>
                  <w:vAlign w:val="center"/>
                </w:tcPr>
                <w:p>
                  <w:pPr>
                    <w:pStyle w:val="74"/>
                    <w:rPr>
                      <w:rFonts w:ascii="Times New Roman" w:hAnsi="Times New Roman" w:cs="Times New Roman"/>
                      <w:sz w:val="21"/>
                      <w:szCs w:val="21"/>
                    </w:rPr>
                  </w:pPr>
                  <w:r>
                    <w:rPr>
                      <w:rFonts w:ascii="Times New Roman" w:hAnsi="Times New Roman" w:cs="Times New Roman"/>
                      <w:sz w:val="21"/>
                      <w:szCs w:val="21"/>
                    </w:rPr>
                    <w:t>43.2</w:t>
                  </w:r>
                </w:p>
              </w:tc>
              <w:tc>
                <w:tcPr>
                  <w:tcW w:w="475"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4.6</w:t>
                  </w:r>
                </w:p>
              </w:tc>
              <w:tc>
                <w:tcPr>
                  <w:tcW w:w="503" w:type="pct"/>
                  <w:vAlign w:val="center"/>
                </w:tcPr>
                <w:p>
                  <w:pPr>
                    <w:pStyle w:val="74"/>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4.6</w:t>
                  </w:r>
                </w:p>
              </w:tc>
              <w:tc>
                <w:tcPr>
                  <w:tcW w:w="420" w:type="pct"/>
                </w:tcPr>
                <w:p>
                  <w:pPr>
                    <w:pStyle w:val="74"/>
                    <w:rPr>
                      <w:rFonts w:ascii="Times New Roman" w:hAnsi="Times New Roman" w:cs="Times New Roman"/>
                      <w:sz w:val="21"/>
                      <w:szCs w:val="21"/>
                    </w:rPr>
                  </w:pPr>
                  <w:r>
                    <w:rPr>
                      <w:rFonts w:ascii="Times New Roman" w:hAnsi="Times New Roman" w:cs="Times New Roman"/>
                      <w:sz w:val="21"/>
                      <w:szCs w:val="21"/>
                    </w:rPr>
                    <w:t>43.2</w:t>
                  </w:r>
                </w:p>
              </w:tc>
              <w:tc>
                <w:tcPr>
                  <w:tcW w:w="454" w:type="pct"/>
                </w:tcPr>
                <w:p>
                  <w:pPr>
                    <w:pStyle w:val="74"/>
                    <w:rPr>
                      <w:rFonts w:ascii="Times New Roman" w:hAnsi="Times New Roman" w:cs="Times New Roman"/>
                      <w:sz w:val="21"/>
                      <w:szCs w:val="21"/>
                    </w:rPr>
                  </w:pPr>
                  <w:r>
                    <w:rPr>
                      <w:rFonts w:ascii="Times New Roman" w:hAnsi="Times New Roman" w:cs="Times New Roman"/>
                      <w:sz w:val="21"/>
                      <w:szCs w:val="21"/>
                    </w:rPr>
                    <w:t>43.2</w:t>
                  </w:r>
                </w:p>
              </w:tc>
              <w:tc>
                <w:tcPr>
                  <w:tcW w:w="440" w:type="pct"/>
                </w:tcPr>
                <w:p>
                  <w:pPr>
                    <w:pStyle w:val="74"/>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4.6</w:t>
                  </w:r>
                </w:p>
              </w:tc>
              <w:tc>
                <w:tcPr>
                  <w:tcW w:w="585" w:type="pct"/>
                </w:tcPr>
                <w:p>
                  <w:pPr>
                    <w:pStyle w:val="74"/>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6" w:type="pct"/>
                  <w:vAlign w:val="center"/>
                </w:tcPr>
                <w:p>
                  <w:pPr>
                    <w:pStyle w:val="74"/>
                    <w:rPr>
                      <w:rFonts w:ascii="Times New Roman" w:hAnsi="Times New Roman" w:cs="Times New Roman"/>
                      <w:sz w:val="21"/>
                      <w:szCs w:val="21"/>
                    </w:rPr>
                  </w:pPr>
                  <w:r>
                    <w:rPr>
                      <w:rFonts w:ascii="Times New Roman" w:hAnsi="Times New Roman" w:cs="Times New Roman"/>
                      <w:sz w:val="21"/>
                      <w:szCs w:val="21"/>
                    </w:rPr>
                    <w:t>达标情况</w:t>
                  </w:r>
                </w:p>
              </w:tc>
              <w:tc>
                <w:tcPr>
                  <w:tcW w:w="509" w:type="pct"/>
                  <w:vAlign w:val="center"/>
                </w:tcPr>
                <w:p>
                  <w:pPr>
                    <w:pStyle w:val="74"/>
                    <w:rPr>
                      <w:rFonts w:ascii="Times New Roman" w:hAnsi="Times New Roman" w:cs="Times New Roman"/>
                      <w:sz w:val="21"/>
                      <w:szCs w:val="21"/>
                    </w:rPr>
                  </w:pPr>
                  <w:r>
                    <w:rPr>
                      <w:rFonts w:ascii="Times New Roman" w:hAnsi="Times New Roman" w:cs="Times New Roman"/>
                      <w:sz w:val="21"/>
                      <w:szCs w:val="21"/>
                    </w:rPr>
                    <w:t>达标</w:t>
                  </w:r>
                </w:p>
              </w:tc>
              <w:tc>
                <w:tcPr>
                  <w:tcW w:w="558" w:type="pct"/>
                  <w:vAlign w:val="center"/>
                </w:tcPr>
                <w:p>
                  <w:pPr>
                    <w:pStyle w:val="74"/>
                    <w:rPr>
                      <w:rFonts w:ascii="Times New Roman" w:hAnsi="Times New Roman" w:cs="Times New Roman"/>
                      <w:sz w:val="21"/>
                      <w:szCs w:val="21"/>
                    </w:rPr>
                  </w:pPr>
                  <w:r>
                    <w:rPr>
                      <w:rFonts w:ascii="Times New Roman" w:hAnsi="Times New Roman" w:cs="Times New Roman"/>
                      <w:sz w:val="21"/>
                      <w:szCs w:val="21"/>
                    </w:rPr>
                    <w:t>达标</w:t>
                  </w:r>
                </w:p>
              </w:tc>
              <w:tc>
                <w:tcPr>
                  <w:tcW w:w="475" w:type="pct"/>
                  <w:vAlign w:val="center"/>
                </w:tcPr>
                <w:p>
                  <w:pPr>
                    <w:pStyle w:val="74"/>
                    <w:rPr>
                      <w:rFonts w:ascii="Times New Roman" w:hAnsi="Times New Roman" w:cs="Times New Roman"/>
                      <w:sz w:val="21"/>
                      <w:szCs w:val="21"/>
                    </w:rPr>
                  </w:pPr>
                  <w:r>
                    <w:rPr>
                      <w:rFonts w:ascii="Times New Roman" w:hAnsi="Times New Roman" w:cs="Times New Roman"/>
                      <w:sz w:val="21"/>
                      <w:szCs w:val="21"/>
                    </w:rPr>
                    <w:t>达标</w:t>
                  </w:r>
                </w:p>
              </w:tc>
              <w:tc>
                <w:tcPr>
                  <w:tcW w:w="503" w:type="pct"/>
                  <w:vAlign w:val="center"/>
                </w:tcPr>
                <w:p>
                  <w:pPr>
                    <w:pStyle w:val="74"/>
                    <w:rPr>
                      <w:rFonts w:ascii="Times New Roman" w:hAnsi="Times New Roman" w:cs="Times New Roman"/>
                      <w:sz w:val="21"/>
                      <w:szCs w:val="21"/>
                    </w:rPr>
                  </w:pPr>
                  <w:r>
                    <w:rPr>
                      <w:rFonts w:ascii="Times New Roman" w:hAnsi="Times New Roman" w:cs="Times New Roman"/>
                      <w:sz w:val="21"/>
                      <w:szCs w:val="21"/>
                    </w:rPr>
                    <w:t>达标</w:t>
                  </w:r>
                </w:p>
              </w:tc>
              <w:tc>
                <w:tcPr>
                  <w:tcW w:w="420" w:type="pct"/>
                  <w:vAlign w:val="center"/>
                </w:tcPr>
                <w:p>
                  <w:pPr>
                    <w:pStyle w:val="74"/>
                    <w:rPr>
                      <w:rFonts w:ascii="Times New Roman" w:hAnsi="Times New Roman" w:cs="Times New Roman"/>
                      <w:sz w:val="21"/>
                      <w:szCs w:val="21"/>
                    </w:rPr>
                  </w:pPr>
                  <w:r>
                    <w:rPr>
                      <w:rFonts w:ascii="Times New Roman" w:hAnsi="Times New Roman" w:cs="Times New Roman"/>
                      <w:sz w:val="21"/>
                      <w:szCs w:val="21"/>
                    </w:rPr>
                    <w:t>达标</w:t>
                  </w:r>
                </w:p>
              </w:tc>
              <w:tc>
                <w:tcPr>
                  <w:tcW w:w="454" w:type="pct"/>
                  <w:vAlign w:val="center"/>
                </w:tcPr>
                <w:p>
                  <w:pPr>
                    <w:pStyle w:val="74"/>
                    <w:rPr>
                      <w:rFonts w:ascii="Times New Roman" w:hAnsi="Times New Roman" w:cs="Times New Roman"/>
                      <w:sz w:val="21"/>
                      <w:szCs w:val="21"/>
                    </w:rPr>
                  </w:pPr>
                  <w:r>
                    <w:rPr>
                      <w:rFonts w:ascii="Times New Roman" w:hAnsi="Times New Roman" w:cs="Times New Roman"/>
                      <w:sz w:val="21"/>
                      <w:szCs w:val="21"/>
                    </w:rPr>
                    <w:t>达标</w:t>
                  </w:r>
                </w:p>
              </w:tc>
              <w:tc>
                <w:tcPr>
                  <w:tcW w:w="440" w:type="pct"/>
                  <w:vAlign w:val="center"/>
                </w:tcPr>
                <w:p>
                  <w:pPr>
                    <w:pStyle w:val="74"/>
                    <w:rPr>
                      <w:rFonts w:ascii="Times New Roman" w:hAnsi="Times New Roman" w:cs="Times New Roman"/>
                      <w:sz w:val="21"/>
                      <w:szCs w:val="21"/>
                    </w:rPr>
                  </w:pPr>
                  <w:r>
                    <w:rPr>
                      <w:rFonts w:ascii="Times New Roman" w:hAnsi="Times New Roman" w:cs="Times New Roman"/>
                      <w:sz w:val="21"/>
                      <w:szCs w:val="21"/>
                    </w:rPr>
                    <w:t>达标</w:t>
                  </w:r>
                </w:p>
              </w:tc>
              <w:tc>
                <w:tcPr>
                  <w:tcW w:w="585" w:type="pct"/>
                  <w:vAlign w:val="center"/>
                </w:tcPr>
                <w:p>
                  <w:pPr>
                    <w:pStyle w:val="74"/>
                    <w:rPr>
                      <w:rFonts w:ascii="Times New Roman" w:hAnsi="Times New Roman" w:cs="Times New Roman"/>
                      <w:sz w:val="21"/>
                      <w:szCs w:val="21"/>
                    </w:rPr>
                  </w:pPr>
                  <w:r>
                    <w:rPr>
                      <w:rFonts w:ascii="Times New Roman" w:hAnsi="Times New Roman" w:cs="Times New Roman"/>
                      <w:sz w:val="21"/>
                      <w:szCs w:val="21"/>
                    </w:rPr>
                    <w:t>达标</w:t>
                  </w:r>
                </w:p>
              </w:tc>
            </w:tr>
          </w:tbl>
          <w:p>
            <w:pPr>
              <w:adjustRightInd w:val="0"/>
              <w:snapToGrid w:val="0"/>
              <w:spacing w:line="360" w:lineRule="auto"/>
              <w:ind w:firstLine="480" w:firstLineChars="200"/>
            </w:pPr>
            <w:r>
              <w:rPr>
                <w:rFonts w:hint="eastAsia"/>
              </w:rPr>
              <w:t>项目所在地</w:t>
            </w:r>
            <w:r>
              <w:t>厂界</w:t>
            </w:r>
            <w:r>
              <w:rPr>
                <w:rFonts w:hint="eastAsia"/>
              </w:rPr>
              <w:t>西</w:t>
            </w:r>
            <w:r>
              <w:t>侧外</w:t>
            </w:r>
            <w:r>
              <w:rPr>
                <w:rFonts w:hint="eastAsia"/>
              </w:rPr>
              <w:t>2</w:t>
            </w:r>
            <w:r>
              <w:t>0m处</w:t>
            </w:r>
            <w:r>
              <w:rPr>
                <w:rFonts w:hint="eastAsia"/>
              </w:rPr>
              <w:t>农户距离一体化设备距离为2</w:t>
            </w:r>
            <w:r>
              <w:t>7m</w:t>
            </w:r>
            <w:r>
              <w:rPr>
                <w:rFonts w:hint="eastAsia"/>
              </w:rPr>
              <w:t>，经检测此处背景值为昼间/夜间5</w:t>
            </w:r>
            <w:r>
              <w:t>2/46.5 dB(A)</w:t>
            </w:r>
            <w:r>
              <w:rPr>
                <w:rFonts w:hint="eastAsia"/>
              </w:rPr>
              <w:t>，经预测，结果为昼间/夜间5</w:t>
            </w:r>
            <w:r>
              <w:t>2.04/46.64dB(A)</w:t>
            </w:r>
            <w:r>
              <w:rPr>
                <w:rFonts w:hint="eastAsia"/>
              </w:rPr>
              <w:t>，达标。</w:t>
            </w:r>
          </w:p>
          <w:p>
            <w:pPr>
              <w:tabs>
                <w:tab w:val="left" w:pos="462"/>
              </w:tabs>
              <w:adjustRightInd w:val="0"/>
              <w:snapToGrid w:val="0"/>
              <w:spacing w:line="360" w:lineRule="auto"/>
              <w:ind w:firstLine="480" w:firstLineChars="200"/>
              <w:rPr>
                <w:b/>
                <w:bCs/>
              </w:rPr>
            </w:pPr>
            <w:r>
              <w:t>从上表看出，噪声设备在采取有效的基础减振、消声、隔声等措施并合理布置后，各厂界噪声值在厂界外均能满足《工业企业厂界环境噪声排放标准》（GBl2348-2008）2类标准限值，不会对周边环境造成较大影响，为确保项目产生的噪声做到达标排放，本环评提出以下噪声防治要求：</w:t>
            </w:r>
          </w:p>
          <w:p>
            <w:pPr>
              <w:tabs>
                <w:tab w:val="left" w:pos="462"/>
              </w:tabs>
              <w:adjustRightInd w:val="0"/>
              <w:snapToGrid w:val="0"/>
              <w:spacing w:line="360" w:lineRule="auto"/>
              <w:ind w:firstLine="480" w:firstLineChars="200"/>
            </w:pPr>
            <w:r>
              <w:rPr>
                <w:rFonts w:hint="eastAsia" w:ascii="宋体" w:hAnsi="宋体" w:cs="宋体"/>
              </w:rPr>
              <w:t>①</w:t>
            </w:r>
            <w:r>
              <w:t>在设备选型时，应选择噪声值较低的环保型设备，并对此类设备安装隔振装置，设置隔声间。</w:t>
            </w:r>
          </w:p>
          <w:p>
            <w:pPr>
              <w:tabs>
                <w:tab w:val="left" w:pos="462"/>
              </w:tabs>
              <w:adjustRightInd w:val="0"/>
              <w:snapToGrid w:val="0"/>
              <w:spacing w:line="360" w:lineRule="auto"/>
              <w:ind w:firstLine="480" w:firstLineChars="200"/>
            </w:pPr>
            <w:r>
              <w:rPr>
                <w:rFonts w:hint="eastAsia" w:ascii="宋体" w:hAnsi="宋体" w:cs="宋体"/>
              </w:rPr>
              <w:t>②</w:t>
            </w:r>
            <w:r>
              <w:t>高噪声设备尽量布置在地下构筑物中，从噪声源及噪声传播途径等方面降低项目运行噪声对厂界环境噪声的影响。</w:t>
            </w:r>
          </w:p>
          <w:p>
            <w:pPr>
              <w:tabs>
                <w:tab w:val="left" w:pos="462"/>
              </w:tabs>
              <w:adjustRightInd w:val="0"/>
              <w:snapToGrid w:val="0"/>
              <w:spacing w:line="360" w:lineRule="auto"/>
              <w:ind w:firstLine="480" w:firstLineChars="200"/>
            </w:pPr>
            <w:r>
              <w:rPr>
                <w:rFonts w:hint="eastAsia"/>
              </w:rPr>
              <w:t>③</w:t>
            </w:r>
            <w:r>
              <w:t>加强管理，提高职工的环保意识教育，提倡文明生产，降低人为噪声。</w:t>
            </w:r>
          </w:p>
          <w:p>
            <w:pPr>
              <w:pStyle w:val="188"/>
              <w:tabs>
                <w:tab w:val="left" w:pos="462"/>
              </w:tabs>
              <w:adjustRightInd w:val="0"/>
              <w:snapToGrid w:val="0"/>
              <w:spacing w:line="360" w:lineRule="auto"/>
              <w:ind w:firstLine="439" w:firstLineChars="183"/>
            </w:pPr>
            <w:r>
              <w:rPr>
                <w:rFonts w:hint="eastAsia" w:ascii="宋体" w:hAnsi="宋体" w:cs="宋体"/>
              </w:rPr>
              <w:t>④</w:t>
            </w:r>
            <w:r>
              <w:t>建立设备定期维护、保养的管理制度，以防止设备故障形成的非正常生产噪声。</w:t>
            </w:r>
          </w:p>
          <w:p>
            <w:pPr>
              <w:tabs>
                <w:tab w:val="left" w:pos="462"/>
              </w:tabs>
              <w:adjustRightInd w:val="0"/>
              <w:snapToGrid w:val="0"/>
              <w:spacing w:line="360" w:lineRule="auto"/>
              <w:ind w:firstLine="480" w:firstLineChars="200"/>
              <w:rPr>
                <w:rFonts w:cs="Times New Roman"/>
                <w:kern w:val="0"/>
                <w:szCs w:val="24"/>
              </w:rPr>
            </w:pPr>
            <w:r>
              <w:rPr>
                <w:kern w:val="0"/>
              </w:rPr>
              <w:t>本项目在落实本次环评提出的以上措施后，厂界噪声能够满足《工业企业厂界环境噪声排放标准》(GB12348-2008)中2类标准要求，不会降低项目所在地声</w:t>
            </w:r>
            <w:r>
              <w:rPr>
                <w:rFonts w:cs="Times New Roman"/>
                <w:kern w:val="0"/>
                <w:szCs w:val="24"/>
              </w:rPr>
              <w:t>环境功能类别，对外环境影响较小。</w:t>
            </w:r>
          </w:p>
          <w:p>
            <w:pPr>
              <w:adjustRightInd w:val="0"/>
              <w:snapToGrid w:val="0"/>
              <w:spacing w:line="360" w:lineRule="auto"/>
              <w:ind w:firstLine="480" w:firstLineChars="200"/>
              <w:jc w:val="left"/>
              <w:rPr>
                <w:rFonts w:cs="Times New Roman"/>
                <w:szCs w:val="24"/>
              </w:rPr>
            </w:pPr>
            <w:r>
              <w:rPr>
                <w:rFonts w:cs="Times New Roman"/>
                <w:szCs w:val="24"/>
              </w:rPr>
              <w:t>4、营运期固体废物环境影响分析</w:t>
            </w:r>
          </w:p>
          <w:p>
            <w:pPr>
              <w:tabs>
                <w:tab w:val="left" w:pos="462"/>
              </w:tabs>
              <w:adjustRightInd w:val="0"/>
              <w:snapToGrid w:val="0"/>
              <w:spacing w:line="360" w:lineRule="auto"/>
              <w:ind w:firstLine="480" w:firstLineChars="200"/>
              <w:rPr>
                <w:rFonts w:cs="Times New Roman"/>
                <w:snapToGrid w:val="0"/>
                <w:kern w:val="0"/>
                <w:szCs w:val="24"/>
              </w:rPr>
            </w:pPr>
            <w:r>
              <w:rPr>
                <w:rFonts w:cs="Times New Roman"/>
                <w:snapToGrid w:val="0"/>
                <w:kern w:val="0"/>
                <w:szCs w:val="24"/>
              </w:rPr>
              <w:t>项目产生的固体废弃物主要是格栅栅渣、污泥、</w:t>
            </w:r>
            <w:r>
              <w:rPr>
                <w:rFonts w:cs="Times New Roman"/>
                <w:szCs w:val="24"/>
              </w:rPr>
              <w:t>废旧填料</w:t>
            </w:r>
            <w:r>
              <w:rPr>
                <w:rFonts w:cs="Times New Roman"/>
                <w:snapToGrid w:val="0"/>
                <w:kern w:val="0"/>
                <w:szCs w:val="24"/>
              </w:rPr>
              <w:t>以及生活垃圾。</w:t>
            </w:r>
          </w:p>
          <w:p>
            <w:pPr>
              <w:tabs>
                <w:tab w:val="left" w:pos="462"/>
              </w:tabs>
              <w:adjustRightInd w:val="0"/>
              <w:snapToGrid w:val="0"/>
              <w:spacing w:line="360" w:lineRule="auto"/>
              <w:ind w:firstLine="480" w:firstLineChars="200"/>
              <w:rPr>
                <w:rFonts w:cs="Times New Roman"/>
                <w:snapToGrid w:val="0"/>
                <w:kern w:val="0"/>
                <w:szCs w:val="24"/>
              </w:rPr>
            </w:pPr>
            <w:r>
              <w:rPr>
                <w:rFonts w:cs="Times New Roman"/>
                <w:snapToGrid w:val="0"/>
                <w:kern w:val="0"/>
                <w:szCs w:val="24"/>
              </w:rPr>
              <w:t>职工生活垃圾产生量0.18t/a，送至环卫部门指定的垃圾存放点后，由环卫部门统一清运。</w:t>
            </w:r>
          </w:p>
          <w:p>
            <w:pPr>
              <w:tabs>
                <w:tab w:val="left" w:pos="462"/>
              </w:tabs>
              <w:adjustRightInd w:val="0"/>
              <w:snapToGrid w:val="0"/>
              <w:spacing w:line="360" w:lineRule="auto"/>
              <w:ind w:firstLine="480" w:firstLineChars="200"/>
              <w:rPr>
                <w:rFonts w:cs="Times New Roman"/>
                <w:snapToGrid w:val="0"/>
                <w:kern w:val="0"/>
                <w:szCs w:val="24"/>
              </w:rPr>
            </w:pPr>
            <w:r>
              <w:rPr>
                <w:rFonts w:cs="Times New Roman"/>
                <w:snapToGrid w:val="0"/>
                <w:kern w:val="0"/>
                <w:szCs w:val="24"/>
              </w:rPr>
              <w:t>格栅渣主要来自污水处理过程中格栅清除出来的垃圾和杂物，产生量共为0.73t/a，由环卫部门统一清运。</w:t>
            </w:r>
          </w:p>
          <w:p>
            <w:pPr>
              <w:pStyle w:val="29"/>
              <w:adjustRightInd w:val="0"/>
              <w:snapToGrid w:val="0"/>
              <w:spacing w:after="0" w:line="360" w:lineRule="auto"/>
              <w:ind w:left="0" w:leftChars="0" w:firstLine="480"/>
              <w:rPr>
                <w:rFonts w:cs="Times New Roman"/>
                <w:snapToGrid w:val="0"/>
                <w:sz w:val="24"/>
                <w:szCs w:val="24"/>
              </w:rPr>
            </w:pPr>
            <w:r>
              <w:rPr>
                <w:rFonts w:cs="Times New Roman"/>
                <w:snapToGrid w:val="0"/>
                <w:sz w:val="24"/>
                <w:szCs w:val="24"/>
              </w:rPr>
              <w:t>废旧填料产生量为0.05t/a，废旧填料经收集后交由厂家回收处置。</w:t>
            </w:r>
          </w:p>
          <w:p>
            <w:pPr>
              <w:tabs>
                <w:tab w:val="left" w:pos="462"/>
              </w:tabs>
              <w:adjustRightInd w:val="0"/>
              <w:snapToGrid w:val="0"/>
              <w:spacing w:line="360" w:lineRule="auto"/>
              <w:ind w:firstLine="480" w:firstLineChars="200"/>
              <w:rPr>
                <w:rFonts w:cs="Times New Roman"/>
                <w:snapToGrid w:val="0"/>
                <w:kern w:val="0"/>
                <w:szCs w:val="24"/>
              </w:rPr>
            </w:pPr>
            <w:r>
              <w:rPr>
                <w:rFonts w:cs="Times New Roman"/>
                <w:snapToGrid w:val="0"/>
                <w:kern w:val="0"/>
                <w:szCs w:val="24"/>
              </w:rPr>
              <w:t>项目污泥年产量为</w:t>
            </w:r>
            <w:r>
              <w:rPr>
                <w:rFonts w:cs="Times New Roman"/>
                <w:bCs/>
                <w:szCs w:val="24"/>
              </w:rPr>
              <w:t>3.054t/a</w:t>
            </w:r>
            <w:r>
              <w:rPr>
                <w:rFonts w:cs="Times New Roman"/>
                <w:snapToGrid w:val="0"/>
                <w:kern w:val="0"/>
                <w:szCs w:val="24"/>
              </w:rPr>
              <w:t>。污泥经吸粪车统一运输至峨边县城市生活污水处理厂处理。</w:t>
            </w:r>
          </w:p>
          <w:p>
            <w:pPr>
              <w:adjustRightInd w:val="0"/>
              <w:snapToGrid w:val="0"/>
              <w:spacing w:line="360" w:lineRule="auto"/>
              <w:ind w:firstLine="480" w:firstLineChars="200"/>
              <w:jc w:val="left"/>
              <w:rPr>
                <w:rFonts w:cs="Times New Roman"/>
                <w:szCs w:val="24"/>
              </w:rPr>
            </w:pPr>
            <w:r>
              <w:rPr>
                <w:rFonts w:cs="Times New Roman"/>
                <w:szCs w:val="24"/>
              </w:rPr>
              <w:t>综上，项目固废去向明确，处置措施可行，不会产生二次污染。</w:t>
            </w:r>
          </w:p>
          <w:p>
            <w:pPr>
              <w:adjustRightInd w:val="0"/>
              <w:snapToGrid w:val="0"/>
              <w:spacing w:line="360" w:lineRule="auto"/>
              <w:ind w:firstLine="482" w:firstLineChars="200"/>
              <w:rPr>
                <w:b/>
                <w:bCs/>
              </w:rPr>
            </w:pPr>
            <w:r>
              <w:rPr>
                <w:b/>
                <w:bCs/>
              </w:rPr>
              <w:t>2.5地下水环境影响分析</w:t>
            </w:r>
          </w:p>
          <w:p>
            <w:pPr>
              <w:adjustRightInd w:val="0"/>
              <w:snapToGrid w:val="0"/>
              <w:spacing w:line="360" w:lineRule="auto"/>
              <w:ind w:firstLine="480" w:firstLineChars="200"/>
              <w:jc w:val="left"/>
            </w:pPr>
            <w:r>
              <w:rPr>
                <w:bCs/>
              </w:rPr>
              <w:t>根据《环境影响评价技术导则 地下水环境》（HJ610-2016），本项目属于</w:t>
            </w:r>
            <w:r>
              <w:t>10万吨以下生活污水集中处理</w:t>
            </w:r>
            <w:r>
              <w:rPr>
                <w:bCs/>
              </w:rPr>
              <w:t>，属于报告表项目，开展地下水影响三级评价。</w:t>
            </w:r>
          </w:p>
          <w:p>
            <w:pPr>
              <w:adjustRightInd w:val="0"/>
              <w:snapToGrid w:val="0"/>
              <w:spacing w:line="360" w:lineRule="auto"/>
              <w:ind w:firstLine="480" w:firstLineChars="200"/>
            </w:pPr>
            <w:r>
              <w:t>为防止地下水的污染，本项目采取分区防渗的措施。项目对一般防渗区（厂区内道路）以及重点防渗区（格栅渠、调节池、一体化设备）采取相应的污染预防措施的基础上，项目对地下水水质基本不会造成明显影响。</w:t>
            </w:r>
          </w:p>
          <w:p>
            <w:pPr>
              <w:widowControl/>
              <w:adjustRightInd w:val="0"/>
              <w:snapToGrid w:val="0"/>
              <w:spacing w:line="360" w:lineRule="auto"/>
              <w:ind w:firstLine="480" w:firstLineChars="200"/>
              <w:jc w:val="left"/>
            </w:pPr>
            <w:r>
              <w:rPr>
                <w:kern w:val="0"/>
                <w:lang w:bidi="ar"/>
              </w:rPr>
              <w:t>根据调查，项目范围内地下水类型为浅层地下水，但因</w:t>
            </w:r>
            <w:r>
              <w:rPr>
                <w:rFonts w:hint="eastAsia"/>
                <w:kern w:val="0"/>
                <w:lang w:bidi="ar"/>
              </w:rPr>
              <w:t>峨边彝族自治县</w:t>
            </w:r>
            <w:r>
              <w:rPr>
                <w:kern w:val="0"/>
                <w:lang w:bidi="ar"/>
              </w:rPr>
              <w:t xml:space="preserve">属山丘地区，河流切割较深，浅层地下水主要从河川排泄，地表径流基本上包括了浅层地下水。为降低营运期对地下水的影响，建设单位采取如下措施： </w:t>
            </w:r>
          </w:p>
          <w:p>
            <w:pPr>
              <w:widowControl/>
              <w:adjustRightInd w:val="0"/>
              <w:snapToGrid w:val="0"/>
              <w:spacing w:line="360" w:lineRule="auto"/>
              <w:ind w:firstLine="480" w:firstLineChars="200"/>
              <w:jc w:val="left"/>
            </w:pPr>
            <w:r>
              <w:rPr>
                <w:kern w:val="0"/>
                <w:lang w:bidi="ar"/>
              </w:rPr>
              <w:t xml:space="preserve">（1）正常工况 </w:t>
            </w:r>
          </w:p>
          <w:p>
            <w:pPr>
              <w:widowControl/>
              <w:adjustRightInd w:val="0"/>
              <w:snapToGrid w:val="0"/>
              <w:spacing w:line="360" w:lineRule="auto"/>
              <w:ind w:firstLine="480" w:firstLineChars="200"/>
              <w:jc w:val="left"/>
            </w:pPr>
            <w:r>
              <w:rPr>
                <w:kern w:val="0"/>
                <w:lang w:bidi="ar"/>
              </w:rPr>
              <w:t>本工程废水排放实行完全分流制。正常工况下，污水处理设施、污水处理站保持正常运行，污水处理站收集的废水经污水处理站处理后，排入</w:t>
            </w:r>
            <w:r>
              <w:rPr>
                <w:rFonts w:hint="eastAsia"/>
                <w:kern w:val="0"/>
                <w:lang w:bidi="ar"/>
              </w:rPr>
              <w:t>大渡河</w:t>
            </w:r>
            <w:r>
              <w:rPr>
                <w:kern w:val="0"/>
                <w:lang w:bidi="ar"/>
              </w:rPr>
              <w:t xml:space="preserve">。因此，正常工况下对厂区地下水水质的影响较小，可不予考虑。 </w:t>
            </w:r>
          </w:p>
          <w:p>
            <w:pPr>
              <w:widowControl/>
              <w:adjustRightInd w:val="0"/>
              <w:snapToGrid w:val="0"/>
              <w:spacing w:line="360" w:lineRule="auto"/>
              <w:ind w:firstLine="480" w:firstLineChars="200"/>
              <w:jc w:val="left"/>
            </w:pPr>
            <w:r>
              <w:rPr>
                <w:kern w:val="0"/>
                <w:lang w:bidi="ar"/>
              </w:rPr>
              <w:t xml:space="preserve">（2）事故状态由于生产工艺及生产过程的复杂性，导致废水处理过程中有发生“跑、冒、滴、漏” 事故可能，一旦发生事故，尤其是在生化池、污水管网等埋地部位，污废水一旦泄漏难以被发现且浓度较高，污水将会通过包气带渗入至地下水中，从而造成地下水污染，使地下水水质恶化。 </w:t>
            </w:r>
          </w:p>
          <w:p>
            <w:pPr>
              <w:widowControl/>
              <w:adjustRightInd w:val="0"/>
              <w:snapToGrid w:val="0"/>
              <w:spacing w:line="360" w:lineRule="auto"/>
              <w:ind w:firstLine="480" w:firstLineChars="200"/>
              <w:jc w:val="left"/>
            </w:pPr>
            <w:r>
              <w:rPr>
                <w:kern w:val="0"/>
                <w:lang w:bidi="ar"/>
              </w:rPr>
              <w:t xml:space="preserve">本项目应编制应急预案，当发生污染物泄露事故后，必须立即启动应急预案，分析污染事故的发展趋势，并提出下一步预防和防治措施，迅速控制或切断事件灾害链，对污水进行截流，抽出污水送污水处理厂集中处理，使污染地下水扩散得到有效抑制，最大限度地保护下游地下水水质安全，将损失降到最低限度。此外，污水管网的破裂及时发现，也不会造成长时间的连续泄露。所以在本项目投产后，对厂区污水处理设施和排水管道仍必须采取可靠的防渗防漏措施，防止重大事故或者事故处理不及时污水泄漏对地下水环境造成污染。 </w:t>
            </w:r>
          </w:p>
          <w:p>
            <w:pPr>
              <w:widowControl/>
              <w:adjustRightInd w:val="0"/>
              <w:snapToGrid w:val="0"/>
              <w:spacing w:line="360" w:lineRule="auto"/>
              <w:ind w:firstLine="480" w:firstLineChars="200"/>
              <w:jc w:val="left"/>
            </w:pPr>
            <w:r>
              <w:rPr>
                <w:rFonts w:hint="eastAsia" w:ascii="宋体" w:hAnsi="宋体" w:cs="宋体"/>
                <w:kern w:val="0"/>
                <w:lang w:bidi="ar"/>
              </w:rPr>
              <w:t>①</w:t>
            </w:r>
            <w:r>
              <w:rPr>
                <w:kern w:val="0"/>
                <w:lang w:bidi="ar"/>
              </w:rPr>
              <w:t xml:space="preserve">地下水环境保护措施 </w:t>
            </w:r>
          </w:p>
          <w:p>
            <w:pPr>
              <w:widowControl/>
              <w:adjustRightInd w:val="0"/>
              <w:snapToGrid w:val="0"/>
              <w:spacing w:line="360" w:lineRule="auto"/>
              <w:ind w:firstLine="480" w:firstLineChars="200"/>
              <w:jc w:val="left"/>
            </w:pPr>
            <w:r>
              <w:rPr>
                <w:kern w:val="0"/>
                <w:lang w:bidi="ar"/>
              </w:rPr>
              <w:t xml:space="preserve">针对项目可能发生的地下水污染，地下水污染防治措施按照“源头控制、末端防治、污染监控、应急响应”相结合的原则，从污染物的产生、入渗、扩散、应急响应全阶段进行控制。 </w:t>
            </w:r>
          </w:p>
          <w:p>
            <w:pPr>
              <w:widowControl/>
              <w:adjustRightInd w:val="0"/>
              <w:snapToGrid w:val="0"/>
              <w:spacing w:line="360" w:lineRule="auto"/>
              <w:ind w:firstLine="480" w:firstLineChars="200"/>
            </w:pPr>
            <w:r>
              <w:rPr>
                <w:kern w:val="0"/>
                <w:lang w:bidi="ar"/>
              </w:rPr>
              <w:t xml:space="preserve">A.源头控制措施：主要包括在工艺、管道、设备、污水储存及处理构筑物采取相应措施，防止和降低污染物跑、冒、滴、漏，将污染物泄漏的环境风险事故降到最低程度；管线敷设尽量采用“可视化”原则，即管道尽可能地上敷设，做到污染物“早发现、早处理”，减少由于埋地管道泄漏而造成的地下水污染。 </w:t>
            </w:r>
          </w:p>
          <w:p>
            <w:pPr>
              <w:widowControl/>
              <w:adjustRightInd w:val="0"/>
              <w:snapToGrid w:val="0"/>
              <w:spacing w:line="360" w:lineRule="auto"/>
              <w:ind w:firstLine="480" w:firstLineChars="200"/>
            </w:pPr>
            <w:r>
              <w:rPr>
                <w:kern w:val="0"/>
                <w:lang w:bidi="ar"/>
              </w:rPr>
              <w:t xml:space="preserve">B.末端控制措施：主要包括厂内污染区地面的防渗措施和泄漏、渗漏污染物收集措施，即在污染区地面进行防渗处理，防止洒落地面的污染物渗入地下，并把滞留在地面的污染物收集起来，集中送至污水处理站处理；末端控制采取分区防渗，重点污染防治区、一般污染防治区和简单污染区防渗措施有区别的防渗原则。 </w:t>
            </w:r>
          </w:p>
          <w:p>
            <w:pPr>
              <w:widowControl/>
              <w:adjustRightInd w:val="0"/>
              <w:snapToGrid w:val="0"/>
              <w:spacing w:line="360" w:lineRule="auto"/>
              <w:ind w:firstLine="480" w:firstLineChars="200"/>
            </w:pPr>
            <w:r>
              <w:rPr>
                <w:kern w:val="0"/>
                <w:lang w:bidi="ar"/>
              </w:rPr>
              <w:t xml:space="preserve">C.污染监控体系：实施覆盖生产区的地下水污染监控系统，包括建立完善的检测制 度、配备先进的检测仪器和设备、科学、合理设置地下水污染监控井，及时发现污染、及时控制。 </w:t>
            </w:r>
          </w:p>
          <w:p>
            <w:pPr>
              <w:widowControl/>
              <w:adjustRightInd w:val="0"/>
              <w:snapToGrid w:val="0"/>
              <w:spacing w:line="360" w:lineRule="auto"/>
              <w:ind w:firstLine="480" w:firstLineChars="200"/>
              <w:jc w:val="left"/>
            </w:pPr>
            <w:r>
              <w:rPr>
                <w:kern w:val="0"/>
                <w:lang w:bidi="ar"/>
              </w:rPr>
              <w:t xml:space="preserve">D.应急响应措施：包括一旦发现地下水污染事故，立即启动应急预案、采取应急措施控制地下水污染，并使污染得到治理。 </w:t>
            </w:r>
          </w:p>
          <w:p>
            <w:pPr>
              <w:widowControl/>
              <w:adjustRightInd w:val="0"/>
              <w:snapToGrid w:val="0"/>
              <w:spacing w:line="360" w:lineRule="auto"/>
              <w:ind w:firstLine="480" w:firstLineChars="200"/>
              <w:jc w:val="left"/>
              <w:rPr>
                <w:kern w:val="0"/>
                <w:lang w:bidi="ar"/>
              </w:rPr>
            </w:pPr>
            <w:r>
              <w:rPr>
                <w:rFonts w:hint="eastAsia" w:ascii="宋体" w:hAnsi="宋体" w:cs="宋体"/>
                <w:kern w:val="0"/>
                <w:lang w:bidi="ar"/>
              </w:rPr>
              <w:t>②</w:t>
            </w:r>
            <w:r>
              <w:rPr>
                <w:kern w:val="0"/>
                <w:lang w:bidi="ar"/>
              </w:rPr>
              <w:t>防治措施</w:t>
            </w:r>
          </w:p>
          <w:p>
            <w:pPr>
              <w:widowControl/>
              <w:adjustRightInd w:val="0"/>
              <w:snapToGrid w:val="0"/>
              <w:spacing w:line="360" w:lineRule="auto"/>
              <w:ind w:firstLine="480" w:firstLineChars="200"/>
              <w:jc w:val="left"/>
            </w:pPr>
            <w:r>
              <w:rPr>
                <w:kern w:val="0"/>
                <w:lang w:bidi="ar"/>
              </w:rPr>
              <w:t xml:space="preserve">A.污水处理站防渗措施 </w:t>
            </w:r>
          </w:p>
          <w:p>
            <w:pPr>
              <w:widowControl/>
              <w:adjustRightInd w:val="0"/>
              <w:snapToGrid w:val="0"/>
              <w:spacing w:line="360" w:lineRule="auto"/>
              <w:ind w:firstLine="480" w:firstLineChars="200"/>
              <w:jc w:val="left"/>
            </w:pPr>
            <w:r>
              <w:rPr>
                <w:kern w:val="0"/>
                <w:lang w:bidi="ar"/>
              </w:rPr>
              <w:t xml:space="preserve">结构措施：水池均采用现浇防渗砼。砼中掺加抗裂防渗外加剂，用以补偿砼的收缩，避免砼温度、干缩引起的开裂，同时提高砼的密实度和抗渗性能，以防水为主。对于大型水池，由于砼量较大，要求连续浇注，尽量少设或不设施工缝。 </w:t>
            </w:r>
          </w:p>
          <w:p>
            <w:pPr>
              <w:widowControl/>
              <w:adjustRightInd w:val="0"/>
              <w:snapToGrid w:val="0"/>
              <w:spacing w:line="360" w:lineRule="auto"/>
              <w:ind w:firstLine="480" w:firstLineChars="200"/>
              <w:jc w:val="left"/>
              <w:rPr>
                <w:kern w:val="0"/>
                <w:lang w:bidi="ar"/>
              </w:rPr>
            </w:pPr>
            <w:r>
              <w:rPr>
                <w:kern w:val="0"/>
                <w:lang w:bidi="ar"/>
              </w:rPr>
              <w:t>分区防渗措施：根据各厂区可能泄漏至地面区域污染物的性质和生产单元的构筑方式，结合本项目总平面布置情况，将本厂区分为重点防治区、一般防治区。</w:t>
            </w:r>
          </w:p>
          <w:p>
            <w:pPr>
              <w:widowControl/>
              <w:adjustRightInd w:val="0"/>
              <w:snapToGrid w:val="0"/>
              <w:spacing w:line="360" w:lineRule="auto"/>
              <w:ind w:firstLine="480" w:firstLineChars="200"/>
              <w:rPr>
                <w:kern w:val="0"/>
                <w:lang w:bidi="ar"/>
              </w:rPr>
            </w:pPr>
            <w:r>
              <w:rPr>
                <w:kern w:val="0"/>
                <w:lang w:bidi="ar"/>
              </w:rPr>
              <w:t>重点防渗区：</w:t>
            </w:r>
            <w:r>
              <w:rPr>
                <w:rFonts w:hint="eastAsia"/>
                <w:kern w:val="0"/>
                <w:lang w:bidi="ar"/>
              </w:rPr>
              <w:t>格栅调节池、MBR一体化设备</w:t>
            </w:r>
            <w:r>
              <w:rPr>
                <w:kern w:val="0"/>
                <w:lang w:bidi="ar"/>
              </w:rPr>
              <w:t>做防腐</w:t>
            </w:r>
            <w:r>
              <w:rPr>
                <w:rFonts w:hint="eastAsia"/>
                <w:kern w:val="0"/>
                <w:lang w:bidi="ar"/>
              </w:rPr>
              <w:t>、防渗</w:t>
            </w:r>
            <w:r>
              <w:rPr>
                <w:kern w:val="0"/>
                <w:lang w:bidi="ar"/>
              </w:rPr>
              <w:t>处理</w:t>
            </w:r>
            <w:r>
              <w:rPr>
                <w:rFonts w:hint="eastAsia"/>
                <w:kern w:val="0"/>
                <w:lang w:bidi="ar"/>
              </w:rPr>
              <w:t>，</w:t>
            </w:r>
            <w:r>
              <w:rPr>
                <w:kern w:val="0"/>
                <w:lang w:bidi="ar"/>
              </w:rPr>
              <w:t>等效粘土防渗层Mb≥6.0m，K≤1×10</w:t>
            </w:r>
            <w:r>
              <w:rPr>
                <w:kern w:val="0"/>
                <w:vertAlign w:val="superscript"/>
                <w:lang w:bidi="ar"/>
              </w:rPr>
              <w:t>-7</w:t>
            </w:r>
            <w:r>
              <w:rPr>
                <w:kern w:val="0"/>
                <w:lang w:bidi="ar"/>
              </w:rPr>
              <w:t>cm/s。</w:t>
            </w:r>
          </w:p>
          <w:p>
            <w:pPr>
              <w:widowControl/>
              <w:adjustRightInd w:val="0"/>
              <w:snapToGrid w:val="0"/>
              <w:spacing w:line="360" w:lineRule="auto"/>
              <w:ind w:firstLine="480" w:firstLineChars="200"/>
              <w:jc w:val="left"/>
            </w:pPr>
            <w:r>
              <w:rPr>
                <w:kern w:val="0"/>
                <w:lang w:bidi="ar"/>
              </w:rPr>
              <w:t>一般防渗区：</w:t>
            </w:r>
            <w:r>
              <w:rPr>
                <w:rFonts w:hint="eastAsia"/>
                <w:kern w:val="0"/>
                <w:lang w:bidi="ar"/>
              </w:rPr>
              <w:t>厂区道路</w:t>
            </w:r>
            <w:r>
              <w:rPr>
                <w:kern w:val="0"/>
                <w:lang w:bidi="ar"/>
              </w:rPr>
              <w:t>主要采用P6抗渗混凝土进行防渗处理。等效粘土防渗层Mb≥1.5m，K≤1×10</w:t>
            </w:r>
            <w:r>
              <w:rPr>
                <w:kern w:val="0"/>
                <w:vertAlign w:val="superscript"/>
                <w:lang w:bidi="ar"/>
              </w:rPr>
              <w:t>-7</w:t>
            </w:r>
            <w:r>
              <w:rPr>
                <w:kern w:val="0"/>
                <w:lang w:bidi="ar"/>
              </w:rPr>
              <w:t>cm/s。</w:t>
            </w:r>
          </w:p>
          <w:p>
            <w:pPr>
              <w:widowControl/>
              <w:adjustRightInd w:val="0"/>
              <w:snapToGrid w:val="0"/>
              <w:spacing w:line="360" w:lineRule="auto"/>
              <w:ind w:firstLine="480" w:firstLineChars="200"/>
              <w:jc w:val="left"/>
            </w:pPr>
            <w:r>
              <w:rPr>
                <w:kern w:val="0"/>
                <w:lang w:bidi="ar"/>
              </w:rPr>
              <w:t xml:space="preserve"> B.厂外污水管网防渗 </w:t>
            </w:r>
          </w:p>
          <w:p>
            <w:pPr>
              <w:widowControl/>
              <w:adjustRightInd w:val="0"/>
              <w:snapToGrid w:val="0"/>
              <w:spacing w:line="360" w:lineRule="auto"/>
              <w:ind w:firstLine="480" w:firstLineChars="200"/>
              <w:jc w:val="left"/>
            </w:pPr>
            <w:r>
              <w:rPr>
                <w:kern w:val="0"/>
                <w:lang w:bidi="ar"/>
              </w:rPr>
              <w:t xml:space="preserve">配套污水管网以检查井作为防渗重点，按照重点防治区进行防渗处理，可采取P8抗渗混凝土并涂刷防渗涂料。 </w:t>
            </w:r>
          </w:p>
          <w:p>
            <w:pPr>
              <w:spacing w:line="360" w:lineRule="auto"/>
              <w:jc w:val="center"/>
              <w:rPr>
                <w:rFonts w:cs="Times New Roman"/>
                <w:b/>
                <w:szCs w:val="24"/>
              </w:rPr>
            </w:pPr>
            <w:r>
              <w:rPr>
                <w:rFonts w:cs="Times New Roman"/>
                <w:b/>
                <w:szCs w:val="24"/>
              </w:rPr>
              <w:t>表7-27  污水处理站分区防渗区域</w:t>
            </w:r>
          </w:p>
          <w:tbl>
            <w:tblPr>
              <w:tblStyle w:val="30"/>
              <w:tblW w:w="83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54"/>
              <w:gridCol w:w="58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454" w:type="dxa"/>
                  <w:vAlign w:val="center"/>
                </w:tcPr>
                <w:p>
                  <w:pPr>
                    <w:jc w:val="center"/>
                    <w:rPr>
                      <w:b/>
                      <w:sz w:val="21"/>
                      <w:szCs w:val="21"/>
                    </w:rPr>
                  </w:pPr>
                  <w:r>
                    <w:rPr>
                      <w:b/>
                      <w:sz w:val="21"/>
                      <w:szCs w:val="21"/>
                    </w:rPr>
                    <w:t>防渗等级</w:t>
                  </w:r>
                </w:p>
              </w:tc>
              <w:tc>
                <w:tcPr>
                  <w:tcW w:w="5848" w:type="dxa"/>
                  <w:vAlign w:val="center"/>
                </w:tcPr>
                <w:p>
                  <w:pPr>
                    <w:jc w:val="center"/>
                    <w:rPr>
                      <w:b/>
                      <w:sz w:val="21"/>
                      <w:szCs w:val="21"/>
                    </w:rPr>
                  </w:pPr>
                  <w:r>
                    <w:rPr>
                      <w:b/>
                      <w:sz w:val="21"/>
                      <w:szCs w:val="21"/>
                    </w:rPr>
                    <w:t>防渗区域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454" w:type="dxa"/>
                  <w:vAlign w:val="center"/>
                </w:tcPr>
                <w:p>
                  <w:pPr>
                    <w:jc w:val="center"/>
                    <w:rPr>
                      <w:bCs/>
                      <w:sz w:val="21"/>
                      <w:szCs w:val="21"/>
                    </w:rPr>
                  </w:pPr>
                  <w:r>
                    <w:rPr>
                      <w:bCs/>
                      <w:sz w:val="21"/>
                      <w:szCs w:val="21"/>
                    </w:rPr>
                    <w:t>重点防渗区</w:t>
                  </w:r>
                </w:p>
              </w:tc>
              <w:tc>
                <w:tcPr>
                  <w:tcW w:w="5848" w:type="dxa"/>
                  <w:vAlign w:val="center"/>
                </w:tcPr>
                <w:p>
                  <w:pPr>
                    <w:jc w:val="center"/>
                    <w:rPr>
                      <w:bCs/>
                      <w:sz w:val="21"/>
                      <w:szCs w:val="21"/>
                    </w:rPr>
                  </w:pPr>
                  <w:r>
                    <w:rPr>
                      <w:bCs/>
                      <w:sz w:val="21"/>
                      <w:szCs w:val="21"/>
                    </w:rPr>
                    <w:t>格栅</w:t>
                  </w:r>
                  <w:r>
                    <w:rPr>
                      <w:rFonts w:hint="eastAsia"/>
                      <w:bCs/>
                      <w:sz w:val="21"/>
                      <w:szCs w:val="21"/>
                    </w:rPr>
                    <w:t>调节池</w:t>
                  </w:r>
                  <w:r>
                    <w:rPr>
                      <w:bCs/>
                      <w:sz w:val="21"/>
                      <w:szCs w:val="21"/>
                    </w:rPr>
                    <w:t>、MBR一体化设备</w:t>
                  </w:r>
                  <w:r>
                    <w:rPr>
                      <w:rFonts w:hint="eastAsia"/>
                      <w:bCs/>
                      <w:sz w:val="21"/>
                      <w:szCs w:val="21"/>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454" w:type="dxa"/>
                  <w:vAlign w:val="center"/>
                </w:tcPr>
                <w:p>
                  <w:pPr>
                    <w:jc w:val="center"/>
                    <w:rPr>
                      <w:bCs/>
                      <w:sz w:val="21"/>
                      <w:szCs w:val="21"/>
                    </w:rPr>
                  </w:pPr>
                  <w:r>
                    <w:rPr>
                      <w:bCs/>
                      <w:sz w:val="21"/>
                      <w:szCs w:val="21"/>
                    </w:rPr>
                    <w:t>一般防渗区</w:t>
                  </w:r>
                </w:p>
              </w:tc>
              <w:tc>
                <w:tcPr>
                  <w:tcW w:w="5848" w:type="dxa"/>
                  <w:vAlign w:val="center"/>
                </w:tcPr>
                <w:p>
                  <w:pPr>
                    <w:jc w:val="center"/>
                    <w:rPr>
                      <w:bCs/>
                      <w:sz w:val="21"/>
                      <w:szCs w:val="21"/>
                    </w:rPr>
                  </w:pPr>
                  <w:r>
                    <w:rPr>
                      <w:bCs/>
                      <w:sz w:val="21"/>
                      <w:szCs w:val="21"/>
                    </w:rPr>
                    <w:t>厂区道路</w:t>
                  </w:r>
                </w:p>
              </w:tc>
            </w:tr>
          </w:tbl>
          <w:p>
            <w:pPr>
              <w:adjustRightInd w:val="0"/>
              <w:snapToGrid w:val="0"/>
              <w:spacing w:line="360" w:lineRule="auto"/>
              <w:ind w:firstLine="482" w:firstLineChars="200"/>
              <w:rPr>
                <w:rFonts w:cs="Times New Roman"/>
                <w:szCs w:val="24"/>
              </w:rPr>
            </w:pPr>
            <w:r>
              <w:rPr>
                <w:b/>
                <w:bCs/>
              </w:rPr>
              <w:t>综上所述，在采取上述防渗、防腐处理措施后，本项目对地下水影响较小</w:t>
            </w:r>
            <w:r>
              <w:rPr>
                <w:rFonts w:hint="eastAsia"/>
                <w:b/>
                <w:bCs/>
              </w:rPr>
              <w:t>。</w:t>
            </w:r>
          </w:p>
          <w:p>
            <w:pPr>
              <w:adjustRightInd w:val="0"/>
              <w:snapToGrid w:val="0"/>
              <w:spacing w:line="360" w:lineRule="auto"/>
              <w:ind w:firstLine="480" w:firstLineChars="200"/>
              <w:jc w:val="left"/>
              <w:rPr>
                <w:rFonts w:cs="Times New Roman"/>
              </w:rPr>
            </w:pPr>
            <w:r>
              <w:rPr>
                <w:rFonts w:cs="Times New Roman"/>
              </w:rPr>
              <w:t>5、土壤环境环境影响分析</w:t>
            </w:r>
          </w:p>
          <w:p>
            <w:pPr>
              <w:adjustRightInd w:val="0"/>
              <w:snapToGrid w:val="0"/>
              <w:spacing w:line="360" w:lineRule="auto"/>
              <w:ind w:firstLine="482"/>
              <w:rPr>
                <w:highlight w:val="red"/>
              </w:rPr>
            </w:pPr>
            <w:r>
              <w:rPr>
                <w:bCs/>
              </w:rPr>
              <w:t>根据《环境影响评价技术导则 土壤环境》（HJ 964-2018）中附录A土壤环境影响评价类别，本项目属于“电力热力燃气及水生产和供应业”中“生活污水处理”，项目类别为</w:t>
            </w:r>
            <w:r>
              <w:rPr>
                <w:rFonts w:hint="eastAsia" w:ascii="宋体" w:hAnsi="宋体" w:cs="宋体"/>
                <w:bCs/>
              </w:rPr>
              <w:t>Ⅲ</w:t>
            </w:r>
            <w:r>
              <w:rPr>
                <w:bCs/>
              </w:rPr>
              <w:t>类。</w:t>
            </w:r>
            <w:r>
              <w:t>项目主要污染物为营运期产生的</w:t>
            </w:r>
            <w:r>
              <w:rPr>
                <w:bCs/>
              </w:rPr>
              <w:t>氨气、硫化氢、污水</w:t>
            </w:r>
            <w:r>
              <w:t>，参照附录B对项目环境影响进行识别：</w:t>
            </w:r>
          </w:p>
          <w:p>
            <w:pPr>
              <w:jc w:val="center"/>
              <w:rPr>
                <w:rFonts w:cs="Times New Roman"/>
                <w:b/>
                <w:szCs w:val="24"/>
              </w:rPr>
            </w:pPr>
            <w:r>
              <w:rPr>
                <w:rFonts w:cs="Times New Roman"/>
                <w:b/>
                <w:szCs w:val="24"/>
              </w:rPr>
              <w:t>表7-28  建设项目土壤环境影响类型与影响途径表</w:t>
            </w:r>
          </w:p>
          <w:tbl>
            <w:tblPr>
              <w:tblStyle w:val="30"/>
              <w:tblW w:w="8296"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144"/>
              <w:gridCol w:w="1125"/>
              <w:gridCol w:w="1051"/>
              <w:gridCol w:w="701"/>
              <w:gridCol w:w="719"/>
              <w:gridCol w:w="719"/>
              <w:gridCol w:w="719"/>
              <w:gridCol w:w="701"/>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c>
                <w:tcPr>
                  <w:tcW w:w="1417" w:type="dxa"/>
                  <w:vMerge w:val="restart"/>
                  <w:vAlign w:val="center"/>
                </w:tcPr>
                <w:p>
                  <w:pPr>
                    <w:pStyle w:val="173"/>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不同时段</w:t>
                  </w:r>
                </w:p>
              </w:tc>
              <w:tc>
                <w:tcPr>
                  <w:tcW w:w="4021" w:type="dxa"/>
                  <w:gridSpan w:val="4"/>
                  <w:vAlign w:val="center"/>
                </w:tcPr>
                <w:p>
                  <w:pPr>
                    <w:pStyle w:val="173"/>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污染影响型</w:t>
                  </w:r>
                </w:p>
              </w:tc>
              <w:tc>
                <w:tcPr>
                  <w:tcW w:w="2858" w:type="dxa"/>
                  <w:gridSpan w:val="4"/>
                  <w:vAlign w:val="center"/>
                </w:tcPr>
                <w:p>
                  <w:pPr>
                    <w:pStyle w:val="173"/>
                    <w:jc w:val="center"/>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生态影响型</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17" w:type="dxa"/>
                  <w:vMerge w:val="continue"/>
                  <w:vAlign w:val="center"/>
                </w:tcPr>
                <w:p>
                  <w:pPr>
                    <w:pStyle w:val="173"/>
                    <w:jc w:val="center"/>
                    <w:rPr>
                      <w:rFonts w:ascii="Times New Roman" w:hAnsi="Times New Roman" w:eastAsia="宋体" w:cs="Times New Roman"/>
                      <w:color w:val="auto"/>
                      <w:sz w:val="21"/>
                      <w:szCs w:val="21"/>
                    </w:rPr>
                  </w:pPr>
                </w:p>
              </w:tc>
              <w:tc>
                <w:tcPr>
                  <w:tcW w:w="1144"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大气沉降</w:t>
                  </w:r>
                </w:p>
              </w:tc>
              <w:tc>
                <w:tcPr>
                  <w:tcW w:w="1125"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地面漫流</w:t>
                  </w:r>
                </w:p>
              </w:tc>
              <w:tc>
                <w:tcPr>
                  <w:tcW w:w="1051"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垂直入渗</w:t>
                  </w:r>
                </w:p>
              </w:tc>
              <w:tc>
                <w:tcPr>
                  <w:tcW w:w="701"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其他</w:t>
                  </w:r>
                </w:p>
              </w:tc>
              <w:tc>
                <w:tcPr>
                  <w:tcW w:w="719"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盐化</w:t>
                  </w:r>
                </w:p>
              </w:tc>
              <w:tc>
                <w:tcPr>
                  <w:tcW w:w="719"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碱化</w:t>
                  </w:r>
                </w:p>
              </w:tc>
              <w:tc>
                <w:tcPr>
                  <w:tcW w:w="719"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酸化</w:t>
                  </w:r>
                </w:p>
              </w:tc>
              <w:tc>
                <w:tcPr>
                  <w:tcW w:w="701"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其他</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建设期</w:t>
                  </w:r>
                </w:p>
              </w:tc>
              <w:tc>
                <w:tcPr>
                  <w:tcW w:w="1144" w:type="dxa"/>
                  <w:vAlign w:val="center"/>
                </w:tcPr>
                <w:p>
                  <w:pPr>
                    <w:pStyle w:val="173"/>
                    <w:jc w:val="center"/>
                    <w:rPr>
                      <w:rFonts w:ascii="Times New Roman" w:hAnsi="Times New Roman" w:eastAsia="宋体" w:cs="Times New Roman"/>
                      <w:color w:val="auto"/>
                      <w:sz w:val="21"/>
                      <w:szCs w:val="21"/>
                    </w:rPr>
                  </w:pPr>
                </w:p>
              </w:tc>
              <w:tc>
                <w:tcPr>
                  <w:tcW w:w="1125" w:type="dxa"/>
                  <w:vAlign w:val="center"/>
                </w:tcPr>
                <w:p>
                  <w:pPr>
                    <w:pStyle w:val="173"/>
                    <w:jc w:val="center"/>
                    <w:rPr>
                      <w:rFonts w:ascii="Times New Roman" w:hAnsi="Times New Roman" w:eastAsia="宋体" w:cs="Times New Roman"/>
                      <w:color w:val="auto"/>
                      <w:sz w:val="21"/>
                      <w:szCs w:val="21"/>
                    </w:rPr>
                  </w:pPr>
                </w:p>
              </w:tc>
              <w:tc>
                <w:tcPr>
                  <w:tcW w:w="1051" w:type="dxa"/>
                  <w:vAlign w:val="center"/>
                </w:tcPr>
                <w:p>
                  <w:pPr>
                    <w:pStyle w:val="173"/>
                    <w:jc w:val="center"/>
                    <w:rPr>
                      <w:rFonts w:ascii="Times New Roman" w:hAnsi="Times New Roman" w:eastAsia="宋体" w:cs="Times New Roman"/>
                      <w:color w:val="auto"/>
                      <w:sz w:val="21"/>
                      <w:szCs w:val="21"/>
                    </w:rPr>
                  </w:pPr>
                </w:p>
              </w:tc>
              <w:tc>
                <w:tcPr>
                  <w:tcW w:w="701" w:type="dxa"/>
                  <w:vAlign w:val="center"/>
                </w:tcPr>
                <w:p>
                  <w:pPr>
                    <w:pStyle w:val="173"/>
                    <w:jc w:val="center"/>
                    <w:rPr>
                      <w:rFonts w:ascii="Times New Roman" w:hAnsi="Times New Roman" w:eastAsia="宋体" w:cs="Times New Roman"/>
                      <w:color w:val="auto"/>
                      <w:sz w:val="21"/>
                      <w:szCs w:val="21"/>
                    </w:rPr>
                  </w:pPr>
                </w:p>
              </w:tc>
              <w:tc>
                <w:tcPr>
                  <w:tcW w:w="719" w:type="dxa"/>
                  <w:vAlign w:val="center"/>
                </w:tcPr>
                <w:p>
                  <w:pPr>
                    <w:pStyle w:val="173"/>
                    <w:jc w:val="center"/>
                    <w:rPr>
                      <w:rFonts w:ascii="Times New Roman" w:hAnsi="Times New Roman" w:eastAsia="宋体" w:cs="Times New Roman"/>
                      <w:color w:val="auto"/>
                      <w:sz w:val="21"/>
                      <w:szCs w:val="21"/>
                    </w:rPr>
                  </w:pPr>
                </w:p>
              </w:tc>
              <w:tc>
                <w:tcPr>
                  <w:tcW w:w="719" w:type="dxa"/>
                  <w:vAlign w:val="center"/>
                </w:tcPr>
                <w:p>
                  <w:pPr>
                    <w:pStyle w:val="173"/>
                    <w:jc w:val="center"/>
                    <w:rPr>
                      <w:rFonts w:ascii="Times New Roman" w:hAnsi="Times New Roman" w:eastAsia="宋体" w:cs="Times New Roman"/>
                      <w:color w:val="auto"/>
                      <w:sz w:val="21"/>
                      <w:szCs w:val="21"/>
                    </w:rPr>
                  </w:pPr>
                </w:p>
              </w:tc>
              <w:tc>
                <w:tcPr>
                  <w:tcW w:w="719" w:type="dxa"/>
                  <w:vAlign w:val="center"/>
                </w:tcPr>
                <w:p>
                  <w:pPr>
                    <w:pStyle w:val="173"/>
                    <w:jc w:val="center"/>
                    <w:rPr>
                      <w:rFonts w:ascii="Times New Roman" w:hAnsi="Times New Roman" w:eastAsia="宋体" w:cs="Times New Roman"/>
                      <w:color w:val="auto"/>
                      <w:sz w:val="21"/>
                      <w:szCs w:val="21"/>
                    </w:rPr>
                  </w:pPr>
                </w:p>
              </w:tc>
              <w:tc>
                <w:tcPr>
                  <w:tcW w:w="701" w:type="dxa"/>
                  <w:vAlign w:val="center"/>
                </w:tcPr>
                <w:p>
                  <w:pPr>
                    <w:pStyle w:val="173"/>
                    <w:jc w:val="center"/>
                    <w:rPr>
                      <w:rFonts w:ascii="Times New Roman" w:hAnsi="Times New Roman" w:eastAsia="宋体"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运营期</w:t>
                  </w:r>
                </w:p>
              </w:tc>
              <w:tc>
                <w:tcPr>
                  <w:tcW w:w="1144" w:type="dxa"/>
                  <w:vAlign w:val="center"/>
                </w:tcPr>
                <w:p>
                  <w:pPr>
                    <w:pStyle w:val="173"/>
                    <w:jc w:val="center"/>
                    <w:rPr>
                      <w:rFonts w:ascii="Times New Roman" w:hAnsi="Times New Roman" w:eastAsia="宋体" w:cs="Times New Roman"/>
                      <w:color w:val="auto"/>
                      <w:sz w:val="21"/>
                      <w:szCs w:val="21"/>
                    </w:rPr>
                  </w:pPr>
                </w:p>
              </w:tc>
              <w:tc>
                <w:tcPr>
                  <w:tcW w:w="1125"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1051"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701" w:type="dxa"/>
                  <w:vAlign w:val="center"/>
                </w:tcPr>
                <w:p>
                  <w:pPr>
                    <w:pStyle w:val="173"/>
                    <w:jc w:val="center"/>
                    <w:rPr>
                      <w:rFonts w:ascii="Times New Roman" w:hAnsi="Times New Roman" w:eastAsia="宋体" w:cs="Times New Roman"/>
                      <w:color w:val="auto"/>
                      <w:sz w:val="21"/>
                      <w:szCs w:val="21"/>
                    </w:rPr>
                  </w:pPr>
                </w:p>
              </w:tc>
              <w:tc>
                <w:tcPr>
                  <w:tcW w:w="719" w:type="dxa"/>
                  <w:vAlign w:val="center"/>
                </w:tcPr>
                <w:p>
                  <w:pPr>
                    <w:pStyle w:val="173"/>
                    <w:jc w:val="center"/>
                    <w:rPr>
                      <w:rFonts w:ascii="Times New Roman" w:hAnsi="Times New Roman" w:eastAsia="宋体" w:cs="Times New Roman"/>
                      <w:color w:val="auto"/>
                      <w:sz w:val="21"/>
                      <w:szCs w:val="21"/>
                    </w:rPr>
                  </w:pPr>
                </w:p>
              </w:tc>
              <w:tc>
                <w:tcPr>
                  <w:tcW w:w="719" w:type="dxa"/>
                  <w:vAlign w:val="center"/>
                </w:tcPr>
                <w:p>
                  <w:pPr>
                    <w:pStyle w:val="173"/>
                    <w:jc w:val="center"/>
                    <w:rPr>
                      <w:rFonts w:ascii="Times New Roman" w:hAnsi="Times New Roman" w:eastAsia="宋体" w:cs="Times New Roman"/>
                      <w:color w:val="auto"/>
                      <w:sz w:val="21"/>
                      <w:szCs w:val="21"/>
                    </w:rPr>
                  </w:pPr>
                </w:p>
              </w:tc>
              <w:tc>
                <w:tcPr>
                  <w:tcW w:w="719" w:type="dxa"/>
                  <w:vAlign w:val="center"/>
                </w:tcPr>
                <w:p>
                  <w:pPr>
                    <w:pStyle w:val="173"/>
                    <w:jc w:val="center"/>
                    <w:rPr>
                      <w:rFonts w:ascii="Times New Roman" w:hAnsi="Times New Roman" w:eastAsia="宋体" w:cs="Times New Roman"/>
                      <w:color w:val="auto"/>
                      <w:sz w:val="21"/>
                      <w:szCs w:val="21"/>
                    </w:rPr>
                  </w:pPr>
                </w:p>
              </w:tc>
              <w:tc>
                <w:tcPr>
                  <w:tcW w:w="701" w:type="dxa"/>
                  <w:vAlign w:val="center"/>
                </w:tcPr>
                <w:p>
                  <w:pPr>
                    <w:pStyle w:val="173"/>
                    <w:jc w:val="center"/>
                    <w:rPr>
                      <w:rFonts w:ascii="Times New Roman" w:hAnsi="Times New Roman" w:eastAsia="宋体"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c>
                <w:tcPr>
                  <w:tcW w:w="1417" w:type="dxa"/>
                  <w:vAlign w:val="center"/>
                </w:tcPr>
                <w:p>
                  <w:pPr>
                    <w:pStyle w:val="173"/>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服务期满后</w:t>
                  </w:r>
                </w:p>
              </w:tc>
              <w:tc>
                <w:tcPr>
                  <w:tcW w:w="1144" w:type="dxa"/>
                  <w:vAlign w:val="center"/>
                </w:tcPr>
                <w:p>
                  <w:pPr>
                    <w:pStyle w:val="173"/>
                    <w:jc w:val="center"/>
                    <w:rPr>
                      <w:rFonts w:ascii="Times New Roman" w:hAnsi="Times New Roman" w:eastAsia="宋体" w:cs="Times New Roman"/>
                      <w:color w:val="auto"/>
                      <w:sz w:val="21"/>
                      <w:szCs w:val="21"/>
                    </w:rPr>
                  </w:pPr>
                </w:p>
              </w:tc>
              <w:tc>
                <w:tcPr>
                  <w:tcW w:w="1125" w:type="dxa"/>
                  <w:vAlign w:val="center"/>
                </w:tcPr>
                <w:p>
                  <w:pPr>
                    <w:pStyle w:val="173"/>
                    <w:jc w:val="center"/>
                    <w:rPr>
                      <w:rFonts w:ascii="Times New Roman" w:hAnsi="Times New Roman" w:eastAsia="宋体" w:cs="Times New Roman"/>
                      <w:color w:val="auto"/>
                      <w:sz w:val="21"/>
                      <w:szCs w:val="21"/>
                    </w:rPr>
                  </w:pPr>
                </w:p>
              </w:tc>
              <w:tc>
                <w:tcPr>
                  <w:tcW w:w="1051" w:type="dxa"/>
                  <w:vAlign w:val="center"/>
                </w:tcPr>
                <w:p>
                  <w:pPr>
                    <w:pStyle w:val="173"/>
                    <w:jc w:val="center"/>
                    <w:rPr>
                      <w:rFonts w:ascii="Times New Roman" w:hAnsi="Times New Roman" w:eastAsia="宋体" w:cs="Times New Roman"/>
                      <w:color w:val="auto"/>
                      <w:sz w:val="21"/>
                      <w:szCs w:val="21"/>
                    </w:rPr>
                  </w:pPr>
                </w:p>
              </w:tc>
              <w:tc>
                <w:tcPr>
                  <w:tcW w:w="701" w:type="dxa"/>
                  <w:vAlign w:val="center"/>
                </w:tcPr>
                <w:p>
                  <w:pPr>
                    <w:pStyle w:val="173"/>
                    <w:jc w:val="center"/>
                    <w:rPr>
                      <w:rFonts w:ascii="Times New Roman" w:hAnsi="Times New Roman" w:eastAsia="宋体" w:cs="Times New Roman"/>
                      <w:color w:val="auto"/>
                      <w:sz w:val="21"/>
                      <w:szCs w:val="21"/>
                    </w:rPr>
                  </w:pPr>
                </w:p>
              </w:tc>
              <w:tc>
                <w:tcPr>
                  <w:tcW w:w="719" w:type="dxa"/>
                  <w:vAlign w:val="center"/>
                </w:tcPr>
                <w:p>
                  <w:pPr>
                    <w:pStyle w:val="173"/>
                    <w:jc w:val="center"/>
                    <w:rPr>
                      <w:rFonts w:ascii="Times New Roman" w:hAnsi="Times New Roman" w:eastAsia="宋体" w:cs="Times New Roman"/>
                      <w:color w:val="auto"/>
                      <w:sz w:val="21"/>
                      <w:szCs w:val="21"/>
                    </w:rPr>
                  </w:pPr>
                </w:p>
              </w:tc>
              <w:tc>
                <w:tcPr>
                  <w:tcW w:w="719" w:type="dxa"/>
                  <w:vAlign w:val="center"/>
                </w:tcPr>
                <w:p>
                  <w:pPr>
                    <w:pStyle w:val="173"/>
                    <w:jc w:val="center"/>
                    <w:rPr>
                      <w:rFonts w:ascii="Times New Roman" w:hAnsi="Times New Roman" w:eastAsia="宋体" w:cs="Times New Roman"/>
                      <w:color w:val="auto"/>
                      <w:sz w:val="21"/>
                      <w:szCs w:val="21"/>
                    </w:rPr>
                  </w:pPr>
                </w:p>
              </w:tc>
              <w:tc>
                <w:tcPr>
                  <w:tcW w:w="719" w:type="dxa"/>
                  <w:vAlign w:val="center"/>
                </w:tcPr>
                <w:p>
                  <w:pPr>
                    <w:pStyle w:val="173"/>
                    <w:jc w:val="center"/>
                    <w:rPr>
                      <w:rFonts w:ascii="Times New Roman" w:hAnsi="Times New Roman" w:eastAsia="宋体" w:cs="Times New Roman"/>
                      <w:color w:val="auto"/>
                      <w:sz w:val="21"/>
                      <w:szCs w:val="21"/>
                    </w:rPr>
                  </w:pPr>
                </w:p>
              </w:tc>
              <w:tc>
                <w:tcPr>
                  <w:tcW w:w="701" w:type="dxa"/>
                  <w:vAlign w:val="center"/>
                </w:tcPr>
                <w:p>
                  <w:pPr>
                    <w:pStyle w:val="173"/>
                    <w:jc w:val="center"/>
                    <w:rPr>
                      <w:rFonts w:ascii="Times New Roman" w:hAnsi="Times New Roman" w:eastAsia="宋体"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c>
                <w:tcPr>
                  <w:tcW w:w="8296" w:type="dxa"/>
                  <w:gridSpan w:val="9"/>
                  <w:vAlign w:val="center"/>
                </w:tcPr>
                <w:p>
                  <w:pPr>
                    <w:pStyle w:val="173"/>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注：在可能产生的土壤环境影响类型处“√”，列表未涵盖的可自行设计。</w:t>
                  </w:r>
                </w:p>
              </w:tc>
            </w:tr>
          </w:tbl>
          <w:p>
            <w:pPr>
              <w:adjustRightInd w:val="0"/>
              <w:snapToGrid w:val="0"/>
              <w:spacing w:line="360" w:lineRule="auto"/>
              <w:ind w:firstLine="482" w:firstLineChars="200"/>
              <w:jc w:val="left"/>
              <w:rPr>
                <w:rFonts w:cs="Times New Roman"/>
              </w:rPr>
            </w:pPr>
            <w:r>
              <w:rPr>
                <w:b/>
              </w:rPr>
              <w:t>本项目属于污染影响型项目。项目运营期涉及的大气污染为氨气和硫化氢，对土壤环境无影响；项目污水池四周修建有截排水沟可将事故废水截流进入污水站，将对土壤的影响控制在厂区范围内，因此污水地面漫流不会对周围土壤环境造成影响；污水垂直入渗只对污水处理厂站内的土壤造成影响，不会对周围土壤环境造成影响。</w:t>
            </w:r>
          </w:p>
          <w:p>
            <w:pPr>
              <w:adjustRightInd w:val="0"/>
              <w:snapToGrid w:val="0"/>
              <w:spacing w:line="360" w:lineRule="auto"/>
              <w:ind w:firstLine="480" w:firstLineChars="200"/>
              <w:rPr>
                <w:rFonts w:cs="Times New Roman"/>
                <w:bCs/>
              </w:rPr>
            </w:pPr>
            <w:r>
              <w:rPr>
                <w:rFonts w:cs="Times New Roman"/>
                <w:bCs/>
              </w:rPr>
              <w:t>（1）评价工作等级</w:t>
            </w:r>
          </w:p>
          <w:p>
            <w:pPr>
              <w:adjustRightInd w:val="0"/>
              <w:snapToGrid w:val="0"/>
              <w:spacing w:line="360" w:lineRule="auto"/>
              <w:ind w:firstLine="480" w:firstLineChars="200"/>
              <w:rPr>
                <w:bCs/>
              </w:rPr>
            </w:pPr>
            <w:r>
              <w:rPr>
                <w:bCs/>
              </w:rPr>
              <w:t>本项目属于污染影响类项目，</w:t>
            </w:r>
            <w:r>
              <w:rPr>
                <w:rFonts w:hint="eastAsia"/>
                <w:bCs/>
              </w:rPr>
              <w:t>污水处理站</w:t>
            </w:r>
            <w:r>
              <w:rPr>
                <w:bCs/>
              </w:rPr>
              <w:t>的占地为</w:t>
            </w:r>
            <w:r>
              <w:t>200</w:t>
            </w:r>
            <w:r>
              <w:rPr>
                <w:bCs/>
              </w:rPr>
              <w:t>m</w:t>
            </w:r>
            <w:r>
              <w:rPr>
                <w:bCs/>
                <w:vertAlign w:val="superscript"/>
              </w:rPr>
              <w:t>2</w:t>
            </w:r>
            <w:r>
              <w:rPr>
                <w:bCs/>
              </w:rPr>
              <w:t>，＜5hm</w:t>
            </w:r>
            <w:r>
              <w:rPr>
                <w:bCs/>
                <w:vertAlign w:val="superscript"/>
              </w:rPr>
              <w:t>2</w:t>
            </w:r>
            <w:r>
              <w:rPr>
                <w:bCs/>
              </w:rPr>
              <w:t>，属于小型项目。</w:t>
            </w:r>
          </w:p>
          <w:p>
            <w:pPr>
              <w:adjustRightInd w:val="0"/>
              <w:snapToGrid w:val="0"/>
              <w:spacing w:line="360" w:lineRule="auto"/>
              <w:jc w:val="center"/>
              <w:rPr>
                <w:rFonts w:cs="Times New Roman"/>
                <w:b/>
                <w:szCs w:val="24"/>
              </w:rPr>
            </w:pPr>
            <w:r>
              <w:rPr>
                <w:rFonts w:cs="Times New Roman"/>
                <w:b/>
                <w:szCs w:val="24"/>
              </w:rPr>
              <w:t>表7-29  污染影响型敏感程度分级表</w:t>
            </w:r>
          </w:p>
          <w:tbl>
            <w:tblPr>
              <w:tblStyle w:val="30"/>
              <w:tblW w:w="8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2"/>
              <w:gridCol w:w="6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pPr>
                    <w:adjustRightInd w:val="0"/>
                    <w:snapToGrid w:val="0"/>
                    <w:jc w:val="center"/>
                    <w:rPr>
                      <w:b/>
                      <w:bCs/>
                      <w:sz w:val="21"/>
                      <w:szCs w:val="21"/>
                    </w:rPr>
                  </w:pPr>
                  <w:r>
                    <w:rPr>
                      <w:b/>
                      <w:bCs/>
                      <w:sz w:val="21"/>
                      <w:szCs w:val="21"/>
                    </w:rPr>
                    <w:t>敏感程度</w:t>
                  </w:r>
                </w:p>
              </w:tc>
              <w:tc>
                <w:tcPr>
                  <w:tcW w:w="6517" w:type="dxa"/>
                  <w:vAlign w:val="center"/>
                </w:tcPr>
                <w:p>
                  <w:pPr>
                    <w:adjustRightInd w:val="0"/>
                    <w:snapToGrid w:val="0"/>
                    <w:jc w:val="center"/>
                    <w:rPr>
                      <w:b/>
                      <w:bCs/>
                      <w:sz w:val="21"/>
                      <w:szCs w:val="21"/>
                    </w:rPr>
                  </w:pPr>
                  <w:r>
                    <w:rPr>
                      <w:b/>
                      <w:bCs/>
                      <w:sz w:val="21"/>
                      <w:szCs w:val="21"/>
                    </w:rPr>
                    <w:t>判断依据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pPr>
                    <w:adjustRightInd w:val="0"/>
                    <w:snapToGrid w:val="0"/>
                    <w:jc w:val="center"/>
                    <w:rPr>
                      <w:sz w:val="21"/>
                      <w:szCs w:val="21"/>
                    </w:rPr>
                  </w:pPr>
                  <w:r>
                    <w:rPr>
                      <w:sz w:val="21"/>
                      <w:szCs w:val="21"/>
                    </w:rPr>
                    <w:t>敏感</w:t>
                  </w:r>
                </w:p>
              </w:tc>
              <w:tc>
                <w:tcPr>
                  <w:tcW w:w="6517" w:type="dxa"/>
                  <w:vAlign w:val="center"/>
                </w:tcPr>
                <w:p>
                  <w:pPr>
                    <w:adjustRightInd w:val="0"/>
                    <w:snapToGrid w:val="0"/>
                    <w:jc w:val="center"/>
                    <w:rPr>
                      <w:sz w:val="21"/>
                      <w:szCs w:val="21"/>
                    </w:rPr>
                  </w:pPr>
                  <w:r>
                    <w:rPr>
                      <w:sz w:val="21"/>
                      <w:szCs w:val="21"/>
                    </w:rPr>
                    <w:t>建设项目周边存在耕地、园地、牧草地、饮用水水源或居民区、学校、医院、疗养院、养老院等土壤环境敏感目标的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pPr>
                    <w:adjustRightInd w:val="0"/>
                    <w:snapToGrid w:val="0"/>
                    <w:jc w:val="center"/>
                    <w:rPr>
                      <w:sz w:val="21"/>
                      <w:szCs w:val="21"/>
                    </w:rPr>
                  </w:pPr>
                  <w:r>
                    <w:rPr>
                      <w:sz w:val="21"/>
                      <w:szCs w:val="21"/>
                    </w:rPr>
                    <w:t>较敏感</w:t>
                  </w:r>
                </w:p>
              </w:tc>
              <w:tc>
                <w:tcPr>
                  <w:tcW w:w="6517" w:type="dxa"/>
                  <w:vAlign w:val="center"/>
                </w:tcPr>
                <w:p>
                  <w:pPr>
                    <w:adjustRightInd w:val="0"/>
                    <w:snapToGrid w:val="0"/>
                    <w:jc w:val="center"/>
                    <w:rPr>
                      <w:sz w:val="21"/>
                      <w:szCs w:val="21"/>
                    </w:rPr>
                  </w:pPr>
                  <w:r>
                    <w:rPr>
                      <w:sz w:val="21"/>
                      <w:szCs w:val="21"/>
                    </w:rPr>
                    <w:t>建设项目周边存在其他土壤环境敏感目标的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2" w:type="dxa"/>
                  <w:vAlign w:val="center"/>
                </w:tcPr>
                <w:p>
                  <w:pPr>
                    <w:adjustRightInd w:val="0"/>
                    <w:snapToGrid w:val="0"/>
                    <w:jc w:val="center"/>
                    <w:rPr>
                      <w:sz w:val="21"/>
                      <w:szCs w:val="21"/>
                    </w:rPr>
                  </w:pPr>
                  <w:r>
                    <w:rPr>
                      <w:sz w:val="21"/>
                      <w:szCs w:val="21"/>
                    </w:rPr>
                    <w:t>不敏感</w:t>
                  </w:r>
                </w:p>
              </w:tc>
              <w:tc>
                <w:tcPr>
                  <w:tcW w:w="6517" w:type="dxa"/>
                  <w:vAlign w:val="center"/>
                </w:tcPr>
                <w:p>
                  <w:pPr>
                    <w:adjustRightInd w:val="0"/>
                    <w:snapToGrid w:val="0"/>
                    <w:jc w:val="center"/>
                    <w:rPr>
                      <w:sz w:val="21"/>
                      <w:szCs w:val="21"/>
                    </w:rPr>
                  </w:pPr>
                  <w:r>
                    <w:rPr>
                      <w:sz w:val="21"/>
                      <w:szCs w:val="21"/>
                    </w:rPr>
                    <w:t>其他情况</w:t>
                  </w:r>
                </w:p>
              </w:tc>
            </w:tr>
          </w:tbl>
          <w:p>
            <w:pPr>
              <w:adjustRightInd w:val="0"/>
              <w:snapToGrid w:val="0"/>
              <w:spacing w:line="360" w:lineRule="auto"/>
              <w:ind w:firstLine="480" w:firstLineChars="200"/>
              <w:rPr>
                <w:bCs/>
              </w:rPr>
            </w:pPr>
            <w:r>
              <w:rPr>
                <w:bCs/>
              </w:rPr>
              <w:t>根据上述结论，本项目</w:t>
            </w:r>
            <w:r>
              <w:rPr>
                <w:rFonts w:hint="eastAsia"/>
                <w:bCs/>
              </w:rPr>
              <w:t>周边为空地，</w:t>
            </w:r>
            <w:r>
              <w:rPr>
                <w:bCs/>
              </w:rPr>
              <w:t>敏感</w:t>
            </w:r>
            <w:r>
              <w:rPr>
                <w:rFonts w:hint="eastAsia"/>
                <w:bCs/>
              </w:rPr>
              <w:t>程度</w:t>
            </w:r>
            <w:r>
              <w:rPr>
                <w:bCs/>
              </w:rPr>
              <w:t>为</w:t>
            </w:r>
            <w:r>
              <w:rPr>
                <w:rFonts w:hint="eastAsia"/>
                <w:bCs/>
              </w:rPr>
              <w:t>不</w:t>
            </w:r>
            <w:r>
              <w:rPr>
                <w:bCs/>
              </w:rPr>
              <w:t>敏感。</w:t>
            </w:r>
          </w:p>
          <w:p>
            <w:pPr>
              <w:adjustRightInd w:val="0"/>
              <w:snapToGrid w:val="0"/>
              <w:spacing w:line="360" w:lineRule="auto"/>
              <w:jc w:val="center"/>
              <w:rPr>
                <w:rFonts w:cs="Times New Roman"/>
                <w:b/>
                <w:szCs w:val="24"/>
              </w:rPr>
            </w:pPr>
            <w:r>
              <w:rPr>
                <w:rFonts w:cs="Times New Roman"/>
                <w:b/>
                <w:szCs w:val="24"/>
              </w:rPr>
              <w:t>表7-30  污染影响型评价工作等级划分表</w:t>
            </w:r>
          </w:p>
          <w:tbl>
            <w:tblPr>
              <w:tblStyle w:val="30"/>
              <w:tblW w:w="8296"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040"/>
              <w:gridCol w:w="766"/>
              <w:gridCol w:w="721"/>
              <w:gridCol w:w="756"/>
              <w:gridCol w:w="705"/>
              <w:gridCol w:w="681"/>
              <w:gridCol w:w="622"/>
              <w:gridCol w:w="651"/>
              <w:gridCol w:w="681"/>
              <w:gridCol w:w="673"/>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40" w:type="dxa"/>
                  <w:vMerge w:val="restart"/>
                  <w:vAlign w:val="center"/>
                </w:tcPr>
                <w:p>
                  <w:pPr>
                    <w:adjustRightInd w:val="0"/>
                    <w:snapToGrid w:val="0"/>
                    <w:jc w:val="center"/>
                    <w:rPr>
                      <w:sz w:val="21"/>
                      <w:szCs w:val="21"/>
                    </w:rPr>
                  </w:pPr>
                  <w:r>
                    <w:rPr>
                      <w:sz w:val="21"/>
                      <w:szCs w:val="21"/>
                    </w:rPr>
                    <mc:AlternateContent>
                      <mc:Choice Requires="wps">
                        <w:drawing>
                          <wp:anchor distT="0" distB="0" distL="114300" distR="114300" simplePos="0" relativeHeight="251662336" behindDoc="0" locked="0" layoutInCell="1" allowOverlap="1">
                            <wp:simplePos x="0" y="0"/>
                            <wp:positionH relativeFrom="column">
                              <wp:posOffset>-66040</wp:posOffset>
                            </wp:positionH>
                            <wp:positionV relativeFrom="paragraph">
                              <wp:posOffset>13335</wp:posOffset>
                            </wp:positionV>
                            <wp:extent cx="1268730" cy="224790"/>
                            <wp:effectExtent l="0" t="0" r="26670" b="22860"/>
                            <wp:wrapNone/>
                            <wp:docPr id="21" name="直接连接符 21"/>
                            <wp:cNvGraphicFramePr/>
                            <a:graphic xmlns:a="http://schemas.openxmlformats.org/drawingml/2006/main">
                              <a:graphicData uri="http://schemas.microsoft.com/office/word/2010/wordprocessingShape">
                                <wps:wsp>
                                  <wps:cNvCnPr/>
                                  <wps:spPr>
                                    <a:xfrm>
                                      <a:off x="0" y="0"/>
                                      <a:ext cx="1268730" cy="224790"/>
                                    </a:xfrm>
                                    <a:prstGeom prst="line">
                                      <a:avLst/>
                                    </a:prstGeom>
                                    <a:noFill/>
                                    <a:ln w="9525" cap="flat" cmpd="sng" algn="ctr">
                                      <a:solidFill>
                                        <a:schemeClr val="tx1"/>
                                      </a:solidFill>
                                      <a:prstDash val="solid"/>
                                    </a:ln>
                                  </wps:spPr>
                                  <wps:bodyPr/>
                                </wps:wsp>
                              </a:graphicData>
                            </a:graphic>
                          </wp:anchor>
                        </w:drawing>
                      </mc:Choice>
                      <mc:Fallback>
                        <w:pict>
                          <v:line id="_x0000_s1026" o:spid="_x0000_s1026" o:spt="20" style="position:absolute;left:0pt;margin-left:-5.2pt;margin-top:1.05pt;height:17.7pt;width:99.9pt;z-index:251662336;mso-width-relative:page;mso-height-relative:page;" filled="f" stroked="t" coordsize="21600,21600" o:gfxdata="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GCVItYAAAAIAQAADwAAAAAAAAABACAAAAAiAAAAZHJzL2Rvd25yZXYu&#10;eG1sUEsBAhQAFAAAAAgAh07iQJ0SNa/EAQAAUwMAAA4AAAAAAAAAAQAgAAAAJQEAAGRycy9lMm9E&#10;b2MueG1sUEsFBgAAAAAGAAYAWQEAAFsFAAAAAA==&#10;">
                            <v:fill on="f" focussize="0,0"/>
                            <v:stroke color="#000000 [3213]" joinstyle="round"/>
                            <v:imagedata o:title=""/>
                            <o:lock v:ext="edit" aspectratio="f"/>
                          </v:line>
                        </w:pict>
                      </mc:Fallback>
                    </mc:AlternateContent>
                  </w:r>
                  <w:r>
                    <w:rPr>
                      <w:sz w:val="21"/>
                      <w:szCs w:val="21"/>
                    </w:rPr>
                    <mc:AlternateContent>
                      <mc:Choice Requires="wps">
                        <w:drawing>
                          <wp:anchor distT="0" distB="0" distL="114300" distR="114300" simplePos="0" relativeHeight="251663360" behindDoc="0" locked="0" layoutInCell="1" allowOverlap="1">
                            <wp:simplePos x="0" y="0"/>
                            <wp:positionH relativeFrom="column">
                              <wp:posOffset>-86360</wp:posOffset>
                            </wp:positionH>
                            <wp:positionV relativeFrom="paragraph">
                              <wp:posOffset>-8255</wp:posOffset>
                            </wp:positionV>
                            <wp:extent cx="909320" cy="679450"/>
                            <wp:effectExtent l="0" t="0" r="24130" b="25400"/>
                            <wp:wrapNone/>
                            <wp:docPr id="14" name="直接箭头连接符 14"/>
                            <wp:cNvGraphicFramePr/>
                            <a:graphic xmlns:a="http://schemas.openxmlformats.org/drawingml/2006/main">
                              <a:graphicData uri="http://schemas.microsoft.com/office/word/2010/wordprocessingShape">
                                <wps:wsp>
                                  <wps:cNvCnPr>
                                    <a:cxnSpLocks noChangeShapeType="1"/>
                                  </wps:cNvCnPr>
                                  <wps:spPr bwMode="auto">
                                    <a:xfrm>
                                      <a:off x="0" y="0"/>
                                      <a:ext cx="909320" cy="679450"/>
                                    </a:xfrm>
                                    <a:prstGeom prst="straightConnector1">
                                      <a:avLst/>
                                    </a:prstGeom>
                                    <a:noFill/>
                                    <a:ln w="9525">
                                      <a:solidFill>
                                        <a:schemeClr val="tx1"/>
                                      </a:solidFill>
                                      <a:round/>
                                    </a:ln>
                                  </wps:spPr>
                                  <wps:bodyPr/>
                                </wps:wsp>
                              </a:graphicData>
                            </a:graphic>
                          </wp:anchor>
                        </w:drawing>
                      </mc:Choice>
                      <mc:Fallback>
                        <w:pict>
                          <v:shape id="_x0000_s1026" o:spid="_x0000_s1026" o:spt="32" type="#_x0000_t32" style="position:absolute;left:0pt;margin-left:-6.8pt;margin-top:-0.65pt;height:53.5pt;width:71.6pt;z-index:251663360;mso-width-relative:page;mso-height-relative:page;" filled="f" stroked="t" coordsize="21600,21600" o:gfxdata="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5hDMY1wAAAAoBAAAP&#10;AAAAAAAAAAEAIAAAACIAAABkcnMvZG93bnJldi54bWxQSwECFAAUAAAACACHTuJASX1M5uABAAB2&#10;AwAADgAAAAAAAAABACAAAAAmAQAAZHJzL2Uyb0RvYy54bWxQSwUGAAAAAAYABgBZAQAAeAUAAAAA&#10;">
                            <v:fill on="f" focussize="0,0"/>
                            <v:stroke color="#000000 [3213]" joinstyle="round"/>
                            <v:imagedata o:title=""/>
                            <o:lock v:ext="edit" aspectratio="f"/>
                          </v:shape>
                        </w:pict>
                      </mc:Fallback>
                    </mc:AlternateContent>
                  </w:r>
                  <w:r>
                    <w:rPr>
                      <w:sz w:val="21"/>
                      <w:szCs w:val="21"/>
                    </w:rPr>
                    <w:t xml:space="preserve">        占地规模</w:t>
                  </w:r>
                </w:p>
                <w:p>
                  <w:pPr>
                    <w:pStyle w:val="29"/>
                    <w:tabs>
                      <w:tab w:val="left" w:pos="420"/>
                      <w:tab w:val="left" w:pos="870"/>
                      <w:tab w:val="left" w:pos="3150"/>
                    </w:tabs>
                    <w:adjustRightInd w:val="0"/>
                    <w:snapToGrid w:val="0"/>
                    <w:ind w:left="0" w:leftChars="0" w:firstLine="630" w:firstLineChars="300"/>
                    <w:rPr>
                      <w:szCs w:val="21"/>
                    </w:rPr>
                  </w:pPr>
                  <w:r>
                    <w:rPr>
                      <w:szCs w:val="21"/>
                    </w:rPr>
                    <w:t>评价等级</w:t>
                  </w:r>
                </w:p>
                <w:p>
                  <w:pPr>
                    <w:pStyle w:val="29"/>
                    <w:tabs>
                      <w:tab w:val="left" w:pos="420"/>
                      <w:tab w:val="left" w:pos="870"/>
                      <w:tab w:val="left" w:pos="3150"/>
                    </w:tabs>
                    <w:adjustRightInd w:val="0"/>
                    <w:snapToGrid w:val="0"/>
                    <w:ind w:left="0" w:leftChars="0" w:firstLine="0" w:firstLineChars="0"/>
                    <w:rPr>
                      <w:szCs w:val="21"/>
                    </w:rPr>
                  </w:pPr>
                  <w:r>
                    <w:rPr>
                      <w:szCs w:val="21"/>
                    </w:rPr>
                    <w:t>敏感程度</w:t>
                  </w:r>
                </w:p>
              </w:tc>
              <w:tc>
                <w:tcPr>
                  <w:tcW w:w="2243" w:type="dxa"/>
                  <w:gridSpan w:val="3"/>
                  <w:vAlign w:val="center"/>
                </w:tcPr>
                <w:p>
                  <w:pPr>
                    <w:adjustRightInd w:val="0"/>
                    <w:jc w:val="center"/>
                    <w:rPr>
                      <w:sz w:val="21"/>
                      <w:szCs w:val="21"/>
                    </w:rPr>
                  </w:pPr>
                  <w:r>
                    <w:rPr>
                      <w:rFonts w:hint="eastAsia" w:ascii="宋体" w:hAnsi="宋体" w:cs="宋体"/>
                      <w:sz w:val="21"/>
                      <w:szCs w:val="21"/>
                    </w:rPr>
                    <w:t>Ⅰ</w:t>
                  </w:r>
                  <w:r>
                    <w:rPr>
                      <w:sz w:val="21"/>
                      <w:szCs w:val="21"/>
                    </w:rPr>
                    <w:t>类</w:t>
                  </w:r>
                </w:p>
              </w:tc>
              <w:tc>
                <w:tcPr>
                  <w:tcW w:w="2008" w:type="dxa"/>
                  <w:gridSpan w:val="3"/>
                  <w:vAlign w:val="center"/>
                </w:tcPr>
                <w:p>
                  <w:pPr>
                    <w:adjustRightInd w:val="0"/>
                    <w:jc w:val="center"/>
                    <w:rPr>
                      <w:sz w:val="21"/>
                      <w:szCs w:val="21"/>
                    </w:rPr>
                  </w:pPr>
                  <w:r>
                    <w:rPr>
                      <w:rFonts w:hint="eastAsia" w:ascii="宋体" w:hAnsi="宋体" w:cs="宋体"/>
                      <w:bCs/>
                      <w:sz w:val="21"/>
                      <w:szCs w:val="21"/>
                    </w:rPr>
                    <w:t>Ⅱ</w:t>
                  </w:r>
                  <w:r>
                    <w:rPr>
                      <w:bCs/>
                      <w:sz w:val="21"/>
                      <w:szCs w:val="21"/>
                    </w:rPr>
                    <w:t>类</w:t>
                  </w:r>
                </w:p>
              </w:tc>
              <w:tc>
                <w:tcPr>
                  <w:tcW w:w="2005" w:type="dxa"/>
                  <w:gridSpan w:val="3"/>
                  <w:vAlign w:val="center"/>
                </w:tcPr>
                <w:p>
                  <w:pPr>
                    <w:adjustRightInd w:val="0"/>
                    <w:jc w:val="center"/>
                    <w:rPr>
                      <w:sz w:val="21"/>
                      <w:szCs w:val="21"/>
                    </w:rPr>
                  </w:pPr>
                  <w:r>
                    <w:rPr>
                      <w:rFonts w:hint="eastAsia" w:ascii="宋体" w:hAnsi="宋体" w:cs="宋体"/>
                      <w:b/>
                      <w:bCs/>
                      <w:sz w:val="21"/>
                      <w:szCs w:val="21"/>
                    </w:rPr>
                    <w:t>Ⅲ</w:t>
                  </w:r>
                  <w:r>
                    <w:rPr>
                      <w:b/>
                      <w:bCs/>
                      <w:sz w:val="21"/>
                      <w:szCs w:val="21"/>
                    </w:rPr>
                    <w:t>类</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040" w:type="dxa"/>
                  <w:vMerge w:val="continue"/>
                  <w:vAlign w:val="center"/>
                </w:tcPr>
                <w:p>
                  <w:pPr>
                    <w:adjustRightInd w:val="0"/>
                    <w:snapToGrid w:val="0"/>
                    <w:jc w:val="center"/>
                    <w:rPr>
                      <w:sz w:val="21"/>
                      <w:szCs w:val="21"/>
                    </w:rPr>
                  </w:pPr>
                </w:p>
              </w:tc>
              <w:tc>
                <w:tcPr>
                  <w:tcW w:w="766" w:type="dxa"/>
                  <w:vAlign w:val="center"/>
                </w:tcPr>
                <w:p>
                  <w:pPr>
                    <w:adjustRightInd w:val="0"/>
                    <w:jc w:val="center"/>
                    <w:rPr>
                      <w:sz w:val="21"/>
                      <w:szCs w:val="21"/>
                    </w:rPr>
                  </w:pPr>
                  <w:r>
                    <w:rPr>
                      <w:sz w:val="21"/>
                      <w:szCs w:val="21"/>
                    </w:rPr>
                    <w:t>大</w:t>
                  </w:r>
                </w:p>
              </w:tc>
              <w:tc>
                <w:tcPr>
                  <w:tcW w:w="721" w:type="dxa"/>
                  <w:vAlign w:val="center"/>
                </w:tcPr>
                <w:p>
                  <w:pPr>
                    <w:adjustRightInd w:val="0"/>
                    <w:jc w:val="center"/>
                    <w:rPr>
                      <w:sz w:val="21"/>
                      <w:szCs w:val="21"/>
                    </w:rPr>
                  </w:pPr>
                  <w:r>
                    <w:rPr>
                      <w:sz w:val="21"/>
                      <w:szCs w:val="21"/>
                    </w:rPr>
                    <w:t>中</w:t>
                  </w:r>
                </w:p>
              </w:tc>
              <w:tc>
                <w:tcPr>
                  <w:tcW w:w="756" w:type="dxa"/>
                  <w:vAlign w:val="center"/>
                </w:tcPr>
                <w:p>
                  <w:pPr>
                    <w:adjustRightInd w:val="0"/>
                    <w:jc w:val="center"/>
                    <w:rPr>
                      <w:sz w:val="21"/>
                      <w:szCs w:val="21"/>
                    </w:rPr>
                  </w:pPr>
                  <w:r>
                    <w:rPr>
                      <w:sz w:val="21"/>
                      <w:szCs w:val="21"/>
                    </w:rPr>
                    <w:t>小</w:t>
                  </w:r>
                </w:p>
              </w:tc>
              <w:tc>
                <w:tcPr>
                  <w:tcW w:w="705" w:type="dxa"/>
                  <w:vAlign w:val="center"/>
                </w:tcPr>
                <w:p>
                  <w:pPr>
                    <w:adjustRightInd w:val="0"/>
                    <w:jc w:val="center"/>
                    <w:rPr>
                      <w:sz w:val="21"/>
                      <w:szCs w:val="21"/>
                    </w:rPr>
                  </w:pPr>
                  <w:r>
                    <w:rPr>
                      <w:sz w:val="21"/>
                      <w:szCs w:val="21"/>
                    </w:rPr>
                    <w:t>大</w:t>
                  </w:r>
                </w:p>
              </w:tc>
              <w:tc>
                <w:tcPr>
                  <w:tcW w:w="681" w:type="dxa"/>
                  <w:vAlign w:val="center"/>
                </w:tcPr>
                <w:p>
                  <w:pPr>
                    <w:adjustRightInd w:val="0"/>
                    <w:jc w:val="center"/>
                    <w:rPr>
                      <w:rFonts w:eastAsia="TimesNewRoman"/>
                      <w:bCs/>
                      <w:sz w:val="21"/>
                      <w:szCs w:val="21"/>
                    </w:rPr>
                  </w:pPr>
                  <w:r>
                    <w:rPr>
                      <w:sz w:val="21"/>
                      <w:szCs w:val="21"/>
                    </w:rPr>
                    <w:t>中</w:t>
                  </w:r>
                </w:p>
              </w:tc>
              <w:tc>
                <w:tcPr>
                  <w:tcW w:w="622" w:type="dxa"/>
                  <w:vAlign w:val="center"/>
                </w:tcPr>
                <w:p>
                  <w:pPr>
                    <w:adjustRightInd w:val="0"/>
                    <w:jc w:val="center"/>
                    <w:rPr>
                      <w:rFonts w:eastAsia="TimesNewRoman"/>
                      <w:bCs/>
                      <w:sz w:val="21"/>
                      <w:szCs w:val="21"/>
                    </w:rPr>
                  </w:pPr>
                  <w:r>
                    <w:rPr>
                      <w:sz w:val="21"/>
                      <w:szCs w:val="21"/>
                    </w:rPr>
                    <w:t>小</w:t>
                  </w:r>
                </w:p>
              </w:tc>
              <w:tc>
                <w:tcPr>
                  <w:tcW w:w="651" w:type="dxa"/>
                  <w:vAlign w:val="center"/>
                </w:tcPr>
                <w:p>
                  <w:pPr>
                    <w:adjustRightInd w:val="0"/>
                    <w:jc w:val="center"/>
                    <w:rPr>
                      <w:sz w:val="21"/>
                      <w:szCs w:val="21"/>
                    </w:rPr>
                  </w:pPr>
                  <w:r>
                    <w:rPr>
                      <w:sz w:val="21"/>
                      <w:szCs w:val="21"/>
                    </w:rPr>
                    <w:t>大</w:t>
                  </w:r>
                </w:p>
              </w:tc>
              <w:tc>
                <w:tcPr>
                  <w:tcW w:w="681" w:type="dxa"/>
                  <w:vAlign w:val="center"/>
                </w:tcPr>
                <w:p>
                  <w:pPr>
                    <w:adjustRightInd w:val="0"/>
                    <w:jc w:val="center"/>
                    <w:rPr>
                      <w:rFonts w:eastAsia="TimesNewRoman"/>
                      <w:sz w:val="21"/>
                      <w:szCs w:val="21"/>
                    </w:rPr>
                  </w:pPr>
                  <w:r>
                    <w:rPr>
                      <w:sz w:val="21"/>
                      <w:szCs w:val="21"/>
                    </w:rPr>
                    <w:t>中</w:t>
                  </w:r>
                </w:p>
              </w:tc>
              <w:tc>
                <w:tcPr>
                  <w:tcW w:w="673" w:type="dxa"/>
                  <w:vAlign w:val="center"/>
                </w:tcPr>
                <w:p>
                  <w:pPr>
                    <w:adjustRightInd w:val="0"/>
                    <w:jc w:val="center"/>
                    <w:rPr>
                      <w:rFonts w:eastAsia="TimesNewRoman"/>
                      <w:b/>
                      <w:bCs/>
                      <w:sz w:val="21"/>
                      <w:szCs w:val="21"/>
                    </w:rPr>
                  </w:pPr>
                  <w:r>
                    <w:rPr>
                      <w:b/>
                      <w:bCs/>
                      <w:sz w:val="21"/>
                      <w:szCs w:val="21"/>
                    </w:rPr>
                    <w:t>小</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2040" w:type="dxa"/>
                  <w:vAlign w:val="center"/>
                </w:tcPr>
                <w:p>
                  <w:pPr>
                    <w:adjustRightInd w:val="0"/>
                    <w:snapToGrid w:val="0"/>
                    <w:jc w:val="center"/>
                    <w:rPr>
                      <w:bCs/>
                      <w:sz w:val="21"/>
                      <w:szCs w:val="21"/>
                    </w:rPr>
                  </w:pPr>
                  <w:r>
                    <w:rPr>
                      <w:bCs/>
                      <w:sz w:val="21"/>
                      <w:szCs w:val="21"/>
                    </w:rPr>
                    <w:t>敏感</w:t>
                  </w:r>
                </w:p>
              </w:tc>
              <w:tc>
                <w:tcPr>
                  <w:tcW w:w="766" w:type="dxa"/>
                  <w:vAlign w:val="center"/>
                </w:tcPr>
                <w:p>
                  <w:pPr>
                    <w:adjustRightInd w:val="0"/>
                    <w:jc w:val="center"/>
                    <w:rPr>
                      <w:sz w:val="21"/>
                      <w:szCs w:val="21"/>
                    </w:rPr>
                  </w:pPr>
                  <w:r>
                    <w:rPr>
                      <w:sz w:val="21"/>
                      <w:szCs w:val="21"/>
                    </w:rPr>
                    <w:t>一级</w:t>
                  </w:r>
                </w:p>
              </w:tc>
              <w:tc>
                <w:tcPr>
                  <w:tcW w:w="721" w:type="dxa"/>
                  <w:vAlign w:val="center"/>
                </w:tcPr>
                <w:p>
                  <w:pPr>
                    <w:adjustRightInd w:val="0"/>
                    <w:jc w:val="center"/>
                    <w:rPr>
                      <w:rFonts w:eastAsia="TimesNewRoman"/>
                      <w:sz w:val="21"/>
                      <w:szCs w:val="21"/>
                    </w:rPr>
                  </w:pPr>
                  <w:r>
                    <w:rPr>
                      <w:sz w:val="21"/>
                      <w:szCs w:val="21"/>
                    </w:rPr>
                    <w:t>一级</w:t>
                  </w:r>
                </w:p>
              </w:tc>
              <w:tc>
                <w:tcPr>
                  <w:tcW w:w="756" w:type="dxa"/>
                  <w:vAlign w:val="center"/>
                </w:tcPr>
                <w:p>
                  <w:pPr>
                    <w:adjustRightInd w:val="0"/>
                    <w:jc w:val="center"/>
                    <w:rPr>
                      <w:rFonts w:eastAsia="TimesNewRoman"/>
                      <w:sz w:val="21"/>
                      <w:szCs w:val="21"/>
                    </w:rPr>
                  </w:pPr>
                  <w:r>
                    <w:rPr>
                      <w:sz w:val="21"/>
                      <w:szCs w:val="21"/>
                    </w:rPr>
                    <w:t>一级</w:t>
                  </w:r>
                </w:p>
              </w:tc>
              <w:tc>
                <w:tcPr>
                  <w:tcW w:w="705" w:type="dxa"/>
                  <w:vAlign w:val="center"/>
                </w:tcPr>
                <w:p>
                  <w:pPr>
                    <w:jc w:val="center"/>
                    <w:rPr>
                      <w:rFonts w:eastAsia="TimesNewRoman"/>
                      <w:bCs/>
                      <w:sz w:val="21"/>
                      <w:szCs w:val="21"/>
                    </w:rPr>
                  </w:pPr>
                  <w:r>
                    <w:rPr>
                      <w:sz w:val="21"/>
                      <w:szCs w:val="21"/>
                    </w:rPr>
                    <w:t>二级</w:t>
                  </w:r>
                </w:p>
              </w:tc>
              <w:tc>
                <w:tcPr>
                  <w:tcW w:w="681" w:type="dxa"/>
                  <w:vAlign w:val="center"/>
                </w:tcPr>
                <w:p>
                  <w:pPr>
                    <w:jc w:val="center"/>
                    <w:rPr>
                      <w:rFonts w:eastAsia="TimesNewRoman"/>
                      <w:bCs/>
                      <w:sz w:val="21"/>
                      <w:szCs w:val="21"/>
                    </w:rPr>
                  </w:pPr>
                  <w:r>
                    <w:rPr>
                      <w:sz w:val="21"/>
                      <w:szCs w:val="21"/>
                    </w:rPr>
                    <w:t>二级</w:t>
                  </w:r>
                </w:p>
              </w:tc>
              <w:tc>
                <w:tcPr>
                  <w:tcW w:w="622" w:type="dxa"/>
                  <w:vAlign w:val="center"/>
                </w:tcPr>
                <w:p>
                  <w:pPr>
                    <w:jc w:val="center"/>
                    <w:rPr>
                      <w:rFonts w:eastAsia="TimesNewRoman"/>
                      <w:bCs/>
                      <w:sz w:val="21"/>
                      <w:szCs w:val="21"/>
                    </w:rPr>
                  </w:pPr>
                  <w:r>
                    <w:rPr>
                      <w:sz w:val="21"/>
                      <w:szCs w:val="21"/>
                    </w:rPr>
                    <w:t>二级</w:t>
                  </w:r>
                </w:p>
              </w:tc>
              <w:tc>
                <w:tcPr>
                  <w:tcW w:w="651" w:type="dxa"/>
                  <w:vAlign w:val="center"/>
                </w:tcPr>
                <w:p>
                  <w:pPr>
                    <w:adjustRightInd w:val="0"/>
                    <w:jc w:val="center"/>
                    <w:rPr>
                      <w:rFonts w:eastAsia="TimesNewRoman"/>
                      <w:sz w:val="21"/>
                      <w:szCs w:val="21"/>
                    </w:rPr>
                  </w:pPr>
                  <w:r>
                    <w:rPr>
                      <w:sz w:val="21"/>
                      <w:szCs w:val="21"/>
                    </w:rPr>
                    <w:t>三级</w:t>
                  </w:r>
                </w:p>
              </w:tc>
              <w:tc>
                <w:tcPr>
                  <w:tcW w:w="681" w:type="dxa"/>
                  <w:vAlign w:val="center"/>
                </w:tcPr>
                <w:p>
                  <w:pPr>
                    <w:adjustRightInd w:val="0"/>
                    <w:jc w:val="center"/>
                    <w:rPr>
                      <w:rFonts w:eastAsia="TimesNewRoman"/>
                      <w:sz w:val="21"/>
                      <w:szCs w:val="21"/>
                    </w:rPr>
                  </w:pPr>
                  <w:r>
                    <w:rPr>
                      <w:sz w:val="21"/>
                      <w:szCs w:val="21"/>
                    </w:rPr>
                    <w:t>三级</w:t>
                  </w:r>
                </w:p>
              </w:tc>
              <w:tc>
                <w:tcPr>
                  <w:tcW w:w="673" w:type="dxa"/>
                  <w:vAlign w:val="center"/>
                </w:tcPr>
                <w:p>
                  <w:pPr>
                    <w:adjustRightInd w:val="0"/>
                    <w:jc w:val="center"/>
                    <w:rPr>
                      <w:rFonts w:eastAsia="TimesNewRoman"/>
                      <w:sz w:val="21"/>
                      <w:szCs w:val="21"/>
                    </w:rPr>
                  </w:pPr>
                  <w:r>
                    <w:rPr>
                      <w:sz w:val="21"/>
                      <w:szCs w:val="21"/>
                    </w:rPr>
                    <w:t>三级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040" w:type="dxa"/>
                  <w:vAlign w:val="center"/>
                </w:tcPr>
                <w:p>
                  <w:pPr>
                    <w:adjustRightInd w:val="0"/>
                    <w:jc w:val="center"/>
                    <w:rPr>
                      <w:sz w:val="21"/>
                      <w:szCs w:val="21"/>
                    </w:rPr>
                  </w:pPr>
                  <w:r>
                    <w:rPr>
                      <w:sz w:val="21"/>
                      <w:szCs w:val="21"/>
                    </w:rPr>
                    <w:t>较敏感</w:t>
                  </w:r>
                </w:p>
              </w:tc>
              <w:tc>
                <w:tcPr>
                  <w:tcW w:w="766" w:type="dxa"/>
                  <w:vAlign w:val="center"/>
                </w:tcPr>
                <w:p>
                  <w:pPr>
                    <w:adjustRightInd w:val="0"/>
                    <w:jc w:val="center"/>
                    <w:rPr>
                      <w:rFonts w:eastAsia="TimesNewRoman"/>
                      <w:sz w:val="21"/>
                      <w:szCs w:val="21"/>
                    </w:rPr>
                  </w:pPr>
                  <w:r>
                    <w:rPr>
                      <w:sz w:val="21"/>
                      <w:szCs w:val="21"/>
                    </w:rPr>
                    <w:t>一级</w:t>
                  </w:r>
                </w:p>
              </w:tc>
              <w:tc>
                <w:tcPr>
                  <w:tcW w:w="721" w:type="dxa"/>
                  <w:vAlign w:val="center"/>
                </w:tcPr>
                <w:p>
                  <w:pPr>
                    <w:adjustRightInd w:val="0"/>
                    <w:jc w:val="center"/>
                    <w:rPr>
                      <w:rFonts w:eastAsia="TimesNewRoman"/>
                      <w:sz w:val="21"/>
                      <w:szCs w:val="21"/>
                    </w:rPr>
                  </w:pPr>
                  <w:r>
                    <w:rPr>
                      <w:sz w:val="21"/>
                      <w:szCs w:val="21"/>
                    </w:rPr>
                    <w:t>一级</w:t>
                  </w:r>
                </w:p>
              </w:tc>
              <w:tc>
                <w:tcPr>
                  <w:tcW w:w="756" w:type="dxa"/>
                  <w:vAlign w:val="center"/>
                </w:tcPr>
                <w:p>
                  <w:pPr>
                    <w:adjustRightInd w:val="0"/>
                    <w:jc w:val="center"/>
                    <w:rPr>
                      <w:sz w:val="21"/>
                      <w:szCs w:val="21"/>
                    </w:rPr>
                  </w:pPr>
                  <w:r>
                    <w:rPr>
                      <w:sz w:val="21"/>
                      <w:szCs w:val="21"/>
                    </w:rPr>
                    <w:t>二级</w:t>
                  </w:r>
                </w:p>
              </w:tc>
              <w:tc>
                <w:tcPr>
                  <w:tcW w:w="705" w:type="dxa"/>
                  <w:vAlign w:val="center"/>
                </w:tcPr>
                <w:p>
                  <w:pPr>
                    <w:jc w:val="center"/>
                    <w:rPr>
                      <w:rFonts w:eastAsia="TimesNewRoman"/>
                      <w:bCs/>
                      <w:sz w:val="21"/>
                      <w:szCs w:val="21"/>
                    </w:rPr>
                  </w:pPr>
                  <w:r>
                    <w:rPr>
                      <w:sz w:val="21"/>
                      <w:szCs w:val="21"/>
                    </w:rPr>
                    <w:t>二级</w:t>
                  </w:r>
                </w:p>
              </w:tc>
              <w:tc>
                <w:tcPr>
                  <w:tcW w:w="681" w:type="dxa"/>
                  <w:vAlign w:val="center"/>
                </w:tcPr>
                <w:p>
                  <w:pPr>
                    <w:jc w:val="center"/>
                    <w:rPr>
                      <w:rFonts w:eastAsia="TimesNewRoman"/>
                      <w:bCs/>
                      <w:sz w:val="21"/>
                      <w:szCs w:val="21"/>
                    </w:rPr>
                  </w:pPr>
                  <w:r>
                    <w:rPr>
                      <w:sz w:val="21"/>
                      <w:szCs w:val="21"/>
                    </w:rPr>
                    <w:t>二级</w:t>
                  </w:r>
                </w:p>
              </w:tc>
              <w:tc>
                <w:tcPr>
                  <w:tcW w:w="622" w:type="dxa"/>
                  <w:vAlign w:val="center"/>
                </w:tcPr>
                <w:p>
                  <w:pPr>
                    <w:jc w:val="center"/>
                    <w:rPr>
                      <w:rFonts w:eastAsia="TimesNewRoman"/>
                      <w:bCs/>
                      <w:sz w:val="21"/>
                      <w:szCs w:val="21"/>
                    </w:rPr>
                  </w:pPr>
                  <w:r>
                    <w:rPr>
                      <w:sz w:val="21"/>
                      <w:szCs w:val="21"/>
                    </w:rPr>
                    <w:t>三级</w:t>
                  </w:r>
                </w:p>
              </w:tc>
              <w:tc>
                <w:tcPr>
                  <w:tcW w:w="651" w:type="dxa"/>
                  <w:vAlign w:val="center"/>
                </w:tcPr>
                <w:p>
                  <w:pPr>
                    <w:adjustRightInd w:val="0"/>
                    <w:jc w:val="center"/>
                    <w:rPr>
                      <w:rFonts w:eastAsia="TimesNewRoman"/>
                      <w:sz w:val="21"/>
                      <w:szCs w:val="21"/>
                    </w:rPr>
                  </w:pPr>
                  <w:r>
                    <w:rPr>
                      <w:sz w:val="21"/>
                      <w:szCs w:val="21"/>
                    </w:rPr>
                    <w:t>三级</w:t>
                  </w:r>
                </w:p>
              </w:tc>
              <w:tc>
                <w:tcPr>
                  <w:tcW w:w="681" w:type="dxa"/>
                  <w:vAlign w:val="center"/>
                </w:tcPr>
                <w:p>
                  <w:pPr>
                    <w:adjustRightInd w:val="0"/>
                    <w:jc w:val="center"/>
                    <w:rPr>
                      <w:rFonts w:eastAsia="TimesNewRoman"/>
                      <w:sz w:val="21"/>
                      <w:szCs w:val="21"/>
                    </w:rPr>
                  </w:pPr>
                  <w:r>
                    <w:rPr>
                      <w:sz w:val="21"/>
                      <w:szCs w:val="21"/>
                    </w:rPr>
                    <w:t>三级</w:t>
                  </w:r>
                </w:p>
              </w:tc>
              <w:tc>
                <w:tcPr>
                  <w:tcW w:w="673" w:type="dxa"/>
                  <w:vAlign w:val="center"/>
                </w:tcPr>
                <w:p>
                  <w:pPr>
                    <w:adjustRightInd w:val="0"/>
                    <w:jc w:val="center"/>
                    <w:rPr>
                      <w:sz w:val="21"/>
                      <w:szCs w:val="21"/>
                    </w:rPr>
                  </w:pPr>
                  <w:r>
                    <w:rPr>
                      <w:sz w:val="21"/>
                      <w:szCs w:val="21"/>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40" w:type="dxa"/>
                  <w:vAlign w:val="center"/>
                </w:tcPr>
                <w:p>
                  <w:pPr>
                    <w:adjustRightInd w:val="0"/>
                    <w:jc w:val="center"/>
                    <w:rPr>
                      <w:b/>
                      <w:sz w:val="21"/>
                      <w:szCs w:val="21"/>
                    </w:rPr>
                  </w:pPr>
                  <w:r>
                    <w:rPr>
                      <w:b/>
                      <w:sz w:val="21"/>
                      <w:szCs w:val="21"/>
                    </w:rPr>
                    <w:t>不敏感</w:t>
                  </w:r>
                </w:p>
              </w:tc>
              <w:tc>
                <w:tcPr>
                  <w:tcW w:w="766" w:type="dxa"/>
                  <w:vAlign w:val="center"/>
                </w:tcPr>
                <w:p>
                  <w:pPr>
                    <w:adjustRightInd w:val="0"/>
                    <w:jc w:val="center"/>
                    <w:rPr>
                      <w:sz w:val="21"/>
                      <w:szCs w:val="21"/>
                    </w:rPr>
                  </w:pPr>
                  <w:r>
                    <w:rPr>
                      <w:sz w:val="21"/>
                      <w:szCs w:val="21"/>
                    </w:rPr>
                    <w:t>一级</w:t>
                  </w:r>
                </w:p>
              </w:tc>
              <w:tc>
                <w:tcPr>
                  <w:tcW w:w="721" w:type="dxa"/>
                  <w:vAlign w:val="center"/>
                </w:tcPr>
                <w:p>
                  <w:pPr>
                    <w:adjustRightInd w:val="0"/>
                    <w:jc w:val="center"/>
                    <w:rPr>
                      <w:sz w:val="21"/>
                      <w:szCs w:val="21"/>
                    </w:rPr>
                  </w:pPr>
                  <w:r>
                    <w:rPr>
                      <w:sz w:val="21"/>
                      <w:szCs w:val="21"/>
                    </w:rPr>
                    <w:t>二级</w:t>
                  </w:r>
                </w:p>
              </w:tc>
              <w:tc>
                <w:tcPr>
                  <w:tcW w:w="756" w:type="dxa"/>
                  <w:vAlign w:val="center"/>
                </w:tcPr>
                <w:p>
                  <w:pPr>
                    <w:adjustRightInd w:val="0"/>
                    <w:jc w:val="center"/>
                    <w:rPr>
                      <w:sz w:val="21"/>
                      <w:szCs w:val="21"/>
                    </w:rPr>
                  </w:pPr>
                  <w:r>
                    <w:rPr>
                      <w:sz w:val="21"/>
                      <w:szCs w:val="21"/>
                    </w:rPr>
                    <w:t>二级</w:t>
                  </w:r>
                </w:p>
              </w:tc>
              <w:tc>
                <w:tcPr>
                  <w:tcW w:w="705" w:type="dxa"/>
                  <w:vAlign w:val="center"/>
                </w:tcPr>
                <w:p>
                  <w:pPr>
                    <w:adjustRightInd w:val="0"/>
                    <w:jc w:val="center"/>
                    <w:rPr>
                      <w:sz w:val="21"/>
                      <w:szCs w:val="21"/>
                    </w:rPr>
                  </w:pPr>
                  <w:r>
                    <w:rPr>
                      <w:sz w:val="21"/>
                      <w:szCs w:val="21"/>
                    </w:rPr>
                    <w:t>二级</w:t>
                  </w:r>
                </w:p>
              </w:tc>
              <w:tc>
                <w:tcPr>
                  <w:tcW w:w="681" w:type="dxa"/>
                  <w:vAlign w:val="center"/>
                </w:tcPr>
                <w:p>
                  <w:pPr>
                    <w:adjustRightInd w:val="0"/>
                    <w:jc w:val="center"/>
                    <w:rPr>
                      <w:sz w:val="21"/>
                      <w:szCs w:val="21"/>
                    </w:rPr>
                  </w:pPr>
                  <w:r>
                    <w:rPr>
                      <w:sz w:val="21"/>
                      <w:szCs w:val="21"/>
                    </w:rPr>
                    <w:t>三级</w:t>
                  </w:r>
                </w:p>
              </w:tc>
              <w:tc>
                <w:tcPr>
                  <w:tcW w:w="622" w:type="dxa"/>
                  <w:vAlign w:val="center"/>
                </w:tcPr>
                <w:p>
                  <w:pPr>
                    <w:adjustRightInd w:val="0"/>
                    <w:jc w:val="center"/>
                    <w:rPr>
                      <w:rFonts w:eastAsia="TimesNewRoman"/>
                      <w:sz w:val="21"/>
                      <w:szCs w:val="21"/>
                    </w:rPr>
                  </w:pPr>
                  <w:r>
                    <w:rPr>
                      <w:sz w:val="21"/>
                      <w:szCs w:val="21"/>
                    </w:rPr>
                    <w:t>三级</w:t>
                  </w:r>
                </w:p>
              </w:tc>
              <w:tc>
                <w:tcPr>
                  <w:tcW w:w="651" w:type="dxa"/>
                  <w:vAlign w:val="center"/>
                </w:tcPr>
                <w:p>
                  <w:pPr>
                    <w:adjustRightInd w:val="0"/>
                    <w:jc w:val="center"/>
                    <w:rPr>
                      <w:sz w:val="21"/>
                      <w:szCs w:val="21"/>
                    </w:rPr>
                  </w:pPr>
                  <w:r>
                    <w:rPr>
                      <w:sz w:val="21"/>
                      <w:szCs w:val="21"/>
                    </w:rPr>
                    <w:t>三级</w:t>
                  </w:r>
                </w:p>
              </w:tc>
              <w:tc>
                <w:tcPr>
                  <w:tcW w:w="681" w:type="dxa"/>
                  <w:vAlign w:val="center"/>
                </w:tcPr>
                <w:p>
                  <w:pPr>
                    <w:adjustRightInd w:val="0"/>
                    <w:jc w:val="center"/>
                    <w:rPr>
                      <w:sz w:val="21"/>
                      <w:szCs w:val="21"/>
                    </w:rPr>
                  </w:pPr>
                  <w:r>
                    <w:rPr>
                      <w:sz w:val="21"/>
                      <w:szCs w:val="21"/>
                    </w:rPr>
                    <w:t>-</w:t>
                  </w:r>
                </w:p>
              </w:tc>
              <w:tc>
                <w:tcPr>
                  <w:tcW w:w="673" w:type="dxa"/>
                  <w:vAlign w:val="center"/>
                </w:tcPr>
                <w:p>
                  <w:pPr>
                    <w:adjustRightInd w:val="0"/>
                    <w:jc w:val="center"/>
                    <w:rPr>
                      <w:b/>
                      <w:bCs/>
                      <w:sz w:val="21"/>
                      <w:szCs w:val="21"/>
                    </w:rPr>
                  </w:pPr>
                  <w:r>
                    <w:rPr>
                      <w:b/>
                      <w:bCs/>
                      <w:sz w:val="21"/>
                      <w:szCs w:val="21"/>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96" w:type="dxa"/>
                  <w:gridSpan w:val="10"/>
                  <w:vAlign w:val="center"/>
                </w:tcPr>
                <w:p>
                  <w:pPr>
                    <w:adjustRightInd w:val="0"/>
                    <w:ind w:firstLine="420" w:firstLineChars="200"/>
                    <w:rPr>
                      <w:sz w:val="21"/>
                      <w:szCs w:val="21"/>
                    </w:rPr>
                  </w:pPr>
                  <w:r>
                    <w:rPr>
                      <w:sz w:val="21"/>
                      <w:szCs w:val="21"/>
                    </w:rPr>
                    <w:t>注：“-”表示可不开展环境影响评价工作。</w:t>
                  </w:r>
                </w:p>
              </w:tc>
            </w:tr>
          </w:tbl>
          <w:p>
            <w:pPr>
              <w:adjustRightInd w:val="0"/>
              <w:snapToGrid w:val="0"/>
              <w:spacing w:line="480" w:lineRule="exact"/>
              <w:ind w:firstLine="482" w:firstLineChars="200"/>
              <w:jc w:val="left"/>
              <w:rPr>
                <w:b/>
              </w:rPr>
            </w:pPr>
            <w:r>
              <w:rPr>
                <w:b/>
              </w:rPr>
              <w:t>综上，本项目属于</w:t>
            </w:r>
            <w:r>
              <w:rPr>
                <w:rFonts w:hint="eastAsia" w:ascii="宋体" w:hAnsi="宋体" w:cs="宋体"/>
                <w:b/>
              </w:rPr>
              <w:t>Ⅲ</w:t>
            </w:r>
            <w:r>
              <w:rPr>
                <w:b/>
              </w:rPr>
              <w:t>类项目、占地为200m</w:t>
            </w:r>
            <w:r>
              <w:rPr>
                <w:b/>
                <w:vertAlign w:val="superscript"/>
              </w:rPr>
              <w:t>2</w:t>
            </w:r>
            <w:r>
              <w:rPr>
                <w:b/>
              </w:rPr>
              <w:t>，为小型项目</w:t>
            </w:r>
            <w:r>
              <w:rPr>
                <w:rFonts w:hint="eastAsia"/>
                <w:b/>
              </w:rPr>
              <w:t>；</w:t>
            </w:r>
            <w:r>
              <w:rPr>
                <w:b/>
              </w:rPr>
              <w:t>项目</w:t>
            </w:r>
            <w:r>
              <w:rPr>
                <w:rFonts w:hint="eastAsia"/>
                <w:b/>
              </w:rPr>
              <w:t>敏感程度</w:t>
            </w:r>
            <w:r>
              <w:rPr>
                <w:b/>
              </w:rPr>
              <w:t>为</w:t>
            </w:r>
            <w:r>
              <w:rPr>
                <w:rFonts w:hint="eastAsia"/>
                <w:b/>
              </w:rPr>
              <w:t>不</w:t>
            </w:r>
            <w:r>
              <w:rPr>
                <w:b/>
              </w:rPr>
              <w:t>敏感。根据表7-30可知，本项目评价工作等级为“</w:t>
            </w:r>
            <w:r>
              <w:rPr>
                <w:rFonts w:hint="eastAsia"/>
                <w:b/>
              </w:rPr>
              <w:t>-</w:t>
            </w:r>
            <w:r>
              <w:rPr>
                <w:b/>
              </w:rPr>
              <w:t>”，可不开展土壤环境影响评价工作。</w:t>
            </w:r>
          </w:p>
          <w:p>
            <w:pPr>
              <w:adjustRightInd w:val="0"/>
              <w:snapToGrid w:val="0"/>
              <w:spacing w:line="360" w:lineRule="auto"/>
              <w:ind w:firstLine="480" w:firstLineChars="200"/>
              <w:rPr>
                <w:rFonts w:cs="Times New Roman"/>
                <w:bCs/>
              </w:rPr>
            </w:pPr>
            <w:r>
              <w:rPr>
                <w:rFonts w:cs="Times New Roman"/>
                <w:bCs/>
              </w:rPr>
              <w:t>（2）土壤污染防治措施</w:t>
            </w:r>
          </w:p>
          <w:p>
            <w:pPr>
              <w:spacing w:line="360" w:lineRule="auto"/>
              <w:ind w:firstLine="480" w:firstLineChars="200"/>
            </w:pPr>
            <w:r>
              <w:t>本次评价拟对项目所在地土壤防治措施提出相应要求，具体要求如下：</w:t>
            </w:r>
          </w:p>
          <w:p>
            <w:pPr>
              <w:spacing w:line="360" w:lineRule="auto"/>
              <w:ind w:firstLine="480" w:firstLineChars="200"/>
            </w:pPr>
            <w:r>
              <w:t>1）污水站在运营中应加强污水管道及各类池体的维修管理，避免污水入渗土壤，导致土壤污染。</w:t>
            </w:r>
          </w:p>
          <w:p>
            <w:pPr>
              <w:adjustRightInd w:val="0"/>
              <w:snapToGrid w:val="0"/>
              <w:spacing w:line="360" w:lineRule="auto"/>
              <w:ind w:firstLine="480" w:firstLineChars="200"/>
            </w:pPr>
            <w:r>
              <w:t>2）环评建议将</w:t>
            </w:r>
            <w:r>
              <w:rPr>
                <w:rFonts w:hint="eastAsia"/>
              </w:rPr>
              <w:t>调节池</w:t>
            </w:r>
            <w:r>
              <w:t>兼为事故应急池，当污水处理站发生故障时，将废水导入应急池中暂存，当污水处理实施修缮好后再导入处理设施内进行处理，避免事故状态下废水外泄造成土壤污染。</w:t>
            </w:r>
          </w:p>
          <w:p>
            <w:pPr>
              <w:adjustRightInd w:val="0"/>
              <w:snapToGrid w:val="0"/>
              <w:spacing w:line="360" w:lineRule="auto"/>
              <w:ind w:firstLine="480" w:firstLineChars="200"/>
            </w:pPr>
            <w:r>
              <w:t>3）项目内采取一定的绿化措施；同时加强营运期场区内各类管道、池体的检查及维修管理。</w:t>
            </w:r>
          </w:p>
          <w:p>
            <w:pPr>
              <w:adjustRightInd w:val="0"/>
              <w:snapToGrid w:val="0"/>
              <w:spacing w:line="360" w:lineRule="auto"/>
              <w:ind w:firstLine="480" w:firstLineChars="200"/>
              <w:rPr>
                <w:rFonts w:cs="Times New Roman"/>
                <w:bCs/>
              </w:rPr>
            </w:pPr>
            <w:r>
              <w:rPr>
                <w:rFonts w:cs="Times New Roman"/>
                <w:bCs/>
              </w:rPr>
              <w:t>（3）土壤环境影响评价结论</w:t>
            </w:r>
          </w:p>
          <w:p>
            <w:pPr>
              <w:adjustRightInd w:val="0"/>
              <w:snapToGrid w:val="0"/>
              <w:spacing w:line="360" w:lineRule="auto"/>
              <w:ind w:firstLine="480" w:firstLineChars="200"/>
              <w:jc w:val="left"/>
              <w:rPr>
                <w:kern w:val="0"/>
              </w:rPr>
            </w:pPr>
            <w:r>
              <w:t>本</w:t>
            </w:r>
            <w:r>
              <w:rPr>
                <w:kern w:val="0"/>
              </w:rPr>
              <w:t>项目污水经污水处理站处理后pH、</w:t>
            </w:r>
            <w:r>
              <w:t>COD、BOD</w:t>
            </w:r>
            <w:r>
              <w:rPr>
                <w:vertAlign w:val="subscript"/>
              </w:rPr>
              <w:t>5</w:t>
            </w:r>
            <w:r>
              <w:t>、NH</w:t>
            </w:r>
            <w:r>
              <w:rPr>
                <w:vertAlign w:val="subscript"/>
              </w:rPr>
              <w:t>3</w:t>
            </w:r>
            <w:r>
              <w:t>-N、SS均能达《农村生活污水处理设施水污染物排放标准》（DB51/ 2626-2019）一级标准后，达标排放。</w:t>
            </w:r>
            <w:r>
              <w:rPr>
                <w:kern w:val="0"/>
              </w:rPr>
              <w:t>项目对污水处理站区域实行分区防渗管控，从源头和过程控制减轻项目运营对土壤可能造成的影响。本项目建设对土壤环境影响较小，只要认真落实前述土壤污染防控措施，加强运营期土壤污染管控，项目建设从环境保护角度考虑可行。</w:t>
            </w:r>
          </w:p>
          <w:p>
            <w:pPr>
              <w:adjustRightInd w:val="0"/>
              <w:snapToGrid w:val="0"/>
              <w:spacing w:line="360" w:lineRule="auto"/>
              <w:ind w:firstLine="482" w:firstLineChars="200"/>
              <w:rPr>
                <w:b/>
                <w:bCs/>
              </w:rPr>
            </w:pPr>
            <w:r>
              <w:rPr>
                <w:b/>
                <w:bCs/>
              </w:rPr>
              <w:t>2.7生态环境影响分析</w:t>
            </w:r>
          </w:p>
          <w:p>
            <w:pPr>
              <w:adjustRightInd w:val="0"/>
              <w:snapToGrid w:val="0"/>
              <w:spacing w:line="360" w:lineRule="auto"/>
              <w:ind w:firstLine="480" w:firstLineChars="200"/>
            </w:pPr>
            <w:r>
              <w:rPr>
                <w:rFonts w:hint="eastAsia" w:ascii="宋体" w:hAnsi="宋体" w:cs="宋体"/>
              </w:rPr>
              <w:t>①</w:t>
            </w:r>
            <w:r>
              <w:t>对地表水生态环境影响分析</w:t>
            </w:r>
          </w:p>
          <w:p>
            <w:pPr>
              <w:adjustRightInd w:val="0"/>
              <w:snapToGrid w:val="0"/>
              <w:spacing w:line="360" w:lineRule="auto"/>
              <w:ind w:firstLine="480" w:firstLineChars="200"/>
            </w:pPr>
            <w:r>
              <w:t>本项目已建成，对本区域生态环境尤其是水生态环境的改善产生有利的影响。本工程建成后，随着水体中COD、氨氮等污染物的大量削减，水质污染将会得到有效控制，水体中水生生物的种类和数量将会明显增加，对保护本地区的生物多样性，恢复水体生态平衡起到十分积极的作用。</w:t>
            </w:r>
          </w:p>
          <w:p>
            <w:pPr>
              <w:pStyle w:val="188"/>
              <w:adjustRightInd w:val="0"/>
              <w:snapToGrid w:val="0"/>
              <w:spacing w:line="360" w:lineRule="auto"/>
              <w:ind w:left="480" w:firstLine="0" w:firstLineChars="0"/>
            </w:pPr>
            <w:r>
              <w:rPr>
                <w:rFonts w:hint="eastAsia" w:ascii="宋体" w:hAnsi="宋体" w:cs="宋体"/>
              </w:rPr>
              <w:t>②</w:t>
            </w:r>
            <w:r>
              <w:t>对项目所在地生态环境影响分析</w:t>
            </w:r>
          </w:p>
          <w:p>
            <w:pPr>
              <w:adjustRightInd w:val="0"/>
              <w:snapToGrid w:val="0"/>
              <w:spacing w:line="360" w:lineRule="auto"/>
              <w:ind w:firstLine="480" w:firstLineChars="200"/>
            </w:pPr>
            <w:r>
              <w:t>工程运行后有利于改善下游水体的环境质量，减小周边地区居民的发病率，提高居民的健康水平；工程的建设使区内居民生活环境得到大幅度改观，对改变</w:t>
            </w:r>
            <w:r>
              <w:rPr>
                <w:rFonts w:hint="eastAsia" w:cs="Times New Roman"/>
                <w:szCs w:val="24"/>
              </w:rPr>
              <w:t>峨边彝族自治县城区、</w:t>
            </w:r>
            <w:r>
              <w:rPr>
                <w:rFonts w:cs="Times New Roman"/>
                <w:szCs w:val="24"/>
              </w:rPr>
              <w:t>峨边彝族自治县马嘶溪村</w:t>
            </w:r>
            <w:r>
              <w:t>形象将起到积极作用，有利于社会安定，人民安居乐业，社会稳定发展，为</w:t>
            </w:r>
            <w:r>
              <w:rPr>
                <w:rFonts w:hint="eastAsia" w:cs="Times New Roman"/>
                <w:szCs w:val="24"/>
              </w:rPr>
              <w:t>峨边彝族自治县城区、</w:t>
            </w:r>
            <w:r>
              <w:rPr>
                <w:rFonts w:cs="Times New Roman"/>
                <w:szCs w:val="24"/>
              </w:rPr>
              <w:t>峨边彝族自治县马嘶溪村</w:t>
            </w:r>
            <w:r>
              <w:t>及沿线流域的居民提供一个良好的生活环境、工作环境和生态环境，具有显著的社会效益</w:t>
            </w:r>
            <w:r>
              <w:rPr>
                <w:rFonts w:hint="eastAsia"/>
              </w:rPr>
              <w:t>。</w:t>
            </w:r>
          </w:p>
          <w:p>
            <w:pPr>
              <w:adjustRightInd w:val="0"/>
              <w:snapToGrid w:val="0"/>
              <w:spacing w:line="360" w:lineRule="auto"/>
              <w:rPr>
                <w:rFonts w:cs="Times New Roman"/>
                <w:b/>
                <w:sz w:val="28"/>
                <w:szCs w:val="28"/>
              </w:rPr>
            </w:pPr>
            <w:r>
              <w:rPr>
                <w:rFonts w:cs="Times New Roman"/>
                <w:b/>
                <w:sz w:val="28"/>
                <w:szCs w:val="28"/>
              </w:rPr>
              <w:t>三、环境正效应分析</w:t>
            </w:r>
          </w:p>
          <w:p>
            <w:pPr>
              <w:adjustRightInd w:val="0"/>
              <w:snapToGrid w:val="0"/>
              <w:spacing w:line="360" w:lineRule="auto"/>
              <w:ind w:firstLine="480" w:firstLineChars="200"/>
            </w:pPr>
            <w:r>
              <w:t>本项目为</w:t>
            </w:r>
            <w:r>
              <w:rPr>
                <w:rFonts w:hint="eastAsia" w:cs="Times New Roman"/>
              </w:rPr>
              <w:t>四川省乐山市峨边彝族自治县城郊污水处理及管网建设项目</w:t>
            </w:r>
            <w:r>
              <w:t>，具有显著的环境效益和社会效益，是改善环境、控制污染、提高城镇居民生活质量、促进生态环境良性循环、经济持续发展的重要措施。</w:t>
            </w:r>
          </w:p>
          <w:p>
            <w:pPr>
              <w:widowControl/>
              <w:adjustRightInd w:val="0"/>
              <w:snapToGrid w:val="0"/>
              <w:spacing w:line="360" w:lineRule="auto"/>
              <w:ind w:firstLine="480" w:firstLineChars="200"/>
              <w:rPr>
                <w:b/>
                <w:bCs/>
              </w:rPr>
            </w:pPr>
            <w:r>
              <w:rPr>
                <w:rFonts w:hint="eastAsia" w:cs="Times New Roman"/>
                <w:szCs w:val="24"/>
              </w:rPr>
              <w:t>峨边彝族自治县城区、</w:t>
            </w:r>
            <w:r>
              <w:rPr>
                <w:rFonts w:cs="Times New Roman"/>
                <w:szCs w:val="24"/>
              </w:rPr>
              <w:t>峨边彝族自治县马嘶溪村</w:t>
            </w:r>
            <w:r>
              <w:t>污水处理设施及配套管网工程的建设，使</w:t>
            </w:r>
            <w:r>
              <w:rPr>
                <w:rFonts w:hint="eastAsia" w:cs="Times New Roman"/>
                <w:szCs w:val="24"/>
              </w:rPr>
              <w:t>峨边彝族自治县城区老人民医院片区居民生活污水的收集率提高，经营所片区实现雨污分流，</w:t>
            </w:r>
            <w:r>
              <w:rPr>
                <w:rFonts w:hint="eastAsia"/>
                <w:kern w:val="0"/>
                <w:lang w:bidi="ar"/>
              </w:rPr>
              <w:t>马嘶溪火车站</w:t>
            </w:r>
            <w:r>
              <w:rPr>
                <w:kern w:val="0"/>
                <w:lang w:bidi="ar"/>
              </w:rPr>
              <w:t>片区污水集中收集处理达标后排放，区域内生活污水将得到有效地收集和处理，彻底改善</w:t>
            </w:r>
            <w:r>
              <w:rPr>
                <w:rFonts w:hint="eastAsia" w:cs="Times New Roman"/>
                <w:szCs w:val="24"/>
              </w:rPr>
              <w:t>老人民医院片区、</w:t>
            </w:r>
            <w:r>
              <w:rPr>
                <w:rFonts w:hint="eastAsia"/>
                <w:kern w:val="0"/>
                <w:lang w:bidi="ar"/>
              </w:rPr>
              <w:t>马嘶溪火车站</w:t>
            </w:r>
            <w:r>
              <w:rPr>
                <w:kern w:val="0"/>
                <w:lang w:bidi="ar"/>
              </w:rPr>
              <w:t>片区以往污水未经处理直接排放的不良局面</w:t>
            </w:r>
            <w:r>
              <w:rPr>
                <w:rFonts w:hint="eastAsia"/>
                <w:kern w:val="0"/>
                <w:lang w:bidi="ar"/>
              </w:rPr>
              <w:t>，</w:t>
            </w:r>
            <w:r>
              <w:t>改善了农村公共卫生条件，有利于居民身心健康，增强了农村基础建设，为建设清洁卫生、环境优美的农村风貌打下了良好基础。污水治理工程实施后，</w:t>
            </w:r>
            <w:r>
              <w:rPr>
                <w:rFonts w:hint="eastAsia"/>
                <w:kern w:val="0"/>
                <w:lang w:bidi="ar"/>
              </w:rPr>
              <w:t>马嘶溪火车站</w:t>
            </w:r>
            <w:r>
              <w:rPr>
                <w:kern w:val="0"/>
                <w:lang w:bidi="ar"/>
              </w:rPr>
              <w:t>片区</w:t>
            </w:r>
            <w:r>
              <w:t>农村的生活污水不再直接排入水体，周围的水环境将得到改善。项目的实施，使得每年进入周围水环境的各种污染物将分别减少：CODcr</w:t>
            </w:r>
            <w:r>
              <w:rPr>
                <w:rFonts w:hint="eastAsia"/>
              </w:rPr>
              <w:t>：</w:t>
            </w:r>
            <w:r>
              <w:t>3.285t；SS</w:t>
            </w:r>
            <w:r>
              <w:rPr>
                <w:rFonts w:hint="eastAsia"/>
              </w:rPr>
              <w:t>：4</w:t>
            </w:r>
            <w:r>
              <w:t>.745t；NH</w:t>
            </w:r>
            <w:r>
              <w:rPr>
                <w:vertAlign w:val="subscript"/>
              </w:rPr>
              <w:t>3</w:t>
            </w:r>
            <w:r>
              <w:t>-N</w:t>
            </w:r>
            <w:r>
              <w:rPr>
                <w:rFonts w:hint="eastAsia"/>
              </w:rPr>
              <w:t>：</w:t>
            </w:r>
            <w:r>
              <w:t>0.438t；TP</w:t>
            </w:r>
            <w:r>
              <w:rPr>
                <w:rFonts w:hint="eastAsia"/>
              </w:rPr>
              <w:t>：</w:t>
            </w:r>
            <w:r>
              <w:t>0.09125t；TN</w:t>
            </w:r>
            <w:r>
              <w:rPr>
                <w:rFonts w:hint="eastAsia"/>
              </w:rPr>
              <w:t>：</w:t>
            </w:r>
            <w:r>
              <w:t>0.1825t，减轻了污水对周围水环境的污染，对河流水环境将起到明显的改善作用，河流沿岸农作物质量将得到提高。项目的建设使该地区形成一个完整、系统的农村基础设施网络，大力改善</w:t>
            </w:r>
            <w:r>
              <w:rPr>
                <w:rFonts w:hint="eastAsia"/>
              </w:rPr>
              <w:t>了</w:t>
            </w:r>
            <w:r>
              <w:rPr>
                <w:rFonts w:hint="eastAsia" w:cs="Times New Roman"/>
                <w:szCs w:val="24"/>
              </w:rPr>
              <w:t>峨边彝族自治县城区、</w:t>
            </w:r>
            <w:r>
              <w:rPr>
                <w:rFonts w:cs="Times New Roman"/>
                <w:szCs w:val="24"/>
              </w:rPr>
              <w:t>峨边彝族自治县马嘶溪</w:t>
            </w:r>
            <w:r>
              <w:rPr>
                <w:rFonts w:hint="eastAsia" w:cs="Times New Roman"/>
                <w:szCs w:val="24"/>
              </w:rPr>
              <w:t>村</w:t>
            </w:r>
            <w:r>
              <w:t>周围环境卫生，优化自然生态格局，保证集镇景观的丰富和延续，创造优美的、空气清新的集镇，保证最理想的环境效益，有利于本地区的可持续发展，对环境有着正面的影响效益。</w:t>
            </w:r>
          </w:p>
          <w:p>
            <w:pPr>
              <w:spacing w:line="360" w:lineRule="auto"/>
              <w:rPr>
                <w:rFonts w:cs="Times New Roman"/>
                <w:szCs w:val="24"/>
              </w:rPr>
            </w:pPr>
            <w:r>
              <w:rPr>
                <w:rFonts w:hint="eastAsia" w:cs="Times New Roman"/>
                <w:b/>
                <w:sz w:val="28"/>
                <w:szCs w:val="28"/>
              </w:rPr>
              <w:t>四</w:t>
            </w:r>
            <w:r>
              <w:rPr>
                <w:rFonts w:cs="Times New Roman"/>
                <w:b/>
                <w:sz w:val="28"/>
                <w:szCs w:val="28"/>
              </w:rPr>
              <w:t>、环境风险影响分析</w:t>
            </w:r>
          </w:p>
          <w:p>
            <w:pPr>
              <w:autoSpaceDE w:val="0"/>
              <w:autoSpaceDN w:val="0"/>
              <w:adjustRightInd w:val="0"/>
              <w:snapToGrid w:val="0"/>
              <w:spacing w:line="360" w:lineRule="auto"/>
              <w:ind w:firstLine="480" w:firstLineChars="200"/>
              <w:rPr>
                <w:kern w:val="0"/>
              </w:rPr>
            </w:pPr>
            <w:r>
              <w:rPr>
                <w:kern w:val="0"/>
              </w:rPr>
              <w:t>环境风险评价的目的是分析和预测建设项目存在的潜在危险，建设项目建设和运行期间发生的突发性事件，有毒有害和易燃易爆等物质的泄漏，所造成的人身安全与环境影响，提出合理可行的防范、应急措施，以使事故率、损失达到可接受水平。</w:t>
            </w:r>
          </w:p>
          <w:p>
            <w:pPr>
              <w:autoSpaceDE w:val="0"/>
              <w:autoSpaceDN w:val="0"/>
              <w:adjustRightInd w:val="0"/>
              <w:snapToGrid w:val="0"/>
              <w:spacing w:line="360" w:lineRule="auto"/>
              <w:ind w:firstLine="480" w:firstLineChars="200"/>
              <w:rPr>
                <w:kern w:val="0"/>
              </w:rPr>
            </w:pPr>
            <w:r>
              <w:rPr>
                <w:kern w:val="0"/>
              </w:rPr>
              <w:t>环境风险评价应把事故引起厂(场)界外人群的伤害、环境质量的恶化及对生态系统影响的预测和防护作为评价工作重点。本章主要通过对主要风险源识别，分析可能造成的影响程度，提出应急与缓解措施，使项目的风险事故影响达到可接受水平。</w:t>
            </w:r>
          </w:p>
          <w:p>
            <w:pPr>
              <w:adjustRightInd w:val="0"/>
              <w:snapToGrid w:val="0"/>
              <w:spacing w:line="360" w:lineRule="auto"/>
              <w:ind w:firstLine="482" w:firstLineChars="200"/>
              <w:rPr>
                <w:b/>
                <w:bCs/>
              </w:rPr>
            </w:pPr>
            <w:r>
              <w:rPr>
                <w:b/>
                <w:bCs/>
              </w:rPr>
              <w:t>4.1风险调查</w:t>
            </w:r>
          </w:p>
          <w:p>
            <w:pPr>
              <w:adjustRightInd w:val="0"/>
              <w:snapToGrid w:val="0"/>
              <w:spacing w:line="360" w:lineRule="auto"/>
              <w:ind w:firstLine="482" w:firstLineChars="200"/>
              <w:rPr>
                <w:b/>
                <w:bCs/>
              </w:rPr>
            </w:pPr>
            <w:r>
              <w:rPr>
                <w:b/>
                <w:bCs/>
              </w:rPr>
              <w:t>（1）管道泄漏、爆裂风险</w:t>
            </w:r>
          </w:p>
          <w:p>
            <w:pPr>
              <w:adjustRightInd w:val="0"/>
              <w:snapToGrid w:val="0"/>
              <w:spacing w:line="360" w:lineRule="auto"/>
              <w:ind w:firstLine="480" w:firstLineChars="200"/>
            </w:pPr>
            <w:r>
              <w:t>本工程中管网启用后，在正常运行的情况下，不会对环境造成不良影响，但是管线处于非正常状态下（即事故状态），将对外环境尤其是地下水环境、地表水环境乃至环境空气产生一定影响，非正常运行状态主要是指可能发生的管线破裂、断裂以及堵塞等。原因主要有两个方面，一是自然因素，即地震、气候变化等；二是人为因素，即选材、施工、防腐、检修、操作以及管沟的回填土没有按规范要求进行以及后续建设项目施工损坏管道等。</w:t>
            </w:r>
          </w:p>
          <w:p>
            <w:pPr>
              <w:adjustRightInd w:val="0"/>
              <w:snapToGrid w:val="0"/>
              <w:spacing w:line="360" w:lineRule="auto"/>
              <w:ind w:firstLine="482" w:firstLineChars="200"/>
              <w:rPr>
                <w:b/>
                <w:bCs/>
              </w:rPr>
            </w:pPr>
            <w:r>
              <w:rPr>
                <w:b/>
                <w:bCs/>
              </w:rPr>
              <w:t>（2）污水处理站风险</w:t>
            </w:r>
          </w:p>
          <w:p>
            <w:pPr>
              <w:adjustRightInd w:val="0"/>
              <w:snapToGrid w:val="0"/>
              <w:spacing w:line="360" w:lineRule="auto"/>
              <w:ind w:firstLine="480" w:firstLineChars="200"/>
            </w:pPr>
            <w:r>
              <w:t>通过对污水处理站所选用的工艺及整个污水处理站所建设施的分析，风险污染事故的类型主要反映在污水处理站非正常运行状况可能发生的原污水排放、中毒及恶臭物质排放引起的环境问题。风险污染事故发生的主要环节有以下几方面：</w:t>
            </w:r>
          </w:p>
          <w:p>
            <w:pPr>
              <w:pStyle w:val="188"/>
              <w:numPr>
                <w:ilvl w:val="0"/>
                <w:numId w:val="5"/>
              </w:numPr>
              <w:adjustRightInd w:val="0"/>
              <w:snapToGrid w:val="0"/>
              <w:spacing w:line="360" w:lineRule="auto"/>
              <w:ind w:firstLineChars="0"/>
            </w:pPr>
            <w:r>
              <w:t>进水水质变化引发的事故</w:t>
            </w:r>
          </w:p>
          <w:p>
            <w:pPr>
              <w:adjustRightInd w:val="0"/>
              <w:snapToGrid w:val="0"/>
              <w:spacing w:line="360" w:lineRule="auto"/>
              <w:ind w:firstLine="480" w:firstLineChars="200"/>
            </w:pPr>
            <w:r>
              <w:t>本项目仅处理</w:t>
            </w:r>
            <w:r>
              <w:rPr>
                <w:rFonts w:hint="eastAsia"/>
              </w:rPr>
              <w:t>马嘶溪村</w:t>
            </w:r>
            <w:r>
              <w:t>村居民生活污水，因此项目进水水质变化可能性较小。一般地震不会对工程造成破坏，从而对环境造成不良影响的可能性较小。为了防止季节性生活污水对污水处理站进水水质造成冲击，环评要求一旦发现进水水质异常，立即排查事故源头，并启动应急预案，保证污水处理站的正常运行。</w:t>
            </w:r>
          </w:p>
          <w:p>
            <w:pPr>
              <w:pStyle w:val="188"/>
              <w:numPr>
                <w:ilvl w:val="0"/>
                <w:numId w:val="5"/>
              </w:numPr>
              <w:adjustRightInd w:val="0"/>
              <w:snapToGrid w:val="0"/>
              <w:spacing w:line="360" w:lineRule="auto"/>
              <w:ind w:firstLineChars="0"/>
            </w:pPr>
            <w:r>
              <w:t>污水超标/事故排放风险</w:t>
            </w:r>
          </w:p>
          <w:p>
            <w:pPr>
              <w:adjustRightInd w:val="0"/>
              <w:snapToGrid w:val="0"/>
              <w:spacing w:line="360" w:lineRule="auto"/>
              <w:ind w:firstLine="480" w:firstLineChars="200"/>
            </w:pPr>
            <w:r>
              <w:t>正常情况下，本项目的污水出水水质可</w:t>
            </w:r>
            <w:r>
              <w:rPr>
                <w:rFonts w:ascii="宋体" w:hAnsi="宋体"/>
              </w:rPr>
              <w:t>《农村生活污水处理设施水污染物排放标准》（</w:t>
            </w:r>
            <w:r>
              <w:t>DB51/2626-2019</w:t>
            </w:r>
            <w:r>
              <w:rPr>
                <w:rFonts w:ascii="宋体" w:hAnsi="宋体"/>
              </w:rPr>
              <w:t>）</w:t>
            </w:r>
            <w:r>
              <w:t>排放。若污水处理设发生故障或出现意外事故，污水未经完全处理和处理未达标，将对受纳水体造成严重影响。</w:t>
            </w:r>
          </w:p>
          <w:p>
            <w:pPr>
              <w:adjustRightInd w:val="0"/>
              <w:snapToGrid w:val="0"/>
              <w:spacing w:line="360" w:lineRule="auto"/>
              <w:ind w:firstLine="480" w:firstLineChars="200"/>
            </w:pPr>
            <w:r>
              <w:t>可能造成污水处理站事故或超标排放的可能原因有以下几个方面：</w:t>
            </w:r>
          </w:p>
          <w:p>
            <w:pPr>
              <w:adjustRightInd w:val="0"/>
              <w:snapToGrid w:val="0"/>
              <w:spacing w:line="360" w:lineRule="auto"/>
              <w:ind w:firstLine="480" w:firstLineChars="200"/>
            </w:pPr>
            <w:r>
              <w:t>停电，设备不能运转，导致处理设施失效；</w:t>
            </w:r>
          </w:p>
          <w:p>
            <w:pPr>
              <w:adjustRightInd w:val="0"/>
              <w:snapToGrid w:val="0"/>
              <w:spacing w:line="360" w:lineRule="auto"/>
              <w:ind w:firstLine="480" w:firstLineChars="200"/>
            </w:pPr>
            <w:r>
              <w:t>设备故障，关键设备故障；</w:t>
            </w:r>
          </w:p>
          <w:p>
            <w:pPr>
              <w:adjustRightInd w:val="0"/>
              <w:snapToGrid w:val="0"/>
              <w:spacing w:line="360" w:lineRule="auto"/>
              <w:ind w:firstLine="480" w:firstLineChars="200"/>
            </w:pPr>
            <w:r>
              <w:t>有害物质，接纳废水中含有毒害微生物的物质，导致微生物大量死亡；</w:t>
            </w:r>
          </w:p>
          <w:p>
            <w:pPr>
              <w:adjustRightInd w:val="0"/>
              <w:snapToGrid w:val="0"/>
              <w:spacing w:line="360" w:lineRule="auto"/>
              <w:ind w:firstLine="480" w:firstLineChars="200"/>
              <w:rPr>
                <w:kern w:val="0"/>
                <w:lang w:bidi="ar"/>
              </w:rPr>
            </w:pPr>
            <w:r>
              <w:t>水质波动，接纳污水水质波动幅度过大，造成处理设施运行不稳定。出现这种情况的主要原因可能是截污管雨污不分，导致部分雨水接入污水管道，造成污水站进水浓度偏低，影响生化处理效果。另外要定期维护污水管网，发现问题及时上报处理。</w:t>
            </w:r>
          </w:p>
          <w:p>
            <w:pPr>
              <w:widowControl/>
              <w:adjustRightInd w:val="0"/>
              <w:snapToGrid w:val="0"/>
              <w:spacing w:line="360" w:lineRule="auto"/>
              <w:ind w:firstLine="482" w:firstLineChars="200"/>
              <w:jc w:val="left"/>
            </w:pPr>
            <w:r>
              <w:rPr>
                <w:b/>
                <w:kern w:val="0"/>
                <w:lang w:bidi="ar"/>
              </w:rPr>
              <w:t>（3）物质风险</w:t>
            </w:r>
          </w:p>
          <w:p>
            <w:pPr>
              <w:widowControl/>
              <w:adjustRightInd w:val="0"/>
              <w:snapToGrid w:val="0"/>
              <w:spacing w:line="360" w:lineRule="auto"/>
              <w:ind w:firstLine="480" w:firstLineChars="200"/>
            </w:pPr>
            <w:r>
              <w:rPr>
                <w:kern w:val="0"/>
                <w:lang w:bidi="ar"/>
              </w:rPr>
              <w:t>本项目为生活污水处理站项目，将生活污水经MBR一体化设备后达标排放，因此本项目不存在环境风险物质。</w:t>
            </w:r>
          </w:p>
          <w:p>
            <w:pPr>
              <w:widowControl/>
              <w:adjustRightInd w:val="0"/>
              <w:snapToGrid w:val="0"/>
              <w:spacing w:line="360" w:lineRule="auto"/>
              <w:ind w:firstLine="482" w:firstLineChars="200"/>
              <w:jc w:val="left"/>
            </w:pPr>
            <w:r>
              <w:rPr>
                <w:b/>
                <w:kern w:val="0"/>
                <w:lang w:bidi="ar"/>
              </w:rPr>
              <w:t>4.2环境风险潜势划分</w:t>
            </w:r>
          </w:p>
          <w:p>
            <w:pPr>
              <w:widowControl/>
              <w:adjustRightInd w:val="0"/>
              <w:snapToGrid w:val="0"/>
              <w:spacing w:line="360" w:lineRule="auto"/>
              <w:ind w:firstLine="480" w:firstLineChars="200"/>
              <w:jc w:val="left"/>
            </w:pPr>
            <w:r>
              <w:rPr>
                <w:kern w:val="0"/>
                <w:lang w:bidi="ar"/>
              </w:rPr>
              <w:t>1）危险物质数量与临界量比值（Q）</w:t>
            </w:r>
          </w:p>
          <w:p>
            <w:pPr>
              <w:spacing w:line="360" w:lineRule="auto"/>
              <w:ind w:firstLine="480" w:firstLineChars="200"/>
            </w:pPr>
            <w:r>
              <w:t>根据《建设项目环境风险评价技术导则》（HJ169-2018）计算所涉及的每种危险物质在厂界内的最大存在总量与其在附录B中对应临界量的比值Q。当只涉及一种危险物质时，计算该物质的总量与其临界量比值，即为Q；当存在多种危险物质时，则按以下公式计算物质总量与其临界量的比值Q：</w:t>
            </w:r>
          </w:p>
          <w:p>
            <w:pPr>
              <w:spacing w:line="360" w:lineRule="auto"/>
              <w:ind w:firstLine="480" w:firstLineChars="200"/>
              <w:jc w:val="center"/>
            </w:pPr>
            <w:r>
              <w:drawing>
                <wp:inline distT="0" distB="0" distL="0" distR="0">
                  <wp:extent cx="1838325" cy="476250"/>
                  <wp:effectExtent l="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838325" cy="476250"/>
                          </a:xfrm>
                          <a:prstGeom prst="rect">
                            <a:avLst/>
                          </a:prstGeom>
                          <a:noFill/>
                          <a:ln>
                            <a:noFill/>
                          </a:ln>
                        </pic:spPr>
                      </pic:pic>
                    </a:graphicData>
                  </a:graphic>
                </wp:inline>
              </w:drawing>
            </w:r>
          </w:p>
          <w:p>
            <w:pPr>
              <w:spacing w:line="360" w:lineRule="auto"/>
              <w:ind w:firstLine="480" w:firstLineChars="200"/>
            </w:pPr>
            <w:r>
              <w:t>式中：q</w:t>
            </w:r>
            <w:r>
              <w:rPr>
                <w:vertAlign w:val="subscript"/>
              </w:rPr>
              <w:t>1</w:t>
            </w:r>
            <w:r>
              <w:t>、q</w:t>
            </w:r>
            <w:r>
              <w:rPr>
                <w:vertAlign w:val="subscript"/>
              </w:rPr>
              <w:t>2</w:t>
            </w:r>
            <w:r>
              <w:t>、…q</w:t>
            </w:r>
            <w:r>
              <w:rPr>
                <w:vertAlign w:val="subscript"/>
              </w:rPr>
              <w:t>n</w:t>
            </w:r>
            <w:r>
              <w:t>——每种无限物质的最大存在总量，t；</w:t>
            </w:r>
          </w:p>
          <w:p>
            <w:pPr>
              <w:spacing w:line="360" w:lineRule="auto"/>
              <w:ind w:firstLine="480" w:firstLineChars="200"/>
            </w:pPr>
            <w:r>
              <w:t>Q</w:t>
            </w:r>
            <w:r>
              <w:rPr>
                <w:vertAlign w:val="subscript"/>
              </w:rPr>
              <w:t>1</w:t>
            </w:r>
            <w:r>
              <w:t>、Q</w:t>
            </w:r>
            <w:r>
              <w:rPr>
                <w:vertAlign w:val="subscript"/>
              </w:rPr>
              <w:t>2</w:t>
            </w:r>
            <w:r>
              <w:t>、…Q</w:t>
            </w:r>
            <w:r>
              <w:rPr>
                <w:vertAlign w:val="subscript"/>
              </w:rPr>
              <w:t>n</w:t>
            </w:r>
            <w:r>
              <w:t>——每种危险物质的临界量，t。</w:t>
            </w:r>
          </w:p>
          <w:p>
            <w:pPr>
              <w:spacing w:line="360" w:lineRule="auto"/>
              <w:ind w:firstLine="480" w:firstLineChars="200"/>
            </w:pPr>
            <w:r>
              <w:t>当Q&lt;1时，该项目环境风险潜势为</w:t>
            </w:r>
            <w:r>
              <w:rPr>
                <w:rFonts w:hint="eastAsia" w:ascii="宋体" w:hAnsi="宋体" w:cs="宋体"/>
              </w:rPr>
              <w:t>Ⅰ</w:t>
            </w:r>
            <w:r>
              <w:t>；</w:t>
            </w:r>
          </w:p>
          <w:p>
            <w:pPr>
              <w:spacing w:line="360" w:lineRule="auto"/>
              <w:ind w:firstLine="480" w:firstLineChars="200"/>
            </w:pPr>
            <w:r>
              <w:t>当Q≥1时，将Q值划分为：（1）1≤Q&lt;10；（2）10≤Q&lt;100；（3）Q≥100.</w:t>
            </w:r>
          </w:p>
          <w:p>
            <w:pPr>
              <w:spacing w:line="360" w:lineRule="auto"/>
              <w:ind w:firstLine="480" w:firstLineChars="200"/>
            </w:pPr>
            <w:r>
              <w:t>本项目消毒采用紫外线消毒，对照相关参考资料，Q值情况如下表所示：</w:t>
            </w:r>
          </w:p>
          <w:p>
            <w:pPr>
              <w:adjustRightInd w:val="0"/>
              <w:snapToGrid w:val="0"/>
              <w:spacing w:line="360" w:lineRule="auto"/>
              <w:jc w:val="center"/>
              <w:rPr>
                <w:rFonts w:cs="Times New Roman"/>
                <w:b/>
                <w:szCs w:val="24"/>
              </w:rPr>
            </w:pPr>
            <w:r>
              <w:rPr>
                <w:rFonts w:cs="Times New Roman"/>
                <w:b/>
                <w:szCs w:val="24"/>
              </w:rPr>
              <w:t>表7-31  项目Q值确定表</w:t>
            </w:r>
          </w:p>
          <w:tbl>
            <w:tblPr>
              <w:tblStyle w:val="30"/>
              <w:tblW w:w="8292"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667"/>
              <w:gridCol w:w="1650"/>
              <w:gridCol w:w="1468"/>
              <w:gridCol w:w="1295"/>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09" w:type="dxa"/>
                  <w:vAlign w:val="center"/>
                </w:tcPr>
                <w:p>
                  <w:pPr>
                    <w:jc w:val="center"/>
                    <w:rPr>
                      <w:b/>
                      <w:bCs/>
                      <w:sz w:val="21"/>
                      <w:szCs w:val="21"/>
                    </w:rPr>
                  </w:pPr>
                  <w:r>
                    <w:rPr>
                      <w:b/>
                      <w:bCs/>
                      <w:sz w:val="21"/>
                      <w:szCs w:val="21"/>
                    </w:rPr>
                    <w:t>序号</w:t>
                  </w:r>
                </w:p>
              </w:tc>
              <w:tc>
                <w:tcPr>
                  <w:tcW w:w="1667" w:type="dxa"/>
                  <w:vAlign w:val="center"/>
                </w:tcPr>
                <w:p>
                  <w:pPr>
                    <w:jc w:val="center"/>
                    <w:rPr>
                      <w:b/>
                      <w:bCs/>
                      <w:sz w:val="21"/>
                      <w:szCs w:val="21"/>
                    </w:rPr>
                  </w:pPr>
                  <w:r>
                    <w:rPr>
                      <w:b/>
                      <w:bCs/>
                      <w:sz w:val="21"/>
                      <w:szCs w:val="21"/>
                    </w:rPr>
                    <w:t>危险物质名称</w:t>
                  </w:r>
                </w:p>
              </w:tc>
              <w:tc>
                <w:tcPr>
                  <w:tcW w:w="1650" w:type="dxa"/>
                  <w:vAlign w:val="center"/>
                </w:tcPr>
                <w:p>
                  <w:pPr>
                    <w:jc w:val="center"/>
                    <w:rPr>
                      <w:b/>
                      <w:bCs/>
                      <w:sz w:val="21"/>
                      <w:szCs w:val="21"/>
                    </w:rPr>
                  </w:pPr>
                  <w:r>
                    <w:rPr>
                      <w:b/>
                      <w:bCs/>
                      <w:sz w:val="21"/>
                      <w:szCs w:val="21"/>
                    </w:rPr>
                    <w:t>CAS号</w:t>
                  </w:r>
                </w:p>
              </w:tc>
              <w:tc>
                <w:tcPr>
                  <w:tcW w:w="1468" w:type="dxa"/>
                  <w:vAlign w:val="center"/>
                </w:tcPr>
                <w:p>
                  <w:pPr>
                    <w:jc w:val="center"/>
                    <w:rPr>
                      <w:b/>
                      <w:bCs/>
                      <w:sz w:val="21"/>
                      <w:szCs w:val="21"/>
                    </w:rPr>
                  </w:pPr>
                  <w:r>
                    <w:rPr>
                      <w:b/>
                      <w:bCs/>
                      <w:sz w:val="21"/>
                      <w:szCs w:val="21"/>
                    </w:rPr>
                    <w:t>最大存在总量qn/t</w:t>
                  </w:r>
                </w:p>
              </w:tc>
              <w:tc>
                <w:tcPr>
                  <w:tcW w:w="1295" w:type="dxa"/>
                  <w:vAlign w:val="center"/>
                </w:tcPr>
                <w:p>
                  <w:pPr>
                    <w:jc w:val="center"/>
                    <w:rPr>
                      <w:b/>
                      <w:bCs/>
                      <w:sz w:val="21"/>
                      <w:szCs w:val="21"/>
                    </w:rPr>
                  </w:pPr>
                  <w:r>
                    <w:rPr>
                      <w:b/>
                      <w:bCs/>
                      <w:sz w:val="21"/>
                      <w:szCs w:val="21"/>
                    </w:rPr>
                    <w:t>临界量Qn/t</w:t>
                  </w:r>
                </w:p>
              </w:tc>
              <w:tc>
                <w:tcPr>
                  <w:tcW w:w="1403" w:type="dxa"/>
                  <w:vAlign w:val="center"/>
                </w:tcPr>
                <w:p>
                  <w:pPr>
                    <w:jc w:val="center"/>
                    <w:rPr>
                      <w:b/>
                      <w:bCs/>
                      <w:sz w:val="21"/>
                      <w:szCs w:val="21"/>
                    </w:rPr>
                  </w:pPr>
                  <w:r>
                    <w:rPr>
                      <w:b/>
                      <w:bCs/>
                      <w:sz w:val="21"/>
                      <w:szCs w:val="21"/>
                    </w:rPr>
                    <w:t>该种危险物质Q值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09" w:type="dxa"/>
                  <w:vAlign w:val="center"/>
                </w:tcPr>
                <w:p>
                  <w:pPr>
                    <w:jc w:val="center"/>
                    <w:rPr>
                      <w:sz w:val="21"/>
                      <w:szCs w:val="21"/>
                    </w:rPr>
                  </w:pPr>
                  <w:r>
                    <w:rPr>
                      <w:sz w:val="21"/>
                      <w:szCs w:val="21"/>
                    </w:rPr>
                    <w:t>1</w:t>
                  </w:r>
                </w:p>
              </w:tc>
              <w:tc>
                <w:tcPr>
                  <w:tcW w:w="1667" w:type="dxa"/>
                  <w:vAlign w:val="center"/>
                </w:tcPr>
                <w:p>
                  <w:pPr>
                    <w:jc w:val="center"/>
                    <w:rPr>
                      <w:sz w:val="21"/>
                      <w:szCs w:val="21"/>
                    </w:rPr>
                  </w:pPr>
                  <w:r>
                    <w:rPr>
                      <w:sz w:val="21"/>
                      <w:szCs w:val="21"/>
                    </w:rPr>
                    <w:t>/</w:t>
                  </w:r>
                </w:p>
              </w:tc>
              <w:tc>
                <w:tcPr>
                  <w:tcW w:w="1650" w:type="dxa"/>
                  <w:vAlign w:val="center"/>
                </w:tcPr>
                <w:p>
                  <w:pPr>
                    <w:jc w:val="center"/>
                    <w:rPr>
                      <w:sz w:val="21"/>
                      <w:szCs w:val="21"/>
                    </w:rPr>
                  </w:pPr>
                  <w:r>
                    <w:rPr>
                      <w:sz w:val="21"/>
                      <w:szCs w:val="21"/>
                    </w:rPr>
                    <w:t>/</w:t>
                  </w:r>
                </w:p>
              </w:tc>
              <w:tc>
                <w:tcPr>
                  <w:tcW w:w="1468" w:type="dxa"/>
                  <w:vAlign w:val="center"/>
                </w:tcPr>
                <w:p>
                  <w:pPr>
                    <w:jc w:val="center"/>
                    <w:rPr>
                      <w:sz w:val="21"/>
                      <w:szCs w:val="21"/>
                    </w:rPr>
                  </w:pPr>
                  <w:r>
                    <w:rPr>
                      <w:sz w:val="21"/>
                      <w:szCs w:val="21"/>
                    </w:rPr>
                    <w:t>/</w:t>
                  </w:r>
                </w:p>
              </w:tc>
              <w:tc>
                <w:tcPr>
                  <w:tcW w:w="1295" w:type="dxa"/>
                  <w:vAlign w:val="center"/>
                </w:tcPr>
                <w:p>
                  <w:pPr>
                    <w:jc w:val="center"/>
                    <w:rPr>
                      <w:sz w:val="21"/>
                      <w:szCs w:val="21"/>
                    </w:rPr>
                  </w:pPr>
                  <w:r>
                    <w:rPr>
                      <w:sz w:val="21"/>
                      <w:szCs w:val="21"/>
                    </w:rPr>
                    <w:t>/</w:t>
                  </w:r>
                </w:p>
              </w:tc>
              <w:tc>
                <w:tcPr>
                  <w:tcW w:w="1403" w:type="dxa"/>
                  <w:vAlign w:val="center"/>
                </w:tcPr>
                <w:p>
                  <w:pPr>
                    <w:jc w:val="center"/>
                    <w:rPr>
                      <w:sz w:val="21"/>
                      <w:szCs w:val="21"/>
                    </w:rPr>
                  </w:pP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889" w:type="dxa"/>
                  <w:gridSpan w:val="5"/>
                  <w:vAlign w:val="center"/>
                </w:tcPr>
                <w:p>
                  <w:pPr>
                    <w:jc w:val="center"/>
                    <w:rPr>
                      <w:sz w:val="21"/>
                      <w:szCs w:val="21"/>
                    </w:rPr>
                  </w:pPr>
                  <w:r>
                    <w:rPr>
                      <w:sz w:val="21"/>
                      <w:szCs w:val="21"/>
                    </w:rPr>
                    <w:t>项目Q值</w:t>
                  </w:r>
                </w:p>
              </w:tc>
              <w:tc>
                <w:tcPr>
                  <w:tcW w:w="1403" w:type="dxa"/>
                  <w:vAlign w:val="center"/>
                </w:tcPr>
                <w:p>
                  <w:pPr>
                    <w:jc w:val="center"/>
                    <w:rPr>
                      <w:sz w:val="21"/>
                      <w:szCs w:val="21"/>
                    </w:rPr>
                  </w:pPr>
                  <w:r>
                    <w:rPr>
                      <w:sz w:val="21"/>
                      <w:szCs w:val="21"/>
                    </w:rPr>
                    <w:t>0</w:t>
                  </w:r>
                </w:p>
              </w:tc>
            </w:tr>
          </w:tbl>
          <w:p>
            <w:pPr>
              <w:spacing w:line="360" w:lineRule="auto"/>
              <w:ind w:firstLine="480" w:firstLineChars="200"/>
            </w:pPr>
            <w:r>
              <w:t>根据上表可知，本项目涉及危险物质数量与临界量比值Q=0&lt;1，因此本项目环境风险潜势为</w:t>
            </w:r>
            <w:r>
              <w:rPr>
                <w:rFonts w:hint="eastAsia" w:ascii="宋体" w:hAnsi="宋体" w:cs="宋体"/>
              </w:rPr>
              <w:t>Ⅰ</w:t>
            </w:r>
            <w:r>
              <w:t>。</w:t>
            </w:r>
          </w:p>
          <w:p>
            <w:pPr>
              <w:spacing w:line="360" w:lineRule="auto"/>
              <w:ind w:firstLine="480" w:firstLineChars="200"/>
            </w:pPr>
            <w:r>
              <w:t>2）评价等级</w:t>
            </w:r>
          </w:p>
          <w:p>
            <w:pPr>
              <w:spacing w:line="360" w:lineRule="auto"/>
              <w:ind w:firstLine="480" w:firstLineChars="200"/>
            </w:pPr>
            <w:r>
              <w:t>根据《建设项目环境风险评价技术导则》（HJ169—2018），本项目环境风险评价等级判断如下表所示：</w:t>
            </w:r>
          </w:p>
          <w:p>
            <w:pPr>
              <w:adjustRightInd w:val="0"/>
              <w:snapToGrid w:val="0"/>
              <w:spacing w:line="360" w:lineRule="auto"/>
              <w:jc w:val="center"/>
              <w:rPr>
                <w:rFonts w:cs="Times New Roman"/>
                <w:b/>
                <w:szCs w:val="24"/>
              </w:rPr>
            </w:pPr>
            <w:r>
              <w:rPr>
                <w:rFonts w:cs="Times New Roman"/>
                <w:b/>
                <w:szCs w:val="24"/>
              </w:rPr>
              <w:t>表7-32  评价工作等级划分</w:t>
            </w:r>
          </w:p>
          <w:tbl>
            <w:tblPr>
              <w:tblStyle w:val="30"/>
              <w:tblW w:w="8289" w:type="dxa"/>
              <w:tblInd w:w="7"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478"/>
              <w:gridCol w:w="1441"/>
              <w:gridCol w:w="1255"/>
              <w:gridCol w:w="2462"/>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653" w:type="dxa"/>
                </w:tcPr>
                <w:p>
                  <w:pPr>
                    <w:jc w:val="center"/>
                    <w:rPr>
                      <w:b/>
                      <w:bCs/>
                      <w:sz w:val="21"/>
                      <w:szCs w:val="21"/>
                    </w:rPr>
                  </w:pPr>
                  <w:r>
                    <w:rPr>
                      <w:b/>
                      <w:bCs/>
                      <w:sz w:val="21"/>
                      <w:szCs w:val="21"/>
                    </w:rPr>
                    <w:t>环境风险潜势</w:t>
                  </w:r>
                </w:p>
              </w:tc>
              <w:tc>
                <w:tcPr>
                  <w:tcW w:w="1478" w:type="dxa"/>
                </w:tcPr>
                <w:p>
                  <w:pPr>
                    <w:jc w:val="center"/>
                    <w:rPr>
                      <w:sz w:val="21"/>
                      <w:szCs w:val="21"/>
                    </w:rPr>
                  </w:pPr>
                  <w:r>
                    <w:rPr>
                      <w:rFonts w:hint="eastAsia" w:ascii="宋体" w:hAnsi="宋体" w:cs="宋体"/>
                      <w:sz w:val="21"/>
                      <w:szCs w:val="21"/>
                    </w:rPr>
                    <w:t>Ⅳ</w:t>
                  </w:r>
                  <w:r>
                    <w:rPr>
                      <w:sz w:val="21"/>
                      <w:szCs w:val="21"/>
                    </w:rPr>
                    <w:t>、</w:t>
                  </w:r>
                  <w:r>
                    <w:rPr>
                      <w:rFonts w:hint="eastAsia" w:ascii="宋体" w:hAnsi="宋体" w:cs="宋体"/>
                      <w:sz w:val="21"/>
                      <w:szCs w:val="21"/>
                    </w:rPr>
                    <w:t>Ⅳ</w:t>
                  </w:r>
                  <w:r>
                    <w:rPr>
                      <w:sz w:val="21"/>
                      <w:szCs w:val="21"/>
                    </w:rPr>
                    <w:t>+</w:t>
                  </w:r>
                </w:p>
              </w:tc>
              <w:tc>
                <w:tcPr>
                  <w:tcW w:w="1441" w:type="dxa"/>
                </w:tcPr>
                <w:p>
                  <w:pPr>
                    <w:jc w:val="center"/>
                    <w:rPr>
                      <w:sz w:val="21"/>
                      <w:szCs w:val="21"/>
                    </w:rPr>
                  </w:pPr>
                  <w:r>
                    <w:rPr>
                      <w:rFonts w:hint="eastAsia" w:ascii="宋体" w:hAnsi="宋体" w:cs="宋体"/>
                      <w:sz w:val="21"/>
                      <w:szCs w:val="21"/>
                    </w:rPr>
                    <w:t>Ⅲ</w:t>
                  </w:r>
                </w:p>
              </w:tc>
              <w:tc>
                <w:tcPr>
                  <w:tcW w:w="1255" w:type="dxa"/>
                </w:tcPr>
                <w:p>
                  <w:pPr>
                    <w:jc w:val="center"/>
                    <w:rPr>
                      <w:sz w:val="21"/>
                      <w:szCs w:val="21"/>
                    </w:rPr>
                  </w:pPr>
                  <w:r>
                    <w:rPr>
                      <w:rFonts w:hint="eastAsia" w:ascii="宋体" w:hAnsi="宋体" w:cs="宋体"/>
                      <w:sz w:val="21"/>
                      <w:szCs w:val="21"/>
                    </w:rPr>
                    <w:t>Ⅱ</w:t>
                  </w:r>
                </w:p>
              </w:tc>
              <w:tc>
                <w:tcPr>
                  <w:tcW w:w="2462" w:type="dxa"/>
                </w:tcPr>
                <w:p>
                  <w:pPr>
                    <w:jc w:val="center"/>
                    <w:rPr>
                      <w:sz w:val="21"/>
                      <w:szCs w:val="21"/>
                    </w:rPr>
                  </w:pPr>
                  <w:r>
                    <w:rPr>
                      <w:rFonts w:hint="eastAsia" w:ascii="宋体" w:hAnsi="宋体" w:cs="宋体"/>
                      <w:sz w:val="21"/>
                      <w:szCs w:val="21"/>
                    </w:rPr>
                    <w:t>Ⅰ</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653" w:type="dxa"/>
                </w:tcPr>
                <w:p>
                  <w:pPr>
                    <w:jc w:val="center"/>
                    <w:rPr>
                      <w:b/>
                      <w:bCs/>
                      <w:sz w:val="21"/>
                      <w:szCs w:val="21"/>
                    </w:rPr>
                  </w:pPr>
                  <w:r>
                    <w:rPr>
                      <w:b/>
                      <w:bCs/>
                      <w:sz w:val="21"/>
                      <w:szCs w:val="21"/>
                    </w:rPr>
                    <w:t>评价工作等级</w:t>
                  </w:r>
                </w:p>
              </w:tc>
              <w:tc>
                <w:tcPr>
                  <w:tcW w:w="1478" w:type="dxa"/>
                </w:tcPr>
                <w:p>
                  <w:pPr>
                    <w:jc w:val="center"/>
                    <w:rPr>
                      <w:sz w:val="21"/>
                      <w:szCs w:val="21"/>
                    </w:rPr>
                  </w:pPr>
                  <w:r>
                    <w:rPr>
                      <w:sz w:val="21"/>
                      <w:szCs w:val="21"/>
                    </w:rPr>
                    <w:t>一</w:t>
                  </w:r>
                </w:p>
              </w:tc>
              <w:tc>
                <w:tcPr>
                  <w:tcW w:w="1441" w:type="dxa"/>
                </w:tcPr>
                <w:p>
                  <w:pPr>
                    <w:jc w:val="center"/>
                    <w:rPr>
                      <w:sz w:val="21"/>
                      <w:szCs w:val="21"/>
                    </w:rPr>
                  </w:pPr>
                  <w:r>
                    <w:rPr>
                      <w:sz w:val="21"/>
                      <w:szCs w:val="21"/>
                    </w:rPr>
                    <w:t>二</w:t>
                  </w:r>
                </w:p>
              </w:tc>
              <w:tc>
                <w:tcPr>
                  <w:tcW w:w="1255" w:type="dxa"/>
                </w:tcPr>
                <w:p>
                  <w:pPr>
                    <w:jc w:val="center"/>
                    <w:rPr>
                      <w:sz w:val="21"/>
                      <w:szCs w:val="21"/>
                    </w:rPr>
                  </w:pPr>
                  <w:r>
                    <w:rPr>
                      <w:sz w:val="21"/>
                      <w:szCs w:val="21"/>
                    </w:rPr>
                    <w:t>三</w:t>
                  </w:r>
                </w:p>
              </w:tc>
              <w:tc>
                <w:tcPr>
                  <w:tcW w:w="2462" w:type="dxa"/>
                </w:tcPr>
                <w:p>
                  <w:pPr>
                    <w:jc w:val="center"/>
                    <w:rPr>
                      <w:sz w:val="21"/>
                      <w:szCs w:val="21"/>
                    </w:rPr>
                  </w:pPr>
                  <w:r>
                    <w:rPr>
                      <w:sz w:val="21"/>
                      <w:szCs w:val="21"/>
                    </w:rPr>
                    <w:t>简单分析</w:t>
                  </w:r>
                </w:p>
              </w:tc>
            </w:tr>
          </w:tbl>
          <w:p>
            <w:pPr>
              <w:spacing w:line="360" w:lineRule="auto"/>
              <w:ind w:firstLine="480" w:firstLineChars="200"/>
            </w:pPr>
            <w:r>
              <w:t>根据上表可知，本项目环境风险评价等级为简单分析。</w:t>
            </w:r>
          </w:p>
          <w:p>
            <w:pPr>
              <w:adjustRightInd w:val="0"/>
              <w:snapToGrid w:val="0"/>
              <w:spacing w:line="360" w:lineRule="auto"/>
              <w:jc w:val="center"/>
              <w:rPr>
                <w:rFonts w:cs="Times New Roman"/>
                <w:b/>
                <w:szCs w:val="24"/>
              </w:rPr>
            </w:pPr>
            <w:r>
              <w:rPr>
                <w:rFonts w:cs="Times New Roman"/>
                <w:b/>
                <w:szCs w:val="24"/>
              </w:rPr>
              <w:t>表7-33  建设项目环境风险分析内容表</w:t>
            </w:r>
          </w:p>
          <w:tbl>
            <w:tblPr>
              <w:tblStyle w:val="30"/>
              <w:tblW w:w="829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500"/>
              <w:gridCol w:w="1625"/>
              <w:gridCol w:w="1932"/>
              <w:gridCol w:w="1452"/>
              <w:gridCol w:w="17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6" w:hRule="atLeast"/>
              </w:trPr>
              <w:tc>
                <w:tcPr>
                  <w:tcW w:w="1500" w:type="dxa"/>
                  <w:vAlign w:val="center"/>
                </w:tcPr>
                <w:p>
                  <w:pPr>
                    <w:jc w:val="center"/>
                    <w:rPr>
                      <w:sz w:val="21"/>
                      <w:szCs w:val="21"/>
                    </w:rPr>
                  </w:pPr>
                  <w:r>
                    <w:rPr>
                      <w:sz w:val="21"/>
                      <w:szCs w:val="21"/>
                    </w:rPr>
                    <w:t>建设项目名称</w:t>
                  </w:r>
                </w:p>
              </w:tc>
              <w:tc>
                <w:tcPr>
                  <w:tcW w:w="6796" w:type="dxa"/>
                  <w:gridSpan w:val="4"/>
                  <w:vAlign w:val="center"/>
                </w:tcPr>
                <w:p>
                  <w:pPr>
                    <w:jc w:val="center"/>
                    <w:rPr>
                      <w:sz w:val="21"/>
                      <w:szCs w:val="21"/>
                    </w:rPr>
                  </w:pPr>
                  <w:r>
                    <w:rPr>
                      <w:rFonts w:hint="eastAsia"/>
                      <w:sz w:val="21"/>
                      <w:szCs w:val="21"/>
                    </w:rPr>
                    <w:t>四川省乐山市峨边彝族自治县城郊污水处理及管网建设项目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1500" w:type="dxa"/>
                  <w:vAlign w:val="center"/>
                </w:tcPr>
                <w:p>
                  <w:pPr>
                    <w:jc w:val="center"/>
                    <w:rPr>
                      <w:sz w:val="21"/>
                      <w:szCs w:val="21"/>
                    </w:rPr>
                  </w:pPr>
                  <w:r>
                    <w:rPr>
                      <w:sz w:val="21"/>
                      <w:szCs w:val="21"/>
                    </w:rPr>
                    <w:t>建设地点</w:t>
                  </w:r>
                </w:p>
              </w:tc>
              <w:tc>
                <w:tcPr>
                  <w:tcW w:w="1625" w:type="dxa"/>
                  <w:vAlign w:val="center"/>
                </w:tcPr>
                <w:p>
                  <w:pPr>
                    <w:jc w:val="center"/>
                    <w:rPr>
                      <w:sz w:val="21"/>
                      <w:szCs w:val="21"/>
                    </w:rPr>
                  </w:pPr>
                  <w:r>
                    <w:rPr>
                      <w:sz w:val="21"/>
                      <w:szCs w:val="21"/>
                    </w:rPr>
                    <w:t>四川省</w:t>
                  </w:r>
                </w:p>
              </w:tc>
              <w:tc>
                <w:tcPr>
                  <w:tcW w:w="1932" w:type="dxa"/>
                  <w:vAlign w:val="center"/>
                </w:tcPr>
                <w:p>
                  <w:pPr>
                    <w:jc w:val="center"/>
                    <w:rPr>
                      <w:sz w:val="21"/>
                      <w:szCs w:val="21"/>
                    </w:rPr>
                  </w:pPr>
                  <w:r>
                    <w:rPr>
                      <w:sz w:val="21"/>
                      <w:szCs w:val="21"/>
                    </w:rPr>
                    <w:t>乐山市</w:t>
                  </w:r>
                </w:p>
              </w:tc>
              <w:tc>
                <w:tcPr>
                  <w:tcW w:w="3239" w:type="dxa"/>
                  <w:gridSpan w:val="2"/>
                  <w:vAlign w:val="center"/>
                </w:tcPr>
                <w:p>
                  <w:pPr>
                    <w:jc w:val="center"/>
                    <w:rPr>
                      <w:sz w:val="21"/>
                      <w:szCs w:val="21"/>
                    </w:rPr>
                  </w:pPr>
                  <w:r>
                    <w:rPr>
                      <w:rFonts w:hint="eastAsia"/>
                      <w:sz w:val="21"/>
                      <w:szCs w:val="21"/>
                    </w:rPr>
                    <w:t>峨边彝族自治县老人民医院片区、经营所片区、马嘶溪火车站片区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500" w:type="dxa"/>
                  <w:vAlign w:val="center"/>
                </w:tcPr>
                <w:p>
                  <w:pPr>
                    <w:jc w:val="center"/>
                    <w:rPr>
                      <w:sz w:val="21"/>
                      <w:szCs w:val="21"/>
                    </w:rPr>
                  </w:pPr>
                  <w:r>
                    <w:rPr>
                      <w:sz w:val="21"/>
                      <w:szCs w:val="21"/>
                    </w:rPr>
                    <w:t>地理坐标</w:t>
                  </w:r>
                </w:p>
              </w:tc>
              <w:tc>
                <w:tcPr>
                  <w:tcW w:w="1625" w:type="dxa"/>
                  <w:vAlign w:val="center"/>
                </w:tcPr>
                <w:p>
                  <w:pPr>
                    <w:jc w:val="center"/>
                    <w:rPr>
                      <w:sz w:val="21"/>
                      <w:szCs w:val="21"/>
                    </w:rPr>
                  </w:pPr>
                  <w:r>
                    <w:rPr>
                      <w:sz w:val="21"/>
                      <w:szCs w:val="21"/>
                    </w:rPr>
                    <w:t>经度</w:t>
                  </w:r>
                </w:p>
              </w:tc>
              <w:tc>
                <w:tcPr>
                  <w:tcW w:w="1932" w:type="dxa"/>
                  <w:vAlign w:val="center"/>
                </w:tcPr>
                <w:p>
                  <w:pPr>
                    <w:jc w:val="center"/>
                    <w:rPr>
                      <w:sz w:val="21"/>
                      <w:szCs w:val="21"/>
                    </w:rPr>
                  </w:pPr>
                  <w:r>
                    <w:rPr>
                      <w:bCs/>
                      <w:sz w:val="21"/>
                      <w:szCs w:val="21"/>
                    </w:rPr>
                    <w:t>103.2788°</w:t>
                  </w:r>
                </w:p>
              </w:tc>
              <w:tc>
                <w:tcPr>
                  <w:tcW w:w="1452" w:type="dxa"/>
                  <w:vAlign w:val="center"/>
                </w:tcPr>
                <w:p>
                  <w:pPr>
                    <w:jc w:val="center"/>
                    <w:rPr>
                      <w:sz w:val="21"/>
                      <w:szCs w:val="21"/>
                    </w:rPr>
                  </w:pPr>
                  <w:r>
                    <w:rPr>
                      <w:sz w:val="21"/>
                      <w:szCs w:val="21"/>
                    </w:rPr>
                    <w:t>纬度</w:t>
                  </w:r>
                </w:p>
              </w:tc>
              <w:tc>
                <w:tcPr>
                  <w:tcW w:w="1787" w:type="dxa"/>
                  <w:vAlign w:val="center"/>
                </w:tcPr>
                <w:p>
                  <w:pPr>
                    <w:jc w:val="center"/>
                    <w:rPr>
                      <w:sz w:val="21"/>
                      <w:szCs w:val="21"/>
                    </w:rPr>
                  </w:pPr>
                  <w:r>
                    <w:rPr>
                      <w:bCs/>
                      <w:sz w:val="21"/>
                      <w:szCs w:val="21"/>
                    </w:rPr>
                    <w:t>29.2591°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1500" w:type="dxa"/>
                  <w:vAlign w:val="center"/>
                </w:tcPr>
                <w:p>
                  <w:pPr>
                    <w:jc w:val="center"/>
                    <w:rPr>
                      <w:sz w:val="21"/>
                      <w:szCs w:val="21"/>
                    </w:rPr>
                  </w:pPr>
                  <w:r>
                    <w:rPr>
                      <w:sz w:val="21"/>
                      <w:szCs w:val="21"/>
                    </w:rPr>
                    <w:t>主要危险物质及分布</w:t>
                  </w:r>
                </w:p>
              </w:tc>
              <w:tc>
                <w:tcPr>
                  <w:tcW w:w="6796" w:type="dxa"/>
                  <w:gridSpan w:val="4"/>
                  <w:vAlign w:val="center"/>
                </w:tcPr>
                <w:p>
                  <w:pPr>
                    <w:widowControl/>
                    <w:jc w:val="left"/>
                    <w:rPr>
                      <w:sz w:val="21"/>
                      <w:szCs w:val="21"/>
                    </w:rPr>
                  </w:pPr>
                  <w:r>
                    <w:rPr>
                      <w:kern w:val="0"/>
                      <w:sz w:val="21"/>
                      <w:szCs w:val="21"/>
                      <w:lang w:bidi="ar"/>
                    </w:rPr>
                    <w:t>本项目不涉及的危险化学品，环境风险主要体现在管道泄漏、爆裂风险和污水处理</w:t>
                  </w:r>
                  <w:r>
                    <w:rPr>
                      <w:rFonts w:hint="eastAsia"/>
                      <w:kern w:val="0"/>
                      <w:sz w:val="21"/>
                      <w:szCs w:val="21"/>
                      <w:lang w:bidi="ar"/>
                    </w:rPr>
                    <w:t>设施外泄</w:t>
                  </w:r>
                  <w:r>
                    <w:rPr>
                      <w:kern w:val="0"/>
                      <w:sz w:val="21"/>
                      <w:szCs w:val="21"/>
                      <w:lang w:bidi="ar"/>
                    </w:rPr>
                    <w:t>风险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1500" w:type="dxa"/>
                  <w:vAlign w:val="center"/>
                </w:tcPr>
                <w:p>
                  <w:pPr>
                    <w:jc w:val="center"/>
                    <w:rPr>
                      <w:sz w:val="21"/>
                      <w:szCs w:val="21"/>
                    </w:rPr>
                  </w:pPr>
                  <w:r>
                    <w:rPr>
                      <w:sz w:val="21"/>
                      <w:szCs w:val="21"/>
                    </w:rPr>
                    <w:t>环境影响途径及危害后果</w:t>
                  </w:r>
                </w:p>
              </w:tc>
              <w:tc>
                <w:tcPr>
                  <w:tcW w:w="6796" w:type="dxa"/>
                  <w:gridSpan w:val="4"/>
                  <w:vAlign w:val="center"/>
                </w:tcPr>
                <w:p>
                  <w:pPr>
                    <w:widowControl/>
                    <w:jc w:val="left"/>
                    <w:rPr>
                      <w:sz w:val="21"/>
                      <w:szCs w:val="21"/>
                    </w:rPr>
                  </w:pPr>
                  <w:r>
                    <w:rPr>
                      <w:b/>
                      <w:kern w:val="0"/>
                      <w:sz w:val="21"/>
                      <w:szCs w:val="21"/>
                      <w:lang w:bidi="ar"/>
                    </w:rPr>
                    <w:t>管道泄漏、爆裂风险：</w:t>
                  </w:r>
                  <w:r>
                    <w:rPr>
                      <w:kern w:val="0"/>
                      <w:sz w:val="21"/>
                      <w:szCs w:val="21"/>
                      <w:lang w:bidi="ar"/>
                    </w:rPr>
                    <w:t xml:space="preserve">管道泄漏、爆裂造成生活污水暴露在外环境，造成区域环境空气和地表水污染 </w:t>
                  </w:r>
                </w:p>
                <w:p>
                  <w:pPr>
                    <w:widowControl/>
                    <w:jc w:val="left"/>
                    <w:rPr>
                      <w:sz w:val="21"/>
                      <w:szCs w:val="21"/>
                    </w:rPr>
                  </w:pPr>
                  <w:r>
                    <w:rPr>
                      <w:b/>
                      <w:kern w:val="0"/>
                      <w:sz w:val="21"/>
                      <w:szCs w:val="21"/>
                      <w:lang w:bidi="ar"/>
                    </w:rPr>
                    <w:t>污水处理站风险：</w:t>
                  </w:r>
                  <w:r>
                    <w:rPr>
                      <w:kern w:val="0"/>
                      <w:sz w:val="21"/>
                      <w:szCs w:val="21"/>
                      <w:lang w:bidi="ar"/>
                    </w:rPr>
                    <w:t>污水站事故排放导致地表水环境受到影响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1500" w:type="dxa"/>
                  <w:vAlign w:val="center"/>
                </w:tcPr>
                <w:p>
                  <w:pPr>
                    <w:jc w:val="center"/>
                    <w:rPr>
                      <w:sz w:val="21"/>
                      <w:szCs w:val="21"/>
                    </w:rPr>
                  </w:pPr>
                  <w:r>
                    <w:rPr>
                      <w:sz w:val="21"/>
                      <w:szCs w:val="21"/>
                    </w:rPr>
                    <w:t>风险防范措施等</w:t>
                  </w:r>
                </w:p>
              </w:tc>
              <w:tc>
                <w:tcPr>
                  <w:tcW w:w="6796" w:type="dxa"/>
                  <w:gridSpan w:val="4"/>
                  <w:vAlign w:val="center"/>
                </w:tcPr>
                <w:p>
                  <w:pPr>
                    <w:widowControl/>
                    <w:jc w:val="left"/>
                    <w:rPr>
                      <w:sz w:val="21"/>
                      <w:szCs w:val="21"/>
                    </w:rPr>
                  </w:pPr>
                  <w:r>
                    <w:rPr>
                      <w:b/>
                      <w:kern w:val="0"/>
                      <w:sz w:val="21"/>
                      <w:szCs w:val="21"/>
                      <w:lang w:bidi="ar"/>
                    </w:rPr>
                    <w:t>管道泄漏、爆裂风险防范：</w:t>
                  </w:r>
                  <w:r>
                    <w:rPr>
                      <w:kern w:val="0"/>
                      <w:sz w:val="21"/>
                      <w:szCs w:val="21"/>
                      <w:lang w:bidi="ar"/>
                    </w:rPr>
                    <w:t xml:space="preserve">严格管理、加强沿线新建项目施工的检查、防渗措施 </w:t>
                  </w:r>
                </w:p>
                <w:p>
                  <w:pPr>
                    <w:widowControl/>
                    <w:jc w:val="left"/>
                    <w:rPr>
                      <w:sz w:val="21"/>
                      <w:szCs w:val="21"/>
                    </w:rPr>
                  </w:pPr>
                  <w:r>
                    <w:rPr>
                      <w:b/>
                      <w:kern w:val="0"/>
                      <w:sz w:val="21"/>
                      <w:szCs w:val="21"/>
                      <w:lang w:bidi="ar"/>
                    </w:rPr>
                    <w:t>污水处理站风险：</w:t>
                  </w:r>
                  <w:r>
                    <w:rPr>
                      <w:kern w:val="0"/>
                      <w:sz w:val="21"/>
                      <w:szCs w:val="21"/>
                      <w:lang w:bidi="ar"/>
                    </w:rPr>
                    <w:t>关键设备一用一备、加强运行管理和出水的监测工作、设备维护工作，建立合适的事故处理程序、机制和措施，建立安全操作规程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9" w:hRule="atLeast"/>
              </w:trPr>
              <w:tc>
                <w:tcPr>
                  <w:tcW w:w="1500" w:type="dxa"/>
                  <w:vAlign w:val="center"/>
                </w:tcPr>
                <w:p>
                  <w:pPr>
                    <w:jc w:val="center"/>
                    <w:rPr>
                      <w:sz w:val="21"/>
                      <w:szCs w:val="21"/>
                    </w:rPr>
                  </w:pPr>
                  <w:r>
                    <w:rPr>
                      <w:sz w:val="21"/>
                      <w:szCs w:val="21"/>
                    </w:rPr>
                    <w:t>填表说明</w:t>
                  </w:r>
                </w:p>
              </w:tc>
              <w:tc>
                <w:tcPr>
                  <w:tcW w:w="6796" w:type="dxa"/>
                  <w:gridSpan w:val="4"/>
                  <w:vAlign w:val="center"/>
                </w:tcPr>
                <w:p>
                  <w:pPr>
                    <w:jc w:val="center"/>
                    <w:rPr>
                      <w:sz w:val="21"/>
                      <w:szCs w:val="21"/>
                    </w:rPr>
                  </w:pPr>
                  <w:r>
                    <w:rPr>
                      <w:sz w:val="21"/>
                      <w:szCs w:val="21"/>
                    </w:rPr>
                    <w:t>/</w:t>
                  </w:r>
                </w:p>
              </w:tc>
            </w:tr>
          </w:tbl>
          <w:p>
            <w:pPr>
              <w:spacing w:line="360" w:lineRule="auto"/>
              <w:ind w:firstLine="482" w:firstLineChars="200"/>
              <w:rPr>
                <w:b/>
                <w:bCs/>
              </w:rPr>
            </w:pPr>
            <w:r>
              <w:rPr>
                <w:b/>
                <w:bCs/>
              </w:rPr>
              <w:t>4.3环境敏感目标概况</w:t>
            </w:r>
          </w:p>
          <w:p>
            <w:pPr>
              <w:pStyle w:val="29"/>
              <w:ind w:left="0" w:leftChars="0" w:firstLine="480"/>
              <w:rPr>
                <w:sz w:val="24"/>
              </w:rPr>
            </w:pPr>
            <w:r>
              <w:rPr>
                <w:sz w:val="24"/>
              </w:rPr>
              <w:t>本项目涉及的环境敏感目标见表7-34。</w:t>
            </w:r>
          </w:p>
          <w:p>
            <w:pPr>
              <w:adjustRightInd w:val="0"/>
              <w:snapToGrid w:val="0"/>
              <w:spacing w:line="360" w:lineRule="auto"/>
              <w:jc w:val="center"/>
              <w:rPr>
                <w:rFonts w:cs="Times New Roman"/>
                <w:b/>
                <w:szCs w:val="24"/>
              </w:rPr>
            </w:pPr>
            <w:r>
              <w:rPr>
                <w:rFonts w:cs="Times New Roman"/>
                <w:b/>
                <w:szCs w:val="24"/>
              </w:rPr>
              <w:t>表7-34  项目</w:t>
            </w:r>
            <w:r>
              <w:rPr>
                <w:rFonts w:hint="eastAsia" w:cs="Times New Roman"/>
                <w:b/>
                <w:szCs w:val="24"/>
              </w:rPr>
              <w:t>污水处理站</w:t>
            </w:r>
            <w:r>
              <w:rPr>
                <w:rFonts w:cs="Times New Roman"/>
                <w:b/>
                <w:szCs w:val="24"/>
              </w:rPr>
              <w:t>主要环境保护目标</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15"/>
              <w:gridCol w:w="1186"/>
              <w:gridCol w:w="1182"/>
              <w:gridCol w:w="772"/>
              <w:gridCol w:w="862"/>
              <w:gridCol w:w="1533"/>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环境要素</w:t>
                  </w:r>
                </w:p>
              </w:tc>
              <w:tc>
                <w:tcPr>
                  <w:tcW w:w="714"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环境保护对象名称</w:t>
                  </w:r>
                </w:p>
              </w:tc>
              <w:tc>
                <w:tcPr>
                  <w:tcW w:w="712"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方位</w:t>
                  </w:r>
                </w:p>
              </w:tc>
              <w:tc>
                <w:tcPr>
                  <w:tcW w:w="465"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高差</w:t>
                  </w:r>
                </w:p>
              </w:tc>
              <w:tc>
                <w:tcPr>
                  <w:tcW w:w="519"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最近距离</w:t>
                  </w:r>
                </w:p>
              </w:tc>
              <w:tc>
                <w:tcPr>
                  <w:tcW w:w="923"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规模及性质</w:t>
                  </w:r>
                </w:p>
              </w:tc>
              <w:tc>
                <w:tcPr>
                  <w:tcW w:w="1055"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环境保护级别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restar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环境空气</w:t>
                  </w: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712"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北</w:t>
                  </w:r>
                </w:p>
              </w:tc>
              <w:tc>
                <w:tcPr>
                  <w:tcW w:w="465"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m</w:t>
                  </w:r>
                </w:p>
              </w:tc>
              <w:tc>
                <w:tcPr>
                  <w:tcW w:w="519"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0m</w:t>
                  </w:r>
                </w:p>
              </w:tc>
              <w:tc>
                <w:tcPr>
                  <w:tcW w:w="923"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户，</w:t>
                  </w:r>
                  <w:r>
                    <w:rPr>
                      <w:rFonts w:hint="eastAsia" w:cs="Times New Roman"/>
                      <w:sz w:val="21"/>
                      <w:szCs w:val="21"/>
                    </w:rPr>
                    <w:t>3人，</w:t>
                  </w:r>
                  <w:r>
                    <w:rPr>
                      <w:rFonts w:cs="Times New Roman"/>
                      <w:sz w:val="21"/>
                      <w:szCs w:val="21"/>
                    </w:rPr>
                    <w:t>居住生活</w:t>
                  </w:r>
                </w:p>
              </w:tc>
              <w:tc>
                <w:tcPr>
                  <w:tcW w:w="1055" w:type="pct"/>
                  <w:vMerge w:val="restar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《环境空气质量标准》（GB3095-2012）二级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南</w:t>
                  </w:r>
                </w:p>
              </w:tc>
              <w:tc>
                <w:tcPr>
                  <w:tcW w:w="465"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m</w:t>
                  </w:r>
                </w:p>
              </w:tc>
              <w:tc>
                <w:tcPr>
                  <w:tcW w:w="519"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5</w:t>
                  </w:r>
                  <w:r>
                    <w:rPr>
                      <w:rFonts w:cs="Times New Roman"/>
                      <w:sz w:val="21"/>
                      <w:szCs w:val="21"/>
                    </w:rPr>
                    <w:t>1m</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约20户，</w:t>
                  </w:r>
                  <w:r>
                    <w:rPr>
                      <w:rFonts w:hint="eastAsia" w:cs="Times New Roman"/>
                      <w:sz w:val="21"/>
                      <w:szCs w:val="21"/>
                    </w:rPr>
                    <w:t>6</w:t>
                  </w:r>
                  <w:r>
                    <w:rPr>
                      <w:rFonts w:cs="Times New Roman"/>
                      <w:sz w:val="21"/>
                      <w:szCs w:val="21"/>
                    </w:rPr>
                    <w:t>0</w:t>
                  </w:r>
                  <w:r>
                    <w:rPr>
                      <w:rFonts w:hint="eastAsia" w:cs="Times New Roman"/>
                      <w:sz w:val="21"/>
                      <w:szCs w:val="21"/>
                    </w:rPr>
                    <w:t>人，</w:t>
                  </w:r>
                  <w:r>
                    <w:rPr>
                      <w:rFonts w:cs="Times New Roman"/>
                      <w:sz w:val="21"/>
                      <w:szCs w:val="21"/>
                    </w:rPr>
                    <w:t>居住生活</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465"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3</w:t>
                  </w:r>
                  <w:r>
                    <w:rPr>
                      <w:rFonts w:cs="Times New Roman"/>
                      <w:sz w:val="21"/>
                      <w:szCs w:val="21"/>
                    </w:rPr>
                    <w:t>m</w:t>
                  </w:r>
                </w:p>
              </w:tc>
              <w:tc>
                <w:tcPr>
                  <w:tcW w:w="519"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7m</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约50户，</w:t>
                  </w:r>
                  <w:r>
                    <w:rPr>
                      <w:rFonts w:hint="eastAsia" w:cs="Times New Roman"/>
                      <w:sz w:val="21"/>
                      <w:szCs w:val="21"/>
                    </w:rPr>
                    <w:t>1</w:t>
                  </w:r>
                  <w:r>
                    <w:rPr>
                      <w:rFonts w:cs="Times New Roman"/>
                      <w:sz w:val="21"/>
                      <w:szCs w:val="21"/>
                    </w:rPr>
                    <w:t>50</w:t>
                  </w:r>
                  <w:r>
                    <w:rPr>
                      <w:rFonts w:hint="eastAsia" w:cs="Times New Roman"/>
                      <w:sz w:val="21"/>
                      <w:szCs w:val="21"/>
                    </w:rPr>
                    <w:t>人，</w:t>
                  </w:r>
                  <w:r>
                    <w:rPr>
                      <w:rFonts w:cs="Times New Roman"/>
                      <w:sz w:val="21"/>
                      <w:szCs w:val="21"/>
                    </w:rPr>
                    <w:t>居住生活</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465"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50m</w:t>
                  </w:r>
                </w:p>
              </w:tc>
              <w:tc>
                <w:tcPr>
                  <w:tcW w:w="519"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1</w:t>
                  </w:r>
                  <w:r>
                    <w:rPr>
                      <w:rFonts w:hint="eastAsia" w:cs="Times New Roman"/>
                      <w:sz w:val="21"/>
                      <w:szCs w:val="21"/>
                    </w:rPr>
                    <w:t>2</w:t>
                  </w:r>
                  <w:r>
                    <w:rPr>
                      <w:rFonts w:cs="Times New Roman"/>
                      <w:sz w:val="21"/>
                      <w:szCs w:val="21"/>
                    </w:rPr>
                    <w:t>7m</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约40户，</w:t>
                  </w:r>
                  <w:r>
                    <w:rPr>
                      <w:rFonts w:hint="eastAsia" w:cs="Times New Roman"/>
                      <w:sz w:val="21"/>
                      <w:szCs w:val="21"/>
                    </w:rPr>
                    <w:t>1</w:t>
                  </w:r>
                  <w:r>
                    <w:rPr>
                      <w:rFonts w:cs="Times New Roman"/>
                      <w:sz w:val="21"/>
                      <w:szCs w:val="21"/>
                    </w:rPr>
                    <w:t>20</w:t>
                  </w:r>
                  <w:r>
                    <w:rPr>
                      <w:rFonts w:hint="eastAsia" w:cs="Times New Roman"/>
                      <w:sz w:val="21"/>
                      <w:szCs w:val="21"/>
                    </w:rPr>
                    <w:t>人，</w:t>
                  </w:r>
                  <w:r>
                    <w:rPr>
                      <w:rFonts w:cs="Times New Roman"/>
                      <w:sz w:val="21"/>
                      <w:szCs w:val="21"/>
                    </w:rPr>
                    <w:t>居住生活</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西南</w:t>
                  </w:r>
                </w:p>
              </w:tc>
              <w:tc>
                <w:tcPr>
                  <w:tcW w:w="465"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20m</w:t>
                  </w:r>
                </w:p>
              </w:tc>
              <w:tc>
                <w:tcPr>
                  <w:tcW w:w="519"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99m</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w:t>
                  </w:r>
                  <w:r>
                    <w:rPr>
                      <w:rFonts w:hint="eastAsia" w:cs="Times New Roman"/>
                      <w:sz w:val="21"/>
                      <w:szCs w:val="21"/>
                    </w:rPr>
                    <w:t>2</w:t>
                  </w:r>
                  <w:r>
                    <w:rPr>
                      <w:rFonts w:cs="Times New Roman"/>
                      <w:sz w:val="21"/>
                      <w:szCs w:val="21"/>
                    </w:rPr>
                    <w:t>6户，</w:t>
                  </w:r>
                  <w:r>
                    <w:rPr>
                      <w:rFonts w:hint="eastAsia" w:cs="Times New Roman"/>
                      <w:sz w:val="21"/>
                      <w:szCs w:val="21"/>
                    </w:rPr>
                    <w:t>7</w:t>
                  </w:r>
                  <w:r>
                    <w:rPr>
                      <w:rFonts w:cs="Times New Roman"/>
                      <w:sz w:val="21"/>
                      <w:szCs w:val="21"/>
                    </w:rPr>
                    <w:t>8</w:t>
                  </w:r>
                  <w:r>
                    <w:rPr>
                      <w:rFonts w:hint="eastAsia" w:cs="Times New Roman"/>
                      <w:sz w:val="21"/>
                      <w:szCs w:val="21"/>
                    </w:rPr>
                    <w:t>人，</w:t>
                  </w:r>
                  <w:r>
                    <w:rPr>
                      <w:rFonts w:cs="Times New Roman"/>
                      <w:sz w:val="21"/>
                      <w:szCs w:val="21"/>
                    </w:rPr>
                    <w:t>居住生活</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西南</w:t>
                  </w:r>
                </w:p>
              </w:tc>
              <w:tc>
                <w:tcPr>
                  <w:tcW w:w="465"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80m</w:t>
                  </w:r>
                </w:p>
              </w:tc>
              <w:tc>
                <w:tcPr>
                  <w:tcW w:w="519"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292m</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约32户，96</w:t>
                  </w:r>
                  <w:r>
                    <w:rPr>
                      <w:rFonts w:hint="eastAsia" w:cs="Times New Roman"/>
                      <w:sz w:val="21"/>
                      <w:szCs w:val="21"/>
                    </w:rPr>
                    <w:t>人，</w:t>
                  </w:r>
                  <w:r>
                    <w:rPr>
                      <w:rFonts w:cs="Times New Roman"/>
                      <w:sz w:val="21"/>
                      <w:szCs w:val="21"/>
                    </w:rPr>
                    <w:t>居住生活</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西南</w:t>
                  </w:r>
                </w:p>
              </w:tc>
              <w:tc>
                <w:tcPr>
                  <w:tcW w:w="465"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08m</w:t>
                  </w:r>
                </w:p>
              </w:tc>
              <w:tc>
                <w:tcPr>
                  <w:tcW w:w="519"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593m</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约18户，54</w:t>
                  </w:r>
                  <w:r>
                    <w:rPr>
                      <w:rFonts w:hint="eastAsia" w:cs="Times New Roman"/>
                      <w:sz w:val="21"/>
                      <w:szCs w:val="21"/>
                    </w:rPr>
                    <w:t>人，</w:t>
                  </w:r>
                  <w:r>
                    <w:rPr>
                      <w:rFonts w:cs="Times New Roman"/>
                      <w:sz w:val="21"/>
                      <w:szCs w:val="21"/>
                    </w:rPr>
                    <w:t>居住生活</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西南</w:t>
                  </w:r>
                </w:p>
              </w:tc>
              <w:tc>
                <w:tcPr>
                  <w:tcW w:w="465"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7</w:t>
                  </w:r>
                  <w:r>
                    <w:rPr>
                      <w:rFonts w:cs="Times New Roman"/>
                      <w:sz w:val="21"/>
                      <w:szCs w:val="21"/>
                    </w:rPr>
                    <w:t>8m</w:t>
                  </w:r>
                </w:p>
              </w:tc>
              <w:tc>
                <w:tcPr>
                  <w:tcW w:w="519"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6</w:t>
                  </w:r>
                  <w:r>
                    <w:rPr>
                      <w:rFonts w:cs="Times New Roman"/>
                      <w:sz w:val="21"/>
                      <w:szCs w:val="21"/>
                    </w:rPr>
                    <w:t>07m</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约20户，</w:t>
                  </w:r>
                  <w:r>
                    <w:rPr>
                      <w:rFonts w:hint="eastAsia" w:cs="Times New Roman"/>
                      <w:sz w:val="21"/>
                      <w:szCs w:val="21"/>
                    </w:rPr>
                    <w:t>6</w:t>
                  </w:r>
                  <w:r>
                    <w:rPr>
                      <w:rFonts w:cs="Times New Roman"/>
                      <w:sz w:val="21"/>
                      <w:szCs w:val="21"/>
                    </w:rPr>
                    <w:t>0</w:t>
                  </w:r>
                  <w:r>
                    <w:rPr>
                      <w:rFonts w:hint="eastAsia" w:cs="Times New Roman"/>
                      <w:sz w:val="21"/>
                      <w:szCs w:val="21"/>
                    </w:rPr>
                    <w:t>人，</w:t>
                  </w:r>
                  <w:r>
                    <w:rPr>
                      <w:rFonts w:cs="Times New Roman"/>
                      <w:sz w:val="21"/>
                      <w:szCs w:val="21"/>
                    </w:rPr>
                    <w:t>居住生活</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散居居民</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西北</w:t>
                  </w:r>
                </w:p>
              </w:tc>
              <w:tc>
                <w:tcPr>
                  <w:tcW w:w="465"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3</w:t>
                  </w:r>
                  <w:r>
                    <w:rPr>
                      <w:rFonts w:cs="Times New Roman"/>
                      <w:sz w:val="21"/>
                      <w:szCs w:val="21"/>
                    </w:rPr>
                    <w:t>6m</w:t>
                  </w:r>
                </w:p>
              </w:tc>
              <w:tc>
                <w:tcPr>
                  <w:tcW w:w="519"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63m</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约15户，</w:t>
                  </w:r>
                  <w:r>
                    <w:rPr>
                      <w:rFonts w:hint="eastAsia" w:cs="Times New Roman"/>
                      <w:sz w:val="21"/>
                      <w:szCs w:val="21"/>
                    </w:rPr>
                    <w:t>4</w:t>
                  </w:r>
                  <w:r>
                    <w:rPr>
                      <w:rFonts w:cs="Times New Roman"/>
                      <w:sz w:val="21"/>
                      <w:szCs w:val="21"/>
                    </w:rPr>
                    <w:t>5</w:t>
                  </w:r>
                  <w:r>
                    <w:rPr>
                      <w:rFonts w:hint="eastAsia" w:cs="Times New Roman"/>
                      <w:sz w:val="21"/>
                      <w:szCs w:val="21"/>
                    </w:rPr>
                    <w:t>人，</w:t>
                  </w:r>
                  <w:r>
                    <w:rPr>
                      <w:rFonts w:cs="Times New Roman"/>
                      <w:sz w:val="21"/>
                      <w:szCs w:val="21"/>
                    </w:rPr>
                    <w:t>居住生活</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马嘶溪村</w:t>
                  </w:r>
                  <w:r>
                    <w:rPr>
                      <w:rFonts w:hint="eastAsia" w:cs="Times New Roman"/>
                      <w:sz w:val="21"/>
                      <w:szCs w:val="21"/>
                    </w:rPr>
                    <w:t>村民委员会</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465"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4</w:t>
                  </w:r>
                  <w:r>
                    <w:rPr>
                      <w:rFonts w:cs="Times New Roman"/>
                      <w:sz w:val="21"/>
                      <w:szCs w:val="21"/>
                    </w:rPr>
                    <w:t>m</w:t>
                  </w:r>
                </w:p>
              </w:tc>
              <w:tc>
                <w:tcPr>
                  <w:tcW w:w="519"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1</w:t>
                  </w:r>
                  <w:r>
                    <w:rPr>
                      <w:rFonts w:cs="Times New Roman"/>
                      <w:sz w:val="21"/>
                      <w:szCs w:val="21"/>
                    </w:rPr>
                    <w:t>10m</w:t>
                  </w:r>
                </w:p>
              </w:tc>
              <w:tc>
                <w:tcPr>
                  <w:tcW w:w="923"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约2</w:t>
                  </w:r>
                  <w:r>
                    <w:rPr>
                      <w:rFonts w:cs="Times New Roman"/>
                      <w:sz w:val="21"/>
                      <w:szCs w:val="21"/>
                    </w:rPr>
                    <w:t>0</w:t>
                  </w:r>
                  <w:r>
                    <w:rPr>
                      <w:rFonts w:hint="eastAsia" w:cs="Times New Roman"/>
                      <w:sz w:val="21"/>
                      <w:szCs w:val="21"/>
                    </w:rPr>
                    <w:t>人</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Merge w:val="continue"/>
                  <w:vAlign w:val="center"/>
                </w:tcPr>
                <w:p>
                  <w:pPr>
                    <w:pBdr>
                      <w:left w:val="single" w:color="auto" w:sz="12" w:space="4"/>
                      <w:right w:val="single" w:color="auto" w:sz="12" w:space="4"/>
                    </w:pBdr>
                    <w:jc w:val="center"/>
                    <w:rPr>
                      <w:rFonts w:cs="Times New Roman"/>
                      <w:sz w:val="21"/>
                      <w:szCs w:val="21"/>
                    </w:rPr>
                  </w:pPr>
                </w:p>
              </w:tc>
              <w:tc>
                <w:tcPr>
                  <w:tcW w:w="714"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峨边火车站</w:t>
                  </w:r>
                </w:p>
              </w:tc>
              <w:tc>
                <w:tcPr>
                  <w:tcW w:w="712"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西</w:t>
                  </w:r>
                </w:p>
              </w:tc>
              <w:tc>
                <w:tcPr>
                  <w:tcW w:w="465"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3</w:t>
                  </w:r>
                  <w:r>
                    <w:rPr>
                      <w:rFonts w:cs="Times New Roman"/>
                      <w:sz w:val="21"/>
                      <w:szCs w:val="21"/>
                    </w:rPr>
                    <w:t>m</w:t>
                  </w:r>
                </w:p>
              </w:tc>
              <w:tc>
                <w:tcPr>
                  <w:tcW w:w="519"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2</w:t>
                  </w:r>
                  <w:r>
                    <w:rPr>
                      <w:rFonts w:cs="Times New Roman"/>
                      <w:sz w:val="21"/>
                      <w:szCs w:val="21"/>
                    </w:rPr>
                    <w:t>18m</w:t>
                  </w:r>
                </w:p>
              </w:tc>
              <w:tc>
                <w:tcPr>
                  <w:tcW w:w="923"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约5</w:t>
                  </w:r>
                  <w:r>
                    <w:rPr>
                      <w:rFonts w:cs="Times New Roman"/>
                      <w:sz w:val="21"/>
                      <w:szCs w:val="21"/>
                    </w:rPr>
                    <w:t>00</w:t>
                  </w:r>
                  <w:r>
                    <w:rPr>
                      <w:rFonts w:hint="eastAsia" w:cs="Times New Roman"/>
                      <w:sz w:val="21"/>
                      <w:szCs w:val="21"/>
                    </w:rPr>
                    <w:t>人</w:t>
                  </w:r>
                </w:p>
              </w:tc>
              <w:tc>
                <w:tcPr>
                  <w:tcW w:w="1055" w:type="pct"/>
                  <w:vMerge w:val="continue"/>
                  <w:vAlign w:val="center"/>
                </w:tcPr>
                <w:p>
                  <w:pPr>
                    <w:pBdr>
                      <w:left w:val="single" w:color="auto" w:sz="12" w:space="4"/>
                      <w:right w:val="single" w:color="auto" w:sz="12" w:space="4"/>
                    </w:pBd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地表水环境</w:t>
                  </w:r>
                </w:p>
              </w:tc>
              <w:tc>
                <w:tcPr>
                  <w:tcW w:w="714" w:type="pct"/>
                  <w:vAlign w:val="center"/>
                </w:tcPr>
                <w:p>
                  <w:pPr>
                    <w:pBdr>
                      <w:left w:val="single" w:color="auto" w:sz="12" w:space="4"/>
                      <w:right w:val="single" w:color="auto" w:sz="12" w:space="4"/>
                    </w:pBdr>
                    <w:jc w:val="center"/>
                    <w:rPr>
                      <w:rFonts w:cs="Times New Roman"/>
                      <w:sz w:val="21"/>
                      <w:szCs w:val="21"/>
                    </w:rPr>
                  </w:pPr>
                  <w:r>
                    <w:rPr>
                      <w:rFonts w:hint="eastAsia" w:cs="Times New Roman"/>
                      <w:sz w:val="21"/>
                      <w:szCs w:val="21"/>
                    </w:rPr>
                    <w:t>大渡河</w:t>
                  </w:r>
                </w:p>
              </w:tc>
              <w:tc>
                <w:tcPr>
                  <w:tcW w:w="712"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东侧</w:t>
                  </w:r>
                </w:p>
              </w:tc>
              <w:tc>
                <w:tcPr>
                  <w:tcW w:w="465"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w:t>
                  </w:r>
                </w:p>
              </w:tc>
              <w:tc>
                <w:tcPr>
                  <w:tcW w:w="519" w:type="pct"/>
                  <w:vAlign w:val="center"/>
                </w:tcPr>
                <w:p>
                  <w:pPr>
                    <w:pBdr>
                      <w:left w:val="single" w:color="auto" w:sz="12" w:space="4"/>
                      <w:right w:val="single" w:color="auto" w:sz="12" w:space="4"/>
                    </w:pBdr>
                    <w:jc w:val="center"/>
                    <w:rPr>
                      <w:rFonts w:cs="Times New Roman"/>
                      <w:bCs/>
                      <w:sz w:val="21"/>
                      <w:szCs w:val="21"/>
                    </w:rPr>
                  </w:pPr>
                  <w:r>
                    <w:rPr>
                      <w:rFonts w:hint="eastAsia" w:cs="Times New Roman"/>
                      <w:bCs/>
                      <w:sz w:val="21"/>
                      <w:szCs w:val="21"/>
                    </w:rPr>
                    <w:t>2</w:t>
                  </w:r>
                  <w:r>
                    <w:rPr>
                      <w:rFonts w:cs="Times New Roman"/>
                      <w:bCs/>
                      <w:sz w:val="21"/>
                      <w:szCs w:val="21"/>
                    </w:rPr>
                    <w:t>9m</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III类水体；行洪灌溉</w:t>
                  </w:r>
                </w:p>
              </w:tc>
              <w:tc>
                <w:tcPr>
                  <w:tcW w:w="1055"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《地表水环境质量标准》（GB3838-2002）</w:t>
                  </w:r>
                  <w:r>
                    <w:rPr>
                      <w:rFonts w:cs="Times New Roman"/>
                      <w:sz w:val="21"/>
                      <w:szCs w:val="21"/>
                    </w:rPr>
                    <w:fldChar w:fldCharType="begin"/>
                  </w:r>
                  <w:r>
                    <w:rPr>
                      <w:rFonts w:cs="Times New Roman"/>
                      <w:sz w:val="21"/>
                      <w:szCs w:val="21"/>
                    </w:rPr>
                    <w:instrText xml:space="preserve"> = 4 \* ROMAN </w:instrText>
                  </w:r>
                  <w:r>
                    <w:rPr>
                      <w:rFonts w:cs="Times New Roman"/>
                      <w:sz w:val="21"/>
                      <w:szCs w:val="21"/>
                    </w:rPr>
                    <w:fldChar w:fldCharType="separate"/>
                  </w:r>
                  <w:r>
                    <w:rPr>
                      <w:rFonts w:cs="Times New Roman"/>
                      <w:sz w:val="21"/>
                      <w:szCs w:val="21"/>
                    </w:rPr>
                    <w:t>I</w:t>
                  </w:r>
                  <w:r>
                    <w:rPr>
                      <w:rFonts w:cs="Times New Roman"/>
                      <w:sz w:val="21"/>
                      <w:szCs w:val="21"/>
                    </w:rPr>
                    <w:fldChar w:fldCharType="begin"/>
                  </w:r>
                  <w:r>
                    <w:rPr>
                      <w:rFonts w:cs="Times New Roman"/>
                      <w:sz w:val="21"/>
                      <w:szCs w:val="21"/>
                    </w:rPr>
                    <w:instrText xml:space="preserve"> = 3 \* ROMAN </w:instrText>
                  </w:r>
                  <w:r>
                    <w:rPr>
                      <w:rFonts w:cs="Times New Roman"/>
                      <w:sz w:val="21"/>
                      <w:szCs w:val="21"/>
                    </w:rPr>
                    <w:fldChar w:fldCharType="separate"/>
                  </w:r>
                  <w:r>
                    <w:rPr>
                      <w:rFonts w:cs="Times New Roman"/>
                      <w:sz w:val="21"/>
                      <w:szCs w:val="21"/>
                    </w:rPr>
                    <w:t>II</w:t>
                  </w:r>
                  <w:r>
                    <w:rPr>
                      <w:rFonts w:cs="Times New Roman"/>
                      <w:sz w:val="21"/>
                      <w:szCs w:val="21"/>
                    </w:rPr>
                    <w:fldChar w:fldCharType="end"/>
                  </w:r>
                  <w:r>
                    <w:rPr>
                      <w:rFonts w:cs="Times New Roman"/>
                      <w:sz w:val="21"/>
                      <w:szCs w:val="21"/>
                    </w:rPr>
                    <w:fldChar w:fldCharType="end"/>
                  </w:r>
                  <w:r>
                    <w:rPr>
                      <w:rFonts w:cs="Times New Roman"/>
                      <w:sz w:val="21"/>
                      <w:szCs w:val="21"/>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2"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地下水环境</w:t>
                  </w:r>
                </w:p>
              </w:tc>
              <w:tc>
                <w:tcPr>
                  <w:tcW w:w="714"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当地地下水</w:t>
                  </w:r>
                </w:p>
              </w:tc>
              <w:tc>
                <w:tcPr>
                  <w:tcW w:w="712"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w:t>
                  </w:r>
                </w:p>
              </w:tc>
              <w:tc>
                <w:tcPr>
                  <w:tcW w:w="465"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w:t>
                  </w:r>
                </w:p>
              </w:tc>
              <w:tc>
                <w:tcPr>
                  <w:tcW w:w="519" w:type="pct"/>
                  <w:vAlign w:val="center"/>
                </w:tcPr>
                <w:p>
                  <w:pPr>
                    <w:pBdr>
                      <w:left w:val="single" w:color="auto" w:sz="12" w:space="4"/>
                      <w:right w:val="single" w:color="auto" w:sz="12" w:space="4"/>
                    </w:pBdr>
                    <w:jc w:val="center"/>
                    <w:rPr>
                      <w:rFonts w:cs="Times New Roman"/>
                      <w:bCs/>
                      <w:sz w:val="21"/>
                      <w:szCs w:val="21"/>
                    </w:rPr>
                  </w:pPr>
                  <w:r>
                    <w:rPr>
                      <w:rFonts w:cs="Times New Roman"/>
                      <w:bCs/>
                      <w:sz w:val="21"/>
                      <w:szCs w:val="21"/>
                    </w:rPr>
                    <w:t>/</w:t>
                  </w:r>
                </w:p>
              </w:tc>
              <w:tc>
                <w:tcPr>
                  <w:tcW w:w="923"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w:t>
                  </w:r>
                </w:p>
              </w:tc>
              <w:tc>
                <w:tcPr>
                  <w:tcW w:w="1055" w:type="pct"/>
                  <w:vAlign w:val="center"/>
                </w:tcPr>
                <w:p>
                  <w:pPr>
                    <w:pBdr>
                      <w:left w:val="single" w:color="auto" w:sz="12" w:space="4"/>
                      <w:right w:val="single" w:color="auto" w:sz="12" w:space="4"/>
                    </w:pBdr>
                    <w:jc w:val="center"/>
                    <w:rPr>
                      <w:rFonts w:cs="Times New Roman"/>
                      <w:sz w:val="21"/>
                      <w:szCs w:val="21"/>
                    </w:rPr>
                  </w:pPr>
                  <w:r>
                    <w:rPr>
                      <w:rFonts w:cs="Times New Roman"/>
                      <w:sz w:val="21"/>
                      <w:szCs w:val="21"/>
                    </w:rPr>
                    <w:t>《地下水环境质量标准》（GB/T 14848-2017）中</w:t>
                  </w:r>
                  <w:r>
                    <w:rPr>
                      <w:rFonts w:hint="eastAsia" w:ascii="宋体" w:hAnsi="宋体" w:cs="宋体"/>
                      <w:sz w:val="21"/>
                      <w:szCs w:val="21"/>
                    </w:rPr>
                    <w:t>Ⅲ</w:t>
                  </w:r>
                  <w:r>
                    <w:rPr>
                      <w:rFonts w:cs="Times New Roman"/>
                      <w:sz w:val="21"/>
                      <w:szCs w:val="21"/>
                    </w:rPr>
                    <w:t>类水域标准</w:t>
                  </w:r>
                </w:p>
              </w:tc>
            </w:tr>
          </w:tbl>
          <w:p>
            <w:pPr>
              <w:adjustRightInd w:val="0"/>
              <w:snapToGrid w:val="0"/>
              <w:spacing w:line="360" w:lineRule="auto"/>
              <w:ind w:firstLine="482" w:firstLineChars="200"/>
              <w:rPr>
                <w:b/>
                <w:bCs/>
              </w:rPr>
            </w:pPr>
            <w:r>
              <w:rPr>
                <w:b/>
                <w:bCs/>
              </w:rPr>
              <w:t>4.4风险防范措施</w:t>
            </w:r>
          </w:p>
          <w:p>
            <w:pPr>
              <w:adjustRightInd w:val="0"/>
              <w:snapToGrid w:val="0"/>
              <w:spacing w:line="360" w:lineRule="auto"/>
              <w:ind w:firstLine="480" w:firstLineChars="200"/>
            </w:pPr>
            <w:r>
              <w:t>（1）对进水水质污染事故防范措施</w:t>
            </w:r>
          </w:p>
          <w:p>
            <w:pPr>
              <w:autoSpaceDE w:val="0"/>
              <w:autoSpaceDN w:val="0"/>
              <w:adjustRightInd w:val="0"/>
              <w:snapToGrid w:val="0"/>
              <w:spacing w:line="360" w:lineRule="auto"/>
              <w:ind w:firstLine="480" w:firstLineChars="200"/>
              <w:rPr>
                <w:kern w:val="0"/>
              </w:rPr>
            </w:pPr>
            <w:r>
              <w:rPr>
                <w:kern w:val="0"/>
              </w:rPr>
              <w:t>项目仅收集和处理生活污水，如其他废水不慎进入项目进水中，进水水质将受到污染，项目建设单位应采取如下防治措施：</w:t>
            </w:r>
          </w:p>
          <w:p>
            <w:pPr>
              <w:autoSpaceDE w:val="0"/>
              <w:autoSpaceDN w:val="0"/>
              <w:adjustRightInd w:val="0"/>
              <w:snapToGrid w:val="0"/>
              <w:spacing w:line="360" w:lineRule="auto"/>
              <w:ind w:firstLine="480" w:firstLineChars="200"/>
              <w:rPr>
                <w:kern w:val="0"/>
              </w:rPr>
            </w:pPr>
            <w:r>
              <w:rPr>
                <w:kern w:val="0"/>
              </w:rPr>
              <w:t>①建设单位应针对可能发生的污染事故，建立合适的事故处理程序、机制和措施。一旦发生事故，则采取相应的措施，将事故对环境的影响控制在最小或较小范围内。</w:t>
            </w:r>
          </w:p>
          <w:p>
            <w:pPr>
              <w:autoSpaceDE w:val="0"/>
              <w:autoSpaceDN w:val="0"/>
              <w:adjustRightInd w:val="0"/>
              <w:snapToGrid w:val="0"/>
              <w:spacing w:line="360" w:lineRule="auto"/>
              <w:ind w:firstLine="480" w:firstLineChars="200"/>
              <w:rPr>
                <w:kern w:val="0"/>
              </w:rPr>
            </w:pPr>
            <w:r>
              <w:rPr>
                <w:kern w:val="0"/>
              </w:rPr>
              <w:t>②人为因素往往是事故发生的主要原因，因此严格管理，做好人的工作是预防事故发生的重要环节。对于污水管网这类隐蔽工程，建设单位应加强施工期间的管理、检查，确保施工质量。</w:t>
            </w:r>
          </w:p>
          <w:p>
            <w:pPr>
              <w:autoSpaceDE w:val="0"/>
              <w:autoSpaceDN w:val="0"/>
              <w:adjustRightInd w:val="0"/>
              <w:snapToGrid w:val="0"/>
              <w:spacing w:line="360" w:lineRule="auto"/>
              <w:ind w:firstLine="480" w:firstLineChars="200"/>
              <w:rPr>
                <w:kern w:val="0"/>
              </w:rPr>
            </w:pPr>
            <w:r>
              <w:rPr>
                <w:kern w:val="0"/>
              </w:rPr>
              <w:t>③建设单位应加强对职工的思想教育，以提高工作人员的责任心和工作主动性；加强沿线管道和检查井的日常检查。</w:t>
            </w:r>
          </w:p>
          <w:p>
            <w:pPr>
              <w:autoSpaceDE w:val="0"/>
              <w:autoSpaceDN w:val="0"/>
              <w:adjustRightInd w:val="0"/>
              <w:snapToGrid w:val="0"/>
              <w:spacing w:line="360" w:lineRule="auto"/>
              <w:ind w:firstLine="480" w:firstLineChars="200"/>
              <w:rPr>
                <w:kern w:val="0"/>
              </w:rPr>
            </w:pPr>
            <w:r>
              <w:rPr>
                <w:kern w:val="0"/>
              </w:rPr>
              <w:t>④一旦发生事故，及时向有关部门反映，采取有效处理措施，最大限度降低对周围环境及财产造成的危害。</w:t>
            </w:r>
          </w:p>
          <w:p>
            <w:pPr>
              <w:autoSpaceDE w:val="0"/>
              <w:autoSpaceDN w:val="0"/>
              <w:adjustRightInd w:val="0"/>
              <w:snapToGrid w:val="0"/>
              <w:spacing w:line="360" w:lineRule="auto"/>
              <w:ind w:firstLine="480" w:firstLineChars="200"/>
              <w:rPr>
                <w:kern w:val="0"/>
              </w:rPr>
            </w:pPr>
            <w:r>
              <w:rPr>
                <w:kern w:val="0"/>
              </w:rPr>
              <w:t>⑤当事故发生后，立即截断污水来源和杜绝事故排放，及时发现不良水质进入污水处理站。</w:t>
            </w:r>
          </w:p>
          <w:p>
            <w:pPr>
              <w:autoSpaceDE w:val="0"/>
              <w:autoSpaceDN w:val="0"/>
              <w:adjustRightInd w:val="0"/>
              <w:snapToGrid w:val="0"/>
              <w:spacing w:line="360" w:lineRule="auto"/>
              <w:ind w:firstLine="480" w:firstLineChars="200"/>
              <w:rPr>
                <w:kern w:val="0"/>
              </w:rPr>
            </w:pPr>
            <w:r>
              <w:rPr>
                <w:kern w:val="0"/>
              </w:rPr>
              <w:t>（2）设备故障事故防范措施</w:t>
            </w:r>
          </w:p>
          <w:p>
            <w:pPr>
              <w:autoSpaceDE w:val="0"/>
              <w:autoSpaceDN w:val="0"/>
              <w:adjustRightInd w:val="0"/>
              <w:snapToGrid w:val="0"/>
              <w:spacing w:line="360" w:lineRule="auto"/>
              <w:ind w:firstLine="480" w:firstLineChars="200"/>
              <w:rPr>
                <w:kern w:val="0"/>
              </w:rPr>
            </w:pPr>
            <w:r>
              <w:rPr>
                <w:kern w:val="0"/>
              </w:rPr>
              <w:t>①为使在事故状态下污水处理站仪表等设备正常运转，必须选择质量优良、事故率低、便于维修的产品。关键设备应有备用，易损部件也要有备用，在事故出现时做到及时更换。</w:t>
            </w:r>
          </w:p>
          <w:p>
            <w:pPr>
              <w:autoSpaceDE w:val="0"/>
              <w:autoSpaceDN w:val="0"/>
              <w:adjustRightInd w:val="0"/>
              <w:snapToGrid w:val="0"/>
              <w:spacing w:line="360" w:lineRule="auto"/>
              <w:ind w:firstLine="480" w:firstLineChars="200"/>
              <w:rPr>
                <w:kern w:val="0"/>
              </w:rPr>
            </w:pPr>
            <w:r>
              <w:rPr>
                <w:kern w:val="0"/>
              </w:rPr>
              <w:t>②加强事故苗头控制，做到定期巡检，调节、保养、维修，及时发现可能引起事故的异常运行苗头，消除事故隐患。</w:t>
            </w:r>
          </w:p>
          <w:p>
            <w:pPr>
              <w:autoSpaceDE w:val="0"/>
              <w:autoSpaceDN w:val="0"/>
              <w:adjustRightInd w:val="0"/>
              <w:snapToGrid w:val="0"/>
              <w:spacing w:line="360" w:lineRule="auto"/>
              <w:ind w:firstLine="480" w:firstLineChars="200"/>
              <w:rPr>
                <w:kern w:val="0"/>
              </w:rPr>
            </w:pPr>
            <w:r>
              <w:rPr>
                <w:kern w:val="0"/>
              </w:rPr>
              <w:t>③严格控制处理单元的水量、水质、停留时间、负荷强度等，确保处理效果的稳定性，定期采样监测，操作人员及时调整，使设备处于最佳工况，发现不正常现象，应立即采取预防措施。</w:t>
            </w:r>
          </w:p>
          <w:p>
            <w:pPr>
              <w:autoSpaceDE w:val="0"/>
              <w:autoSpaceDN w:val="0"/>
              <w:adjustRightInd w:val="0"/>
              <w:snapToGrid w:val="0"/>
              <w:spacing w:line="360" w:lineRule="auto"/>
              <w:ind w:firstLine="480" w:firstLineChars="200"/>
              <w:rPr>
                <w:kern w:val="0"/>
              </w:rPr>
            </w:pPr>
            <w:r>
              <w:rPr>
                <w:kern w:val="0"/>
              </w:rPr>
              <w:t>④加强污水处理站人员操作技能的培训。</w:t>
            </w:r>
          </w:p>
          <w:p>
            <w:pPr>
              <w:autoSpaceDE w:val="0"/>
              <w:autoSpaceDN w:val="0"/>
              <w:adjustRightInd w:val="0"/>
              <w:snapToGrid w:val="0"/>
              <w:spacing w:line="360" w:lineRule="auto"/>
              <w:ind w:firstLine="480" w:firstLineChars="200"/>
              <w:rPr>
                <w:kern w:val="0"/>
              </w:rPr>
            </w:pPr>
            <w:r>
              <w:rPr>
                <w:kern w:val="0"/>
              </w:rPr>
              <w:t>（3）受洪水冲刷的工程预防措施</w:t>
            </w:r>
          </w:p>
          <w:p>
            <w:pPr>
              <w:tabs>
                <w:tab w:val="left" w:pos="6300"/>
              </w:tabs>
              <w:adjustRightInd w:val="0"/>
              <w:snapToGrid w:val="0"/>
              <w:spacing w:line="360" w:lineRule="auto"/>
              <w:ind w:firstLine="540"/>
              <w:rPr>
                <w:kern w:val="0"/>
              </w:rPr>
            </w:pPr>
            <w:r>
              <w:rPr>
                <w:kern w:val="0"/>
              </w:rPr>
              <w:t>①地震、气候变化等自然因素造成的事故不能避免，只能在事故发生后尽早发现及时补救。</w:t>
            </w:r>
          </w:p>
          <w:p>
            <w:pPr>
              <w:adjustRightInd w:val="0"/>
              <w:snapToGrid w:val="0"/>
              <w:spacing w:line="360" w:lineRule="auto"/>
              <w:ind w:firstLine="480" w:firstLineChars="200"/>
              <w:rPr>
                <w:kern w:val="0"/>
              </w:rPr>
            </w:pPr>
            <w:r>
              <w:rPr>
                <w:kern w:val="0"/>
              </w:rPr>
              <w:t>②为防止大雨时厂内地面积水，影响正常生产巡检，厂内设雨水管道，及时排除雨水，保证安全生产。</w:t>
            </w:r>
          </w:p>
          <w:p>
            <w:pPr>
              <w:autoSpaceDE w:val="0"/>
              <w:autoSpaceDN w:val="0"/>
              <w:adjustRightInd w:val="0"/>
              <w:snapToGrid w:val="0"/>
              <w:spacing w:line="360" w:lineRule="auto"/>
              <w:ind w:firstLine="480" w:firstLineChars="200"/>
              <w:rPr>
                <w:kern w:val="0"/>
              </w:rPr>
            </w:pPr>
            <w:r>
              <w:rPr>
                <w:kern w:val="0"/>
              </w:rPr>
              <w:t>③为了避免暴雨季节雨水对排水口冲刷，项目消毒渠出水堰标高需高于排水口标高，使排水口设置更加合理，避免出现事故性回水现象；工程建设过程中，应在尾水排放管加设闸门和废水事故性排放的措施，确保洪水期尾水安全排放。</w:t>
            </w:r>
          </w:p>
          <w:p>
            <w:pPr>
              <w:adjustRightInd w:val="0"/>
              <w:snapToGrid w:val="0"/>
              <w:spacing w:line="360" w:lineRule="auto"/>
              <w:ind w:firstLine="480" w:firstLineChars="200"/>
            </w:pPr>
            <w:r>
              <w:t>（4）污染事故应急预案</w:t>
            </w:r>
          </w:p>
          <w:p>
            <w:pPr>
              <w:autoSpaceDE w:val="0"/>
              <w:autoSpaceDN w:val="0"/>
              <w:adjustRightInd w:val="0"/>
              <w:snapToGrid w:val="0"/>
              <w:spacing w:line="360" w:lineRule="auto"/>
              <w:ind w:firstLine="480" w:firstLineChars="200"/>
              <w:rPr>
                <w:kern w:val="0"/>
              </w:rPr>
            </w:pPr>
            <w:r>
              <w:rPr>
                <w:kern w:val="0"/>
              </w:rPr>
              <w:t>污水处理站一旦发生停电</w:t>
            </w:r>
            <w:r>
              <w:rPr>
                <w:rFonts w:hint="eastAsia"/>
                <w:kern w:val="0"/>
              </w:rPr>
              <w:t>或</w:t>
            </w:r>
            <w:r>
              <w:rPr>
                <w:kern w:val="0"/>
              </w:rPr>
              <w:t>设备故障</w:t>
            </w:r>
            <w:r>
              <w:rPr>
                <w:rFonts w:hint="eastAsia"/>
                <w:kern w:val="0"/>
              </w:rPr>
              <w:t>时</w:t>
            </w:r>
            <w:r>
              <w:rPr>
                <w:kern w:val="0"/>
              </w:rPr>
              <w:t>，均要进行事故排放。一旦出现事故排放，必须按事先拟定的方案进行紧急处理，尽快找到事故原因，制定解决办法，将影响降到最低限度，同时需要及时向环保、市政部门报告，因突发性污染事件造成或者可能造成跨行政区域河流污染的，有关责任单位、个人和负责监管职责的部门以及相关人民政府必须按照国家和省的有关规定及时报告，事件发生地人民政府应当及时通报可能受污染区域的人民政府。</w:t>
            </w:r>
          </w:p>
          <w:p>
            <w:pPr>
              <w:adjustRightInd w:val="0"/>
              <w:snapToGrid w:val="0"/>
              <w:spacing w:line="360" w:lineRule="auto"/>
              <w:ind w:firstLine="480" w:firstLineChars="200"/>
            </w:pPr>
            <w:r>
              <w:rPr>
                <w:kern w:val="0"/>
              </w:rPr>
              <w:t>突发性污染事件发生后，相关人民政府及具有关部门应当启动应急预案，实施应急监测，采取有效措施，控制或者切断污染源。应急方案应包括应急状态分类、应急计划区、事故级水平、应急防护处理等。其主要内容如下：</w:t>
            </w:r>
          </w:p>
          <w:p>
            <w:pPr>
              <w:autoSpaceDE w:val="0"/>
              <w:autoSpaceDN w:val="0"/>
              <w:adjustRightInd w:val="0"/>
              <w:snapToGrid w:val="0"/>
              <w:spacing w:line="360" w:lineRule="auto"/>
              <w:ind w:firstLine="482" w:firstLineChars="200"/>
              <w:rPr>
                <w:kern w:val="0"/>
              </w:rPr>
            </w:pPr>
            <w:r>
              <w:rPr>
                <w:b/>
                <w:kern w:val="0"/>
              </w:rPr>
              <w:t>风险源概况：</w:t>
            </w:r>
            <w:r>
              <w:rPr>
                <w:kern w:val="0"/>
              </w:rPr>
              <w:t>详述风险源类型、源强大小及其位置。</w:t>
            </w:r>
          </w:p>
          <w:p>
            <w:pPr>
              <w:autoSpaceDE w:val="0"/>
              <w:autoSpaceDN w:val="0"/>
              <w:adjustRightInd w:val="0"/>
              <w:snapToGrid w:val="0"/>
              <w:spacing w:line="360" w:lineRule="auto"/>
              <w:ind w:firstLine="482" w:firstLineChars="200"/>
              <w:rPr>
                <w:kern w:val="0"/>
              </w:rPr>
            </w:pPr>
            <w:r>
              <w:rPr>
                <w:b/>
                <w:kern w:val="0"/>
              </w:rPr>
              <w:t>紧急计划区：</w:t>
            </w:r>
            <w:r>
              <w:rPr>
                <w:kern w:val="0"/>
              </w:rPr>
              <w:t>包括厂区、及村庄有关部门。</w:t>
            </w:r>
          </w:p>
          <w:p>
            <w:pPr>
              <w:autoSpaceDE w:val="0"/>
              <w:autoSpaceDN w:val="0"/>
              <w:adjustRightInd w:val="0"/>
              <w:snapToGrid w:val="0"/>
              <w:spacing w:line="360" w:lineRule="auto"/>
              <w:ind w:firstLine="482" w:firstLineChars="200"/>
              <w:rPr>
                <w:kern w:val="0"/>
              </w:rPr>
            </w:pPr>
            <w:r>
              <w:rPr>
                <w:b/>
                <w:kern w:val="0"/>
              </w:rPr>
              <w:t>紧急组织：</w:t>
            </w:r>
            <w:r>
              <w:rPr>
                <w:kern w:val="0"/>
              </w:rPr>
              <w:t>厂指挥部负责现场全面指挥，专业抢修队伍负责事故或故障进行排除或抢修。</w:t>
            </w:r>
          </w:p>
          <w:p>
            <w:pPr>
              <w:autoSpaceDE w:val="0"/>
              <w:autoSpaceDN w:val="0"/>
              <w:adjustRightInd w:val="0"/>
              <w:snapToGrid w:val="0"/>
              <w:spacing w:line="360" w:lineRule="auto"/>
              <w:ind w:firstLine="482" w:firstLineChars="200"/>
              <w:rPr>
                <w:kern w:val="0"/>
              </w:rPr>
            </w:pPr>
            <w:r>
              <w:rPr>
                <w:b/>
                <w:kern w:val="0"/>
              </w:rPr>
              <w:t>应急状态分类及应急响应程序：</w:t>
            </w:r>
            <w:r>
              <w:rPr>
                <w:kern w:val="0"/>
              </w:rPr>
              <w:t>规定事故的级别及相应的应急分类，响应程序。</w:t>
            </w:r>
          </w:p>
          <w:p>
            <w:pPr>
              <w:autoSpaceDE w:val="0"/>
              <w:autoSpaceDN w:val="0"/>
              <w:adjustRightInd w:val="0"/>
              <w:snapToGrid w:val="0"/>
              <w:spacing w:line="360" w:lineRule="auto"/>
              <w:ind w:firstLine="482" w:firstLineChars="200"/>
              <w:rPr>
                <w:kern w:val="0"/>
              </w:rPr>
            </w:pPr>
            <w:r>
              <w:rPr>
                <w:b/>
                <w:kern w:val="0"/>
              </w:rPr>
              <w:t>应急设施、设备与材料：</w:t>
            </w:r>
            <w:r>
              <w:rPr>
                <w:kern w:val="0"/>
              </w:rPr>
              <w:t>配备有关的备用设备，设施与材料。</w:t>
            </w:r>
          </w:p>
          <w:p>
            <w:pPr>
              <w:autoSpaceDE w:val="0"/>
              <w:autoSpaceDN w:val="0"/>
              <w:adjustRightInd w:val="0"/>
              <w:snapToGrid w:val="0"/>
              <w:spacing w:line="360" w:lineRule="auto"/>
              <w:ind w:firstLine="482" w:firstLineChars="200"/>
              <w:rPr>
                <w:kern w:val="0"/>
              </w:rPr>
            </w:pPr>
            <w:r>
              <w:rPr>
                <w:b/>
                <w:kern w:val="0"/>
              </w:rPr>
              <w:t>应急通讯，通知和交通：</w:t>
            </w:r>
            <w:r>
              <w:rPr>
                <w:kern w:val="0"/>
              </w:rPr>
              <w:t>规定应急状态下的联络通知方式，通知有关方面采取求援行动，对事故现场进行管制，确保抢修队伍及时到达。</w:t>
            </w:r>
          </w:p>
          <w:p>
            <w:pPr>
              <w:autoSpaceDE w:val="0"/>
              <w:autoSpaceDN w:val="0"/>
              <w:adjustRightInd w:val="0"/>
              <w:snapToGrid w:val="0"/>
              <w:spacing w:line="360" w:lineRule="auto"/>
              <w:ind w:firstLine="482" w:firstLineChars="200"/>
              <w:rPr>
                <w:kern w:val="0"/>
              </w:rPr>
            </w:pPr>
            <w:r>
              <w:rPr>
                <w:b/>
                <w:kern w:val="0"/>
              </w:rPr>
              <w:t>应急环境监测及事故后果评估：</w:t>
            </w:r>
            <w:r>
              <w:rPr>
                <w:kern w:val="0"/>
              </w:rPr>
              <w:t>对较大的事故现场附近的水环境进行监测，对事故性质、参数与后果进行评估，为有关部门提供决策依据。</w:t>
            </w:r>
          </w:p>
          <w:p>
            <w:pPr>
              <w:autoSpaceDE w:val="0"/>
              <w:autoSpaceDN w:val="0"/>
              <w:adjustRightInd w:val="0"/>
              <w:snapToGrid w:val="0"/>
              <w:spacing w:line="360" w:lineRule="auto"/>
              <w:ind w:firstLine="482" w:firstLineChars="200"/>
              <w:rPr>
                <w:kern w:val="0"/>
              </w:rPr>
            </w:pPr>
            <w:r>
              <w:rPr>
                <w:b/>
                <w:kern w:val="0"/>
              </w:rPr>
              <w:t>应急防护措施：</w:t>
            </w:r>
            <w:r>
              <w:rPr>
                <w:kern w:val="0"/>
              </w:rPr>
              <w:t>控制事故，防止扩大、蔓延及连锁反应，降低危害。</w:t>
            </w:r>
          </w:p>
          <w:p>
            <w:pPr>
              <w:autoSpaceDE w:val="0"/>
              <w:autoSpaceDN w:val="0"/>
              <w:adjustRightInd w:val="0"/>
              <w:snapToGrid w:val="0"/>
              <w:spacing w:line="360" w:lineRule="auto"/>
              <w:ind w:firstLine="482" w:firstLineChars="200"/>
              <w:rPr>
                <w:kern w:val="0"/>
              </w:rPr>
            </w:pPr>
            <w:r>
              <w:rPr>
                <w:b/>
                <w:kern w:val="0"/>
              </w:rPr>
              <w:t>应急状况终止与恢复措施：</w:t>
            </w:r>
            <w:r>
              <w:rPr>
                <w:kern w:val="0"/>
              </w:rPr>
              <w:t>规定应急状态终止程序，事故现场善后处理，迅速恢复污水站的正常生产转运。</w:t>
            </w:r>
          </w:p>
          <w:p>
            <w:pPr>
              <w:autoSpaceDE w:val="0"/>
              <w:autoSpaceDN w:val="0"/>
              <w:adjustRightInd w:val="0"/>
              <w:snapToGrid w:val="0"/>
              <w:spacing w:line="360" w:lineRule="auto"/>
              <w:ind w:firstLine="482" w:firstLineChars="200"/>
              <w:rPr>
                <w:kern w:val="0"/>
              </w:rPr>
            </w:pPr>
            <w:r>
              <w:rPr>
                <w:b/>
                <w:kern w:val="0"/>
              </w:rPr>
              <w:t>人员培训与演练：</w:t>
            </w:r>
            <w:r>
              <w:rPr>
                <w:kern w:val="0"/>
              </w:rPr>
              <w:t>应急计划制定后，平时安排有关人员培训与演习。</w:t>
            </w:r>
          </w:p>
          <w:p>
            <w:pPr>
              <w:autoSpaceDE w:val="0"/>
              <w:autoSpaceDN w:val="0"/>
              <w:adjustRightInd w:val="0"/>
              <w:snapToGrid w:val="0"/>
              <w:spacing w:line="360" w:lineRule="auto"/>
              <w:ind w:firstLine="482" w:firstLineChars="200"/>
              <w:rPr>
                <w:kern w:val="0"/>
              </w:rPr>
            </w:pPr>
            <w:r>
              <w:rPr>
                <w:b/>
                <w:kern w:val="0"/>
              </w:rPr>
              <w:t>记录报告：</w:t>
            </w:r>
            <w:r>
              <w:rPr>
                <w:kern w:val="0"/>
              </w:rPr>
              <w:t>设置事故专业记录，建档案和专业报告制度，设专人负责管理。</w:t>
            </w:r>
          </w:p>
          <w:p>
            <w:pPr>
              <w:autoSpaceDE w:val="0"/>
              <w:autoSpaceDN w:val="0"/>
              <w:adjustRightInd w:val="0"/>
              <w:snapToGrid w:val="0"/>
              <w:spacing w:line="360" w:lineRule="auto"/>
              <w:ind w:firstLine="480" w:firstLineChars="200"/>
              <w:rPr>
                <w:kern w:val="0"/>
              </w:rPr>
            </w:pPr>
            <w:r>
              <w:rPr>
                <w:kern w:val="0"/>
              </w:rPr>
              <w:t>（5）污染事故应急措施</w:t>
            </w:r>
          </w:p>
          <w:p>
            <w:pPr>
              <w:autoSpaceDE w:val="0"/>
              <w:autoSpaceDN w:val="0"/>
              <w:adjustRightInd w:val="0"/>
              <w:snapToGrid w:val="0"/>
              <w:spacing w:line="360" w:lineRule="auto"/>
              <w:ind w:firstLine="480" w:firstLineChars="200"/>
              <w:rPr>
                <w:kern w:val="0"/>
              </w:rPr>
            </w:pPr>
            <w:r>
              <w:rPr>
                <w:kern w:val="0"/>
              </w:rPr>
              <w:t>①成立污水处理站的事故应急指挥中心，制定事故应急方案。</w:t>
            </w:r>
          </w:p>
          <w:p>
            <w:pPr>
              <w:adjustRightInd w:val="0"/>
              <w:snapToGrid w:val="0"/>
              <w:spacing w:line="360" w:lineRule="auto"/>
              <w:ind w:firstLine="480" w:firstLineChars="200"/>
              <w:jc w:val="left"/>
              <w:rPr>
                <w:kern w:val="28"/>
              </w:rPr>
            </w:pPr>
            <w:r>
              <w:rPr>
                <w:kern w:val="0"/>
              </w:rPr>
              <w:t>②一旦发生污染事故，现场操作人员应立即向污水站负责人报警</w:t>
            </w:r>
            <w:r>
              <w:rPr>
                <w:rFonts w:hint="eastAsia"/>
                <w:kern w:val="0"/>
              </w:rPr>
              <w:t>，立即</w:t>
            </w:r>
            <w:r>
              <w:rPr>
                <w:kern w:val="0"/>
              </w:rPr>
              <w:t>采取有效措施</w:t>
            </w:r>
            <w:r>
              <w:rPr>
                <w:rFonts w:hint="eastAsia"/>
                <w:kern w:val="0"/>
              </w:rPr>
              <w:t>，</w:t>
            </w:r>
            <w:r>
              <w:rPr>
                <w:kern w:val="0"/>
              </w:rPr>
              <w:t>启动污水站应急方案。</w:t>
            </w:r>
          </w:p>
          <w:p>
            <w:pPr>
              <w:adjustRightInd w:val="0"/>
              <w:snapToGrid w:val="0"/>
              <w:spacing w:line="360" w:lineRule="auto"/>
              <w:ind w:firstLine="482" w:firstLineChars="200"/>
              <w:jc w:val="left"/>
              <w:rPr>
                <w:b/>
                <w:bCs/>
                <w:kern w:val="28"/>
              </w:rPr>
            </w:pPr>
            <w:r>
              <w:rPr>
                <w:b/>
                <w:bCs/>
                <w:kern w:val="28"/>
              </w:rPr>
              <w:t>4.5管网工程环境风险评价</w:t>
            </w:r>
          </w:p>
          <w:p>
            <w:pPr>
              <w:adjustRightInd w:val="0"/>
              <w:snapToGrid w:val="0"/>
              <w:spacing w:line="360" w:lineRule="auto"/>
              <w:ind w:firstLine="480" w:firstLineChars="200"/>
              <w:rPr>
                <w:kern w:val="28"/>
              </w:rPr>
            </w:pPr>
            <w:r>
              <w:rPr>
                <w:kern w:val="28"/>
              </w:rPr>
              <w:t>（1）环境风险识别</w:t>
            </w:r>
          </w:p>
          <w:p>
            <w:pPr>
              <w:autoSpaceDE w:val="0"/>
              <w:autoSpaceDN w:val="0"/>
              <w:adjustRightInd w:val="0"/>
              <w:snapToGrid w:val="0"/>
              <w:spacing w:line="360" w:lineRule="auto"/>
              <w:ind w:firstLine="480" w:firstLineChars="200"/>
              <w:rPr>
                <w:kern w:val="0"/>
              </w:rPr>
            </w:pPr>
            <w:r>
              <w:rPr>
                <w:kern w:val="0"/>
              </w:rPr>
              <w:t>本项目污水管网投产后，在正常运行的情况下，不会对环境造成不良影响，但是管线处于非正常状态下（即事故状态），将对外环境尤其是地下水环境、地表水环境乃至环境空气产生一定影响，非正常运行状态主要是指可能发生的管线破裂、断裂以及堵塞等。原因主要有两个方面，一是自然因素，即地震、气候变化等；二是人为因素，即选材、施工、防腐、检修、操作以及管沟的回填土没有按规范要求进行以及后续建设项目施工损坏管道等。</w:t>
            </w:r>
          </w:p>
          <w:p>
            <w:pPr>
              <w:adjustRightInd w:val="0"/>
              <w:snapToGrid w:val="0"/>
              <w:spacing w:line="360" w:lineRule="auto"/>
              <w:ind w:firstLine="480" w:firstLineChars="200"/>
              <w:jc w:val="left"/>
              <w:rPr>
                <w:kern w:val="0"/>
              </w:rPr>
            </w:pPr>
            <w:r>
              <w:rPr>
                <w:kern w:val="0"/>
              </w:rPr>
              <w:t>自然因素造成的事故不能避免，只能在事故发生后尽早发现及时补救，对于人为因素造成的事故是可以避免的，经前面分析各种管网的选材是合理的、安全的，因此主要应在施工和运营期间严格管理，遵守有关规定，定期检查，规范操作，则各种人为因素造成事故发生机率可以大大降低。</w:t>
            </w:r>
          </w:p>
          <w:p>
            <w:pPr>
              <w:adjustRightInd w:val="0"/>
              <w:snapToGrid w:val="0"/>
              <w:spacing w:line="360" w:lineRule="auto"/>
              <w:ind w:firstLine="480" w:firstLineChars="200"/>
              <w:jc w:val="left"/>
              <w:rPr>
                <w:kern w:val="0"/>
              </w:rPr>
            </w:pPr>
            <w:r>
              <w:rPr>
                <w:kern w:val="0"/>
              </w:rPr>
              <w:t>当管线处于非正常运行状态，主要是指发生破裂、断裂和堵塞等，将从管网中溢出污水，可能对地表水或地下水环境造成污染。一般来讲，如管网堵塞严重，污水通过检查井外溢，流出地面造成地表水环境污染，这种现象易于发现，只要及时向相关部门反映即可可以降低污染程度和范围。但如管网因破裂、断裂发生渗漏，造成污水下渗，污染地下水，这种现象不易被发现，一般只能通过定期检查发现。</w:t>
            </w:r>
          </w:p>
          <w:p>
            <w:pPr>
              <w:adjustRightInd w:val="0"/>
              <w:snapToGrid w:val="0"/>
              <w:spacing w:line="360" w:lineRule="auto"/>
              <w:ind w:firstLine="480" w:firstLineChars="200"/>
              <w:jc w:val="left"/>
              <w:rPr>
                <w:kern w:val="0"/>
              </w:rPr>
            </w:pPr>
            <w:r>
              <w:rPr>
                <w:kern w:val="0"/>
              </w:rPr>
              <w:t>在施工期间或污水管道维护期间，施工人员在进入管道进行检测或者维修过程中出现中毒，造成突发环境安全事故。</w:t>
            </w:r>
          </w:p>
          <w:p>
            <w:pPr>
              <w:adjustRightInd w:val="0"/>
              <w:snapToGrid w:val="0"/>
              <w:spacing w:line="360" w:lineRule="auto"/>
              <w:ind w:firstLine="480" w:firstLineChars="200"/>
              <w:jc w:val="left"/>
              <w:rPr>
                <w:kern w:val="0"/>
              </w:rPr>
            </w:pPr>
            <w:r>
              <w:rPr>
                <w:kern w:val="0"/>
              </w:rPr>
              <w:t>（2）环境风险事故分析</w:t>
            </w:r>
          </w:p>
          <w:p>
            <w:pPr>
              <w:autoSpaceDE w:val="0"/>
              <w:autoSpaceDN w:val="0"/>
              <w:adjustRightInd w:val="0"/>
              <w:snapToGrid w:val="0"/>
              <w:spacing w:line="360" w:lineRule="auto"/>
              <w:ind w:firstLine="480" w:firstLineChars="200"/>
              <w:rPr>
                <w:kern w:val="0"/>
              </w:rPr>
            </w:pPr>
            <w:r>
              <w:rPr>
                <w:kern w:val="0"/>
              </w:rPr>
              <w:t>对风险污染事故发生的各类环节，分析风险污染事故发生后，对环境的影响方式。污水管网一旦发生事故，对周围环境及人员人身安全、健康均可能造成影响。</w:t>
            </w:r>
          </w:p>
          <w:p>
            <w:pPr>
              <w:autoSpaceDE w:val="0"/>
              <w:autoSpaceDN w:val="0"/>
              <w:adjustRightInd w:val="0"/>
              <w:snapToGrid w:val="0"/>
              <w:spacing w:line="360" w:lineRule="auto"/>
              <w:ind w:firstLine="480" w:firstLineChars="200"/>
              <w:rPr>
                <w:kern w:val="0"/>
              </w:rPr>
            </w:pPr>
            <w:r>
              <w:rPr>
                <w:kern w:val="0"/>
              </w:rPr>
              <w:t>一般情况下，污水管网不会发生堵塞、破裂和爆炸。发生该类事故的可能原因主要有管网设计不合理、往下水道倾倒大量固体废物和易燃易爆物质等。</w:t>
            </w:r>
          </w:p>
          <w:p>
            <w:pPr>
              <w:autoSpaceDE w:val="0"/>
              <w:autoSpaceDN w:val="0"/>
              <w:adjustRightInd w:val="0"/>
              <w:snapToGrid w:val="0"/>
              <w:spacing w:line="360" w:lineRule="auto"/>
              <w:ind w:firstLine="480" w:firstLineChars="200"/>
              <w:rPr>
                <w:kern w:val="0"/>
              </w:rPr>
            </w:pPr>
            <w:r>
              <w:rPr>
                <w:kern w:val="0"/>
              </w:rPr>
              <w:t>①本项目排水系统的设计抗震强度为7度，因此地震对污水处理系统的破坏风险较小。在强震时，可能造成污水收集系统毁坏或其它事故，使污水外溢流入就近河涌，对水体环境产生一定影响。</w:t>
            </w:r>
          </w:p>
          <w:p>
            <w:pPr>
              <w:autoSpaceDE w:val="0"/>
              <w:autoSpaceDN w:val="0"/>
              <w:adjustRightInd w:val="0"/>
              <w:snapToGrid w:val="0"/>
              <w:spacing w:line="360" w:lineRule="auto"/>
              <w:ind w:firstLine="480" w:firstLineChars="200"/>
              <w:rPr>
                <w:kern w:val="0"/>
              </w:rPr>
            </w:pPr>
            <w:r>
              <w:rPr>
                <w:kern w:val="0"/>
              </w:rPr>
              <w:t>②市政工程施工（维护）中毒事故的主要原因是：一是污水管网作业中，未经过检测下水井有毒气体或者检测不清即下井；二是涉及人工挖孔桩作业中，施工人员下井前不进行毒气检测或者检测方法不对，或通风措施不满足要求，盲目下井作业；三是发生中毒事故后，由于缺乏救护知识及防毒救护用具，施工人员盲目施救造成伤忙，造成环境安全事故。</w:t>
            </w:r>
          </w:p>
          <w:p>
            <w:pPr>
              <w:adjustRightInd w:val="0"/>
              <w:snapToGrid w:val="0"/>
              <w:spacing w:line="360" w:lineRule="auto"/>
              <w:ind w:firstLine="480" w:firstLineChars="200"/>
              <w:jc w:val="left"/>
              <w:rPr>
                <w:kern w:val="28"/>
              </w:rPr>
            </w:pPr>
            <w:r>
              <w:rPr>
                <w:kern w:val="0"/>
              </w:rPr>
              <w:t>③事故发生时污水未经处理直接排入水体，使区域地表水和地下水水质有较大的影响，如果长时间排放至受纳水体，将导致周围水体水质恢复至现有环境情况。</w:t>
            </w:r>
          </w:p>
          <w:p>
            <w:pPr>
              <w:adjustRightInd w:val="0"/>
              <w:snapToGrid w:val="0"/>
              <w:spacing w:line="360" w:lineRule="auto"/>
              <w:ind w:firstLine="480" w:firstLineChars="200"/>
              <w:jc w:val="left"/>
              <w:rPr>
                <w:kern w:val="28"/>
              </w:rPr>
            </w:pPr>
            <w:r>
              <w:rPr>
                <w:kern w:val="28"/>
              </w:rPr>
              <w:t>（3）事故防范措施及对策建议</w:t>
            </w:r>
          </w:p>
          <w:p>
            <w:pPr>
              <w:adjustRightInd w:val="0"/>
              <w:snapToGrid w:val="0"/>
              <w:spacing w:line="360" w:lineRule="auto"/>
              <w:ind w:firstLine="480" w:firstLineChars="200"/>
              <w:jc w:val="left"/>
              <w:rPr>
                <w:kern w:val="28"/>
              </w:rPr>
            </w:pPr>
            <w:r>
              <w:rPr>
                <w:kern w:val="28"/>
              </w:rPr>
              <w:t>1）管网维护及措施</w:t>
            </w:r>
          </w:p>
          <w:p>
            <w:pPr>
              <w:autoSpaceDE w:val="0"/>
              <w:autoSpaceDN w:val="0"/>
              <w:adjustRightInd w:val="0"/>
              <w:snapToGrid w:val="0"/>
              <w:spacing w:line="360" w:lineRule="auto"/>
              <w:ind w:firstLine="480" w:firstLineChars="200"/>
              <w:rPr>
                <w:kern w:val="0"/>
              </w:rPr>
            </w:pPr>
            <w:r>
              <w:rPr>
                <w:kern w:val="0"/>
              </w:rPr>
              <w:t>为了防止排水管网发生爆裂、堵塞而发生污水溢流外排事故。建议采取如下防治措施：</w:t>
            </w:r>
          </w:p>
          <w:p>
            <w:pPr>
              <w:autoSpaceDE w:val="0"/>
              <w:autoSpaceDN w:val="0"/>
              <w:adjustRightInd w:val="0"/>
              <w:snapToGrid w:val="0"/>
              <w:spacing w:line="360" w:lineRule="auto"/>
              <w:ind w:firstLine="480" w:firstLineChars="200"/>
              <w:rPr>
                <w:kern w:val="0"/>
              </w:rPr>
            </w:pPr>
            <w:r>
              <w:rPr>
                <w:kern w:val="0"/>
              </w:rPr>
              <w:t>①应十分重视管网的维护及管理，防止泥沙沉积堵塞而影响管道的过水能力。</w:t>
            </w:r>
          </w:p>
          <w:p>
            <w:pPr>
              <w:autoSpaceDE w:val="0"/>
              <w:autoSpaceDN w:val="0"/>
              <w:adjustRightInd w:val="0"/>
              <w:snapToGrid w:val="0"/>
              <w:spacing w:line="360" w:lineRule="auto"/>
              <w:ind w:firstLine="480" w:firstLineChars="200"/>
              <w:rPr>
                <w:kern w:val="0"/>
              </w:rPr>
            </w:pPr>
            <w:r>
              <w:rPr>
                <w:kern w:val="0"/>
              </w:rPr>
              <w:t>②管道衔接应防止泄漏污染地下水和掏空地基，淤塞应及时疏浚，保证管道通畅。</w:t>
            </w:r>
          </w:p>
          <w:p>
            <w:pPr>
              <w:autoSpaceDE w:val="0"/>
              <w:autoSpaceDN w:val="0"/>
              <w:adjustRightInd w:val="0"/>
              <w:snapToGrid w:val="0"/>
              <w:spacing w:line="360" w:lineRule="auto"/>
              <w:ind w:firstLine="480" w:firstLineChars="200"/>
              <w:rPr>
                <w:kern w:val="0"/>
              </w:rPr>
            </w:pPr>
            <w:r>
              <w:rPr>
                <w:kern w:val="0"/>
              </w:rPr>
              <w:t>③干管和支管设计中，选择适当充满度和最小设计流速，防止污泥沉积。</w:t>
            </w:r>
          </w:p>
          <w:p>
            <w:pPr>
              <w:autoSpaceDE w:val="0"/>
              <w:autoSpaceDN w:val="0"/>
              <w:adjustRightInd w:val="0"/>
              <w:snapToGrid w:val="0"/>
              <w:spacing w:line="360" w:lineRule="auto"/>
              <w:ind w:firstLine="480" w:firstLineChars="200"/>
              <w:rPr>
                <w:kern w:val="0"/>
              </w:rPr>
            </w:pPr>
            <w:r>
              <w:rPr>
                <w:kern w:val="0"/>
              </w:rPr>
              <w:t>④日常维护期间，工作人员要严格按照维修操作制度，在进入管网检查期间，先检查是否适合人员进去的环境，防止工作人员进入检查期间发生窒息事件，建议工作人员穿好防护服进入污水管网进行检查。</w:t>
            </w:r>
          </w:p>
          <w:p>
            <w:pPr>
              <w:autoSpaceDE w:val="0"/>
              <w:autoSpaceDN w:val="0"/>
              <w:adjustRightInd w:val="0"/>
              <w:snapToGrid w:val="0"/>
              <w:spacing w:line="360" w:lineRule="auto"/>
              <w:ind w:firstLine="480" w:firstLineChars="200"/>
              <w:rPr>
                <w:kern w:val="0"/>
              </w:rPr>
            </w:pPr>
            <w:r>
              <w:rPr>
                <w:kern w:val="0"/>
              </w:rPr>
              <w:t>⑤管网应制定严格的维修制度，用户应严格执行国家、地方的有关排放标准。</w:t>
            </w:r>
          </w:p>
          <w:p>
            <w:pPr>
              <w:adjustRightInd w:val="0"/>
              <w:snapToGrid w:val="0"/>
              <w:spacing w:line="360" w:lineRule="auto"/>
              <w:ind w:firstLine="480" w:firstLineChars="200"/>
              <w:jc w:val="left"/>
              <w:rPr>
                <w:kern w:val="28"/>
              </w:rPr>
            </w:pPr>
            <w:r>
              <w:rPr>
                <w:kern w:val="28"/>
              </w:rPr>
              <w:t>（4）污染事故应急预案</w:t>
            </w:r>
          </w:p>
          <w:p>
            <w:pPr>
              <w:adjustRightInd w:val="0"/>
              <w:snapToGrid w:val="0"/>
              <w:spacing w:line="360" w:lineRule="auto"/>
              <w:ind w:firstLine="480" w:firstLineChars="200"/>
              <w:jc w:val="left"/>
              <w:rPr>
                <w:bCs/>
                <w:kern w:val="28"/>
              </w:rPr>
            </w:pPr>
            <w:r>
              <w:rPr>
                <w:bCs/>
                <w:kern w:val="0"/>
              </w:rPr>
              <w:t>1）应急计划区</w:t>
            </w:r>
          </w:p>
          <w:p>
            <w:pPr>
              <w:autoSpaceDE w:val="0"/>
              <w:autoSpaceDN w:val="0"/>
              <w:adjustRightInd w:val="0"/>
              <w:snapToGrid w:val="0"/>
              <w:spacing w:line="360" w:lineRule="auto"/>
              <w:ind w:firstLine="480" w:firstLineChars="200"/>
              <w:rPr>
                <w:kern w:val="0"/>
              </w:rPr>
            </w:pPr>
            <w:r>
              <w:rPr>
                <w:kern w:val="0"/>
              </w:rPr>
              <w:t>工程发生事故主要是管网受到堵塞、破裂而至污水外溢致周围水体。因此事故应急计划区为事故发生现场及附近水体。</w:t>
            </w:r>
          </w:p>
          <w:p>
            <w:pPr>
              <w:autoSpaceDE w:val="0"/>
              <w:autoSpaceDN w:val="0"/>
              <w:adjustRightInd w:val="0"/>
              <w:snapToGrid w:val="0"/>
              <w:spacing w:line="360" w:lineRule="auto"/>
              <w:ind w:firstLine="480" w:firstLineChars="200"/>
              <w:rPr>
                <w:b/>
                <w:kern w:val="0"/>
              </w:rPr>
            </w:pPr>
            <w:r>
              <w:rPr>
                <w:bCs/>
                <w:kern w:val="0"/>
              </w:rPr>
              <w:t>2）应急机构</w:t>
            </w:r>
          </w:p>
          <w:p>
            <w:pPr>
              <w:autoSpaceDE w:val="0"/>
              <w:autoSpaceDN w:val="0"/>
              <w:adjustRightInd w:val="0"/>
              <w:snapToGrid w:val="0"/>
              <w:spacing w:line="360" w:lineRule="auto"/>
              <w:ind w:firstLine="480" w:firstLineChars="200"/>
              <w:rPr>
                <w:kern w:val="0"/>
              </w:rPr>
            </w:pPr>
            <w:r>
              <w:rPr>
                <w:kern w:val="0"/>
              </w:rPr>
              <w:t>为了防范突发事故的发生，应成立环境风险事故应急救援“指挥领导小组”，相关负责人及安全、环保、保卫等部门领导组成，下设应急救援办公室，日常工作由安全和环保部门兼管，制定快速抢修预案。发生重大事故时，以指挥领导小组为基础，立即成立风险事故应急救援指挥部，负责应急抢修工作的组织和指挥。</w:t>
            </w:r>
          </w:p>
          <w:p>
            <w:pPr>
              <w:autoSpaceDE w:val="0"/>
              <w:autoSpaceDN w:val="0"/>
              <w:adjustRightInd w:val="0"/>
              <w:snapToGrid w:val="0"/>
              <w:spacing w:line="360" w:lineRule="auto"/>
              <w:ind w:firstLine="480" w:firstLineChars="200"/>
              <w:rPr>
                <w:b/>
                <w:kern w:val="0"/>
              </w:rPr>
            </w:pPr>
            <w:r>
              <w:rPr>
                <w:bCs/>
                <w:kern w:val="0"/>
              </w:rPr>
              <w:t>3）应急保障器材</w:t>
            </w:r>
          </w:p>
          <w:p>
            <w:pPr>
              <w:autoSpaceDE w:val="0"/>
              <w:autoSpaceDN w:val="0"/>
              <w:adjustRightInd w:val="0"/>
              <w:snapToGrid w:val="0"/>
              <w:spacing w:line="360" w:lineRule="auto"/>
              <w:ind w:firstLine="480" w:firstLineChars="200"/>
              <w:rPr>
                <w:kern w:val="0"/>
              </w:rPr>
            </w:pPr>
            <w:r>
              <w:rPr>
                <w:kern w:val="0"/>
              </w:rPr>
              <w:t>配备一定的快速抢修设备，包括：独特的破路挖土机具；大功率抽排水设施；钢管的快速焊补工艺；不同管材的快速卡固修复措施；不同管材的切断工具；柔性连接快速通水器材等。</w:t>
            </w:r>
          </w:p>
          <w:p>
            <w:pPr>
              <w:autoSpaceDE w:val="0"/>
              <w:autoSpaceDN w:val="0"/>
              <w:adjustRightInd w:val="0"/>
              <w:snapToGrid w:val="0"/>
              <w:spacing w:line="360" w:lineRule="auto"/>
              <w:ind w:firstLine="480" w:firstLineChars="200"/>
              <w:rPr>
                <w:kern w:val="0"/>
              </w:rPr>
            </w:pPr>
            <w:r>
              <w:rPr>
                <w:kern w:val="0"/>
              </w:rPr>
              <w:t>此外，还应配备应急通信系统，应急电源、照明。所有应急设施平时要专人维护、保管、检验，确保器材始终处于完好状态，保证能有效使用。</w:t>
            </w:r>
          </w:p>
          <w:p>
            <w:pPr>
              <w:autoSpaceDE w:val="0"/>
              <w:autoSpaceDN w:val="0"/>
              <w:adjustRightInd w:val="0"/>
              <w:snapToGrid w:val="0"/>
              <w:spacing w:line="360" w:lineRule="auto"/>
              <w:ind w:firstLine="480" w:firstLineChars="200"/>
              <w:rPr>
                <w:kern w:val="0"/>
              </w:rPr>
            </w:pPr>
            <w:r>
              <w:rPr>
                <w:kern w:val="0"/>
              </w:rPr>
              <w:t>对各种通讯工具、警报及事故信号，平时必须做出明确规定；报警方法、联络号码和信号使用规定要置于明显位置，使每一位值班人员熟练掌握。</w:t>
            </w:r>
          </w:p>
          <w:p>
            <w:pPr>
              <w:autoSpaceDE w:val="0"/>
              <w:autoSpaceDN w:val="0"/>
              <w:adjustRightInd w:val="0"/>
              <w:snapToGrid w:val="0"/>
              <w:spacing w:line="360" w:lineRule="auto"/>
              <w:ind w:firstLine="480" w:firstLineChars="200"/>
              <w:rPr>
                <w:b/>
                <w:kern w:val="0"/>
              </w:rPr>
            </w:pPr>
            <w:r>
              <w:rPr>
                <w:bCs/>
                <w:kern w:val="0"/>
              </w:rPr>
              <w:t>4）事故报告程序及通信方式</w:t>
            </w:r>
          </w:p>
          <w:p>
            <w:pPr>
              <w:autoSpaceDE w:val="0"/>
              <w:autoSpaceDN w:val="0"/>
              <w:adjustRightInd w:val="0"/>
              <w:snapToGrid w:val="0"/>
              <w:spacing w:line="360" w:lineRule="auto"/>
              <w:ind w:firstLine="480" w:firstLineChars="200"/>
              <w:rPr>
                <w:kern w:val="0"/>
              </w:rPr>
            </w:pPr>
            <w:r>
              <w:rPr>
                <w:kern w:val="0"/>
              </w:rPr>
              <w:t>发生污水泄漏事故，现场发现人员应立即向值班人员报告。接到泄漏报告后，立即启动预案，展开抢修工作。</w:t>
            </w:r>
          </w:p>
          <w:p>
            <w:pPr>
              <w:adjustRightInd w:val="0"/>
              <w:snapToGrid w:val="0"/>
              <w:spacing w:line="360" w:lineRule="auto"/>
              <w:ind w:firstLine="480" w:firstLineChars="200"/>
              <w:jc w:val="left"/>
              <w:rPr>
                <w:kern w:val="28"/>
              </w:rPr>
            </w:pPr>
            <w:r>
              <w:rPr>
                <w:bCs/>
                <w:kern w:val="0"/>
              </w:rPr>
              <w:t>5）应急环境监测、抢险、救援及控制措施</w:t>
            </w:r>
          </w:p>
          <w:p>
            <w:pPr>
              <w:autoSpaceDE w:val="0"/>
              <w:autoSpaceDN w:val="0"/>
              <w:adjustRightInd w:val="0"/>
              <w:snapToGrid w:val="0"/>
              <w:spacing w:line="360" w:lineRule="auto"/>
              <w:ind w:firstLine="480" w:firstLineChars="200"/>
              <w:rPr>
                <w:kern w:val="0"/>
              </w:rPr>
            </w:pPr>
            <w:r>
              <w:rPr>
                <w:kern w:val="0"/>
              </w:rPr>
              <w:t>①泄漏发生后，应立即向环境管理部门汇报情况，请求环境管理部门应急监测工作组进行应急监测。</w:t>
            </w:r>
          </w:p>
          <w:p>
            <w:pPr>
              <w:autoSpaceDE w:val="0"/>
              <w:autoSpaceDN w:val="0"/>
              <w:adjustRightInd w:val="0"/>
              <w:snapToGrid w:val="0"/>
              <w:spacing w:line="360" w:lineRule="auto"/>
              <w:ind w:firstLine="480" w:firstLineChars="200"/>
              <w:rPr>
                <w:kern w:val="0"/>
              </w:rPr>
            </w:pPr>
            <w:r>
              <w:rPr>
                <w:kern w:val="0"/>
              </w:rPr>
              <w:t>②环境管理部门应急监测工作组应根据污染物的扩散速度和事件发生地的气象和地域特点，确定污染物扩散范围。</w:t>
            </w:r>
          </w:p>
          <w:p>
            <w:pPr>
              <w:autoSpaceDE w:val="0"/>
              <w:autoSpaceDN w:val="0"/>
              <w:adjustRightInd w:val="0"/>
              <w:snapToGrid w:val="0"/>
              <w:spacing w:line="360" w:lineRule="auto"/>
              <w:ind w:firstLine="480" w:firstLineChars="200"/>
              <w:rPr>
                <w:kern w:val="0"/>
              </w:rPr>
            </w:pPr>
            <w:r>
              <w:rPr>
                <w:kern w:val="0"/>
              </w:rPr>
              <w:t>③根据监测结果，综合分析突发环境事件污染变化趋势，并通过专家咨询和讨论的方式，预测并报告突发污染事故的发展情况和污染物的变化情况，作为突发环境事件应急决策的依据。</w:t>
            </w:r>
          </w:p>
          <w:p>
            <w:pPr>
              <w:adjustRightInd w:val="0"/>
              <w:snapToGrid w:val="0"/>
              <w:spacing w:line="360" w:lineRule="auto"/>
              <w:ind w:firstLine="480" w:firstLineChars="200"/>
              <w:rPr>
                <w:kern w:val="28"/>
              </w:rPr>
            </w:pPr>
            <w:r>
              <w:rPr>
                <w:kern w:val="28"/>
              </w:rPr>
              <w:t>6）应急措施</w:t>
            </w:r>
          </w:p>
          <w:p>
            <w:pPr>
              <w:pStyle w:val="13"/>
              <w:adjustRightInd w:val="0"/>
              <w:snapToGrid w:val="0"/>
            </w:pPr>
            <w:r>
              <w:t>泄漏事故发生后，应当及时进行抢修工作，待情况得到控制后，应立即清除现场污染物，清扫现场。</w:t>
            </w:r>
          </w:p>
          <w:p>
            <w:pPr>
              <w:adjustRightInd w:val="0"/>
              <w:snapToGrid w:val="0"/>
              <w:spacing w:line="360" w:lineRule="auto"/>
              <w:ind w:firstLine="482" w:firstLineChars="200"/>
              <w:rPr>
                <w:b/>
                <w:bCs/>
              </w:rPr>
            </w:pPr>
            <w:r>
              <w:rPr>
                <w:b/>
                <w:bCs/>
              </w:rPr>
              <w:t>4.6环境风险分析结论</w:t>
            </w:r>
          </w:p>
          <w:p>
            <w:pPr>
              <w:widowControl/>
              <w:adjustRightInd w:val="0"/>
              <w:snapToGrid w:val="0"/>
              <w:spacing w:line="360" w:lineRule="auto"/>
              <w:ind w:firstLine="480" w:firstLineChars="200"/>
              <w:jc w:val="left"/>
            </w:pPr>
            <w:r>
              <w:rPr>
                <w:kern w:val="0"/>
                <w:lang w:bidi="ar"/>
              </w:rPr>
              <w:t>综上，本项目运营中不涉及危险化学品，无重大危险源，因此生产中存在的主要危险是污水管道泄露和污水站事故排放。只要建设单位严格按照本环境风险评价的要求加强风险防范措施，并在生产中进一步落实和完善应急预案，本项目的环境风险处于可接受的水平。</w:t>
            </w:r>
          </w:p>
          <w:p>
            <w:pPr>
              <w:adjustRightInd w:val="0"/>
              <w:snapToGrid w:val="0"/>
              <w:spacing w:line="360" w:lineRule="auto"/>
              <w:rPr>
                <w:rFonts w:cs="Times New Roman"/>
                <w:b/>
                <w:sz w:val="28"/>
                <w:szCs w:val="28"/>
              </w:rPr>
            </w:pPr>
            <w:r>
              <w:rPr>
                <w:rFonts w:cs="Times New Roman"/>
                <w:b/>
                <w:sz w:val="28"/>
                <w:szCs w:val="28"/>
              </w:rPr>
              <w:t>五、环保竣工验收</w:t>
            </w:r>
          </w:p>
          <w:p>
            <w:pPr>
              <w:widowControl/>
              <w:adjustRightInd w:val="0"/>
              <w:snapToGrid w:val="0"/>
              <w:spacing w:line="360" w:lineRule="auto"/>
              <w:ind w:firstLine="482" w:firstLineChars="200"/>
              <w:jc w:val="left"/>
              <w:rPr>
                <w:b/>
                <w:kern w:val="0"/>
                <w:lang w:bidi="ar"/>
              </w:rPr>
            </w:pPr>
            <w:r>
              <w:rPr>
                <w:b/>
                <w:kern w:val="0"/>
                <w:lang w:bidi="ar"/>
              </w:rPr>
              <w:t>1、竣工验收要求</w:t>
            </w:r>
          </w:p>
          <w:p>
            <w:pPr>
              <w:widowControl/>
              <w:adjustRightInd w:val="0"/>
              <w:snapToGrid w:val="0"/>
              <w:spacing w:line="360" w:lineRule="auto"/>
              <w:ind w:firstLine="480" w:firstLineChars="200"/>
              <w:jc w:val="left"/>
            </w:pPr>
            <w:r>
              <w:rPr>
                <w:kern w:val="0"/>
                <w:lang w:bidi="ar"/>
              </w:rPr>
              <w:t>根据《建设项目环境保护管理条例》（国务院第682号令），第三章环境保护设施建设第十七条“编制环境影响报告书、环境影响报告表的建设项目竣工后，建设单位应当按照国务院环境保护行政主管部门规定的标准和程序，对配套建设的环境保护设施进行验收，编制验收报告。建设单位在环境保护设施验收过程中，应当如实查验、监测、记载建设项目环境保护设施的建设和调试情况，不得弄虚作假。除按照国家规定需要保密的情形外，建设单位应当依法向社会公开验收报告。”</w:t>
            </w:r>
            <w:r>
              <w:rPr>
                <w:b/>
                <w:kern w:val="0"/>
                <w:lang w:bidi="ar"/>
              </w:rPr>
              <w:t>第十九条</w:t>
            </w:r>
            <w:r>
              <w:rPr>
                <w:kern w:val="0"/>
                <w:lang w:bidi="ar"/>
              </w:rPr>
              <w:t>“编制环境影响报告书、环境影响报告表的建设项目，其配套建设的环境保护设施经验收合格，方可投入生产或者使用；未经验收或者验收不合格的，不得投入生产或者使用。前款规定的建设项目投入生产或者使用后，应当按照国务院环境保护行政主管部门的规定开展环境影响后评价。”</w:t>
            </w:r>
          </w:p>
          <w:p>
            <w:pPr>
              <w:widowControl/>
              <w:adjustRightInd w:val="0"/>
              <w:snapToGrid w:val="0"/>
              <w:spacing w:line="360" w:lineRule="auto"/>
              <w:ind w:firstLine="480" w:firstLineChars="200"/>
              <w:jc w:val="left"/>
            </w:pPr>
            <w:r>
              <w:rPr>
                <w:kern w:val="0"/>
                <w:lang w:bidi="ar"/>
              </w:rPr>
              <w:t>根据环境保护部《建设项目竣工环境保护验收暂行办法》（国环规环评[2017]4号），第五条“建设项目竣工后，建设单位应当如实查验、监测、记载建设项目环境保护设施的建设和调试情况，编制验收监测（调查）报告。”第十一条“除按照国家规定需要保密的情形外，建设单位应当通过其网站或其他便于公众知晓的方式，向社会公开下列信息：（一）建设项目配套建设的环境保护设施竣工后，公开竣工日期；（二）对建设项目配套建设的环境保护设施进行调试前，公开调试的起止日期；（三）验收报告编制完成后5个工作日内，公开验收报告，公示的期限不得小于20个作日。”第十二条“除需要取得排污许可证的水和大气污染防治设施外，其他环境保护设施的验收期限一般不超过3个月；需要对该类环境保护设施进行调试或者整改的，验收期限可以适当延期，但最长不超过12个月。”</w:t>
            </w:r>
          </w:p>
          <w:p>
            <w:pPr>
              <w:widowControl/>
              <w:adjustRightInd w:val="0"/>
              <w:snapToGrid w:val="0"/>
              <w:spacing w:line="360" w:lineRule="auto"/>
              <w:ind w:firstLine="482" w:firstLineChars="200"/>
              <w:jc w:val="left"/>
            </w:pPr>
            <w:r>
              <w:rPr>
                <w:b/>
                <w:kern w:val="0"/>
                <w:lang w:bidi="ar"/>
              </w:rPr>
              <w:t>2、环保竣工验收一览表</w:t>
            </w:r>
          </w:p>
          <w:p>
            <w:pPr>
              <w:widowControl/>
              <w:adjustRightInd w:val="0"/>
              <w:snapToGrid w:val="0"/>
              <w:spacing w:line="360" w:lineRule="auto"/>
              <w:ind w:firstLine="480" w:firstLineChars="200"/>
              <w:jc w:val="left"/>
              <w:rPr>
                <w:rFonts w:eastAsia="黑体"/>
                <w:bCs/>
              </w:rPr>
            </w:pPr>
            <w:r>
              <w:rPr>
                <w:kern w:val="0"/>
                <w:lang w:bidi="ar"/>
              </w:rPr>
              <w:t>工程竣工后，建设单位应委托有编制能力的单位对工程采取的环境保护措施和工程投入运行后造成的新的环境影响问题进行调查，并编制竣工环境保护验收调查报告。建设项目竣工环保验收一览表见下表。</w:t>
            </w:r>
          </w:p>
          <w:p>
            <w:pPr>
              <w:adjustRightInd w:val="0"/>
              <w:snapToGrid w:val="0"/>
              <w:spacing w:line="360" w:lineRule="auto"/>
              <w:jc w:val="center"/>
              <w:rPr>
                <w:rFonts w:cs="Times New Roman"/>
                <w:b/>
                <w:szCs w:val="24"/>
              </w:rPr>
            </w:pPr>
            <w:r>
              <w:rPr>
                <w:rFonts w:cs="Times New Roman"/>
                <w:b/>
                <w:szCs w:val="24"/>
              </w:rPr>
              <w:t>表7-35  本项目环保验收一览表</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407"/>
              <w:gridCol w:w="2818"/>
              <w:gridCol w:w="3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pPr>
                    <w:pStyle w:val="46"/>
                    <w:rPr>
                      <w:b/>
                      <w:bCs/>
                      <w:sz w:val="21"/>
                      <w:szCs w:val="21"/>
                    </w:rPr>
                  </w:pPr>
                  <w:r>
                    <w:rPr>
                      <w:b/>
                      <w:bCs/>
                      <w:sz w:val="21"/>
                      <w:szCs w:val="21"/>
                    </w:rPr>
                    <w:t>类型</w:t>
                  </w:r>
                </w:p>
              </w:tc>
              <w:tc>
                <w:tcPr>
                  <w:tcW w:w="1407" w:type="dxa"/>
                  <w:vAlign w:val="center"/>
                </w:tcPr>
                <w:p>
                  <w:pPr>
                    <w:pStyle w:val="46"/>
                    <w:rPr>
                      <w:b/>
                      <w:bCs/>
                      <w:sz w:val="21"/>
                      <w:szCs w:val="21"/>
                    </w:rPr>
                  </w:pPr>
                  <w:r>
                    <w:rPr>
                      <w:b/>
                      <w:bCs/>
                      <w:sz w:val="21"/>
                      <w:szCs w:val="21"/>
                    </w:rPr>
                    <w:t>污染物名称</w:t>
                  </w:r>
                </w:p>
              </w:tc>
              <w:tc>
                <w:tcPr>
                  <w:tcW w:w="2818" w:type="dxa"/>
                  <w:vAlign w:val="center"/>
                </w:tcPr>
                <w:p>
                  <w:pPr>
                    <w:pStyle w:val="46"/>
                    <w:rPr>
                      <w:b/>
                      <w:bCs/>
                      <w:sz w:val="21"/>
                      <w:szCs w:val="21"/>
                    </w:rPr>
                  </w:pPr>
                  <w:r>
                    <w:rPr>
                      <w:b/>
                      <w:bCs/>
                      <w:sz w:val="21"/>
                      <w:szCs w:val="21"/>
                    </w:rPr>
                    <w:t>治理措施</w:t>
                  </w:r>
                </w:p>
              </w:tc>
              <w:tc>
                <w:tcPr>
                  <w:tcW w:w="3341" w:type="dxa"/>
                  <w:vAlign w:val="center"/>
                </w:tcPr>
                <w:p>
                  <w:pPr>
                    <w:pStyle w:val="46"/>
                    <w:rPr>
                      <w:b/>
                      <w:bCs/>
                      <w:sz w:val="21"/>
                      <w:szCs w:val="21"/>
                    </w:rPr>
                  </w:pPr>
                  <w:r>
                    <w:rPr>
                      <w:b/>
                      <w:bCs/>
                      <w:sz w:val="21"/>
                      <w:szCs w:val="21"/>
                    </w:rPr>
                    <w:t>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36" w:type="dxa"/>
                  <w:vAlign w:val="center"/>
                </w:tcPr>
                <w:p>
                  <w:pPr>
                    <w:pStyle w:val="46"/>
                    <w:rPr>
                      <w:sz w:val="21"/>
                      <w:szCs w:val="21"/>
                    </w:rPr>
                  </w:pPr>
                  <w:r>
                    <w:rPr>
                      <w:sz w:val="21"/>
                      <w:szCs w:val="21"/>
                    </w:rPr>
                    <w:t>废气</w:t>
                  </w:r>
                </w:p>
              </w:tc>
              <w:tc>
                <w:tcPr>
                  <w:tcW w:w="1407" w:type="dxa"/>
                  <w:vAlign w:val="center"/>
                </w:tcPr>
                <w:p>
                  <w:pPr>
                    <w:pStyle w:val="46"/>
                    <w:rPr>
                      <w:sz w:val="21"/>
                      <w:szCs w:val="21"/>
                    </w:rPr>
                  </w:pPr>
                  <w:r>
                    <w:rPr>
                      <w:sz w:val="21"/>
                      <w:szCs w:val="21"/>
                    </w:rPr>
                    <w:t>恶臭气体</w:t>
                  </w:r>
                </w:p>
              </w:tc>
              <w:tc>
                <w:tcPr>
                  <w:tcW w:w="2818" w:type="dxa"/>
                  <w:vAlign w:val="center"/>
                </w:tcPr>
                <w:p>
                  <w:pPr>
                    <w:pStyle w:val="46"/>
                    <w:rPr>
                      <w:sz w:val="21"/>
                      <w:szCs w:val="21"/>
                    </w:rPr>
                  </w:pPr>
                  <w:r>
                    <w:rPr>
                      <w:sz w:val="21"/>
                      <w:szCs w:val="21"/>
                    </w:rPr>
                    <w:t>加强通风、密闭产污点，</w:t>
                  </w:r>
                  <w:r>
                    <w:rPr>
                      <w:rFonts w:hint="eastAsia"/>
                      <w:sz w:val="21"/>
                      <w:szCs w:val="21"/>
                    </w:rPr>
                    <w:t>栽种吸污植物</w:t>
                  </w:r>
                </w:p>
              </w:tc>
              <w:tc>
                <w:tcPr>
                  <w:tcW w:w="3341" w:type="dxa"/>
                  <w:vAlign w:val="center"/>
                </w:tcPr>
                <w:p>
                  <w:pPr>
                    <w:widowControl/>
                    <w:jc w:val="center"/>
                    <w:rPr>
                      <w:sz w:val="21"/>
                      <w:szCs w:val="21"/>
                    </w:rPr>
                  </w:pPr>
                  <w:r>
                    <w:rPr>
                      <w:rFonts w:hint="eastAsia"/>
                      <w:kern w:val="0"/>
                      <w:sz w:val="21"/>
                      <w:szCs w:val="21"/>
                      <w:lang w:bidi="ar"/>
                    </w:rPr>
                    <w:t>《恶臭污染物排放标准》（GB14554-93）二级标准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36" w:type="dxa"/>
                  <w:vAlign w:val="center"/>
                </w:tcPr>
                <w:p>
                  <w:pPr>
                    <w:pStyle w:val="46"/>
                    <w:rPr>
                      <w:sz w:val="21"/>
                      <w:szCs w:val="21"/>
                    </w:rPr>
                  </w:pPr>
                  <w:r>
                    <w:rPr>
                      <w:sz w:val="21"/>
                      <w:szCs w:val="21"/>
                    </w:rPr>
                    <w:t>噪声</w:t>
                  </w:r>
                </w:p>
              </w:tc>
              <w:tc>
                <w:tcPr>
                  <w:tcW w:w="1407" w:type="dxa"/>
                  <w:vAlign w:val="center"/>
                </w:tcPr>
                <w:p>
                  <w:pPr>
                    <w:pStyle w:val="46"/>
                    <w:rPr>
                      <w:sz w:val="21"/>
                      <w:szCs w:val="21"/>
                    </w:rPr>
                  </w:pPr>
                  <w:r>
                    <w:rPr>
                      <w:sz w:val="21"/>
                      <w:szCs w:val="21"/>
                    </w:rPr>
                    <w:t>设备噪声</w:t>
                  </w:r>
                </w:p>
              </w:tc>
              <w:tc>
                <w:tcPr>
                  <w:tcW w:w="2818" w:type="dxa"/>
                  <w:vAlign w:val="center"/>
                </w:tcPr>
                <w:p>
                  <w:pPr>
                    <w:pStyle w:val="46"/>
                    <w:rPr>
                      <w:sz w:val="21"/>
                      <w:szCs w:val="21"/>
                    </w:rPr>
                  </w:pPr>
                  <w:r>
                    <w:rPr>
                      <w:sz w:val="21"/>
                      <w:szCs w:val="21"/>
                    </w:rPr>
                    <w:t>合理布局、基础减震、距离衰减、墙体隔声</w:t>
                  </w:r>
                </w:p>
              </w:tc>
              <w:tc>
                <w:tcPr>
                  <w:tcW w:w="3341" w:type="dxa"/>
                  <w:vAlign w:val="center"/>
                </w:tcPr>
                <w:p>
                  <w:pPr>
                    <w:pStyle w:val="46"/>
                    <w:rPr>
                      <w:sz w:val="21"/>
                      <w:szCs w:val="21"/>
                    </w:rPr>
                  </w:pPr>
                  <w:r>
                    <w:rPr>
                      <w:sz w:val="21"/>
                      <w:szCs w:val="21"/>
                      <w:lang w:bidi="ar"/>
                    </w:rPr>
                    <w:t>《工业企业厂界环境噪声排放标准》</w:t>
                  </w:r>
                  <w:r>
                    <w:rPr>
                      <w:sz w:val="21"/>
                      <w:szCs w:val="21"/>
                    </w:rPr>
                    <w:t>（GB12348-2008）2类标准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pPr>
                    <w:pStyle w:val="46"/>
                    <w:rPr>
                      <w:sz w:val="21"/>
                      <w:szCs w:val="21"/>
                    </w:rPr>
                  </w:pPr>
                  <w:r>
                    <w:rPr>
                      <w:sz w:val="21"/>
                      <w:szCs w:val="21"/>
                    </w:rPr>
                    <w:t>废水</w:t>
                  </w:r>
                </w:p>
              </w:tc>
              <w:tc>
                <w:tcPr>
                  <w:tcW w:w="1407" w:type="dxa"/>
                  <w:vAlign w:val="center"/>
                </w:tcPr>
                <w:p>
                  <w:pPr>
                    <w:pStyle w:val="46"/>
                    <w:rPr>
                      <w:sz w:val="21"/>
                      <w:szCs w:val="21"/>
                    </w:rPr>
                  </w:pPr>
                  <w:r>
                    <w:rPr>
                      <w:sz w:val="21"/>
                      <w:szCs w:val="21"/>
                    </w:rPr>
                    <w:t>排污口污水</w:t>
                  </w:r>
                </w:p>
              </w:tc>
              <w:tc>
                <w:tcPr>
                  <w:tcW w:w="2818" w:type="dxa"/>
                  <w:vAlign w:val="center"/>
                </w:tcPr>
                <w:p>
                  <w:pPr>
                    <w:pStyle w:val="46"/>
                    <w:rPr>
                      <w:sz w:val="21"/>
                      <w:szCs w:val="21"/>
                    </w:rPr>
                  </w:pPr>
                  <w:r>
                    <w:rPr>
                      <w:rFonts w:hint="eastAsia"/>
                      <w:sz w:val="21"/>
                      <w:szCs w:val="21"/>
                    </w:rPr>
                    <w:t>加强出水日常监管</w:t>
                  </w:r>
                </w:p>
              </w:tc>
              <w:tc>
                <w:tcPr>
                  <w:tcW w:w="3341" w:type="dxa"/>
                  <w:vAlign w:val="center"/>
                </w:tcPr>
                <w:p>
                  <w:pPr>
                    <w:pStyle w:val="46"/>
                    <w:rPr>
                      <w:sz w:val="21"/>
                      <w:szCs w:val="21"/>
                    </w:rPr>
                  </w:pPr>
                  <w:r>
                    <w:rPr>
                      <w:rFonts w:hint="eastAsia"/>
                      <w:spacing w:val="5"/>
                      <w:sz w:val="21"/>
                      <w:szCs w:val="21"/>
                    </w:rPr>
                    <w:t>《农村生活污水处理设施水污染物排放标准》（DB51/2626-2019）一级标准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restart"/>
                  <w:vAlign w:val="center"/>
                </w:tcPr>
                <w:p>
                  <w:pPr>
                    <w:pStyle w:val="46"/>
                    <w:rPr>
                      <w:sz w:val="21"/>
                      <w:szCs w:val="21"/>
                    </w:rPr>
                  </w:pPr>
                  <w:r>
                    <w:rPr>
                      <w:sz w:val="21"/>
                      <w:szCs w:val="21"/>
                    </w:rPr>
                    <w:t>固废</w:t>
                  </w:r>
                </w:p>
              </w:tc>
              <w:tc>
                <w:tcPr>
                  <w:tcW w:w="1407" w:type="dxa"/>
                  <w:vAlign w:val="center"/>
                </w:tcPr>
                <w:p>
                  <w:pPr>
                    <w:pStyle w:val="46"/>
                    <w:rPr>
                      <w:sz w:val="21"/>
                      <w:szCs w:val="21"/>
                    </w:rPr>
                  </w:pPr>
                  <w:r>
                    <w:rPr>
                      <w:sz w:val="21"/>
                      <w:szCs w:val="21"/>
                    </w:rPr>
                    <w:t>生活垃圾、栅渣</w:t>
                  </w:r>
                </w:p>
              </w:tc>
              <w:tc>
                <w:tcPr>
                  <w:tcW w:w="2818" w:type="dxa"/>
                  <w:vAlign w:val="center"/>
                </w:tcPr>
                <w:p>
                  <w:pPr>
                    <w:pStyle w:val="46"/>
                    <w:rPr>
                      <w:sz w:val="21"/>
                      <w:szCs w:val="21"/>
                    </w:rPr>
                  </w:pPr>
                  <w:r>
                    <w:rPr>
                      <w:sz w:val="21"/>
                      <w:szCs w:val="21"/>
                    </w:rPr>
                    <w:t>收集后送乡镇垃圾收集点</w:t>
                  </w:r>
                </w:p>
              </w:tc>
              <w:tc>
                <w:tcPr>
                  <w:tcW w:w="3341" w:type="dxa"/>
                  <w:vMerge w:val="restart"/>
                  <w:vAlign w:val="center"/>
                </w:tcPr>
                <w:p>
                  <w:pPr>
                    <w:pStyle w:val="46"/>
                    <w:rPr>
                      <w:sz w:val="21"/>
                      <w:szCs w:val="21"/>
                    </w:rPr>
                  </w:pPr>
                  <w:r>
                    <w:rPr>
                      <w:sz w:val="21"/>
                      <w:szCs w:val="21"/>
                    </w:rPr>
                    <w:t>妥善处置，达到环保要求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36" w:type="dxa"/>
                  <w:vMerge w:val="continue"/>
                  <w:vAlign w:val="center"/>
                </w:tcPr>
                <w:p>
                  <w:pPr>
                    <w:pStyle w:val="46"/>
                    <w:rPr>
                      <w:sz w:val="21"/>
                      <w:szCs w:val="21"/>
                    </w:rPr>
                  </w:pPr>
                </w:p>
              </w:tc>
              <w:tc>
                <w:tcPr>
                  <w:tcW w:w="1407" w:type="dxa"/>
                  <w:vAlign w:val="center"/>
                </w:tcPr>
                <w:p>
                  <w:pPr>
                    <w:pStyle w:val="46"/>
                    <w:rPr>
                      <w:sz w:val="21"/>
                      <w:szCs w:val="21"/>
                    </w:rPr>
                  </w:pPr>
                  <w:r>
                    <w:rPr>
                      <w:sz w:val="21"/>
                      <w:szCs w:val="21"/>
                    </w:rPr>
                    <w:t>污泥</w:t>
                  </w:r>
                </w:p>
              </w:tc>
              <w:tc>
                <w:tcPr>
                  <w:tcW w:w="2818" w:type="dxa"/>
                  <w:vAlign w:val="center"/>
                </w:tcPr>
                <w:p>
                  <w:pPr>
                    <w:pStyle w:val="46"/>
                    <w:rPr>
                      <w:sz w:val="21"/>
                      <w:szCs w:val="21"/>
                    </w:rPr>
                  </w:pPr>
                  <w:r>
                    <w:rPr>
                      <w:sz w:val="21"/>
                      <w:szCs w:val="21"/>
                    </w:rPr>
                    <w:t>外运至峨边彝族自治县城市生活污水处理厂处理</w:t>
                  </w:r>
                </w:p>
              </w:tc>
              <w:tc>
                <w:tcPr>
                  <w:tcW w:w="3341" w:type="dxa"/>
                  <w:vMerge w:val="continue"/>
                  <w:vAlign w:val="center"/>
                </w:tcPr>
                <w:p>
                  <w:pPr>
                    <w:pStyle w:val="46"/>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36" w:type="dxa"/>
                  <w:vMerge w:val="continue"/>
                  <w:vAlign w:val="center"/>
                </w:tcPr>
                <w:p>
                  <w:pPr>
                    <w:pStyle w:val="46"/>
                    <w:rPr>
                      <w:sz w:val="21"/>
                      <w:szCs w:val="21"/>
                    </w:rPr>
                  </w:pPr>
                </w:p>
              </w:tc>
              <w:tc>
                <w:tcPr>
                  <w:tcW w:w="1407" w:type="dxa"/>
                  <w:vAlign w:val="center"/>
                </w:tcPr>
                <w:p>
                  <w:pPr>
                    <w:pStyle w:val="46"/>
                    <w:rPr>
                      <w:sz w:val="21"/>
                      <w:szCs w:val="21"/>
                    </w:rPr>
                  </w:pPr>
                  <w:r>
                    <w:rPr>
                      <w:sz w:val="21"/>
                      <w:szCs w:val="21"/>
                    </w:rPr>
                    <w:t>废旧填料</w:t>
                  </w:r>
                </w:p>
              </w:tc>
              <w:tc>
                <w:tcPr>
                  <w:tcW w:w="2818" w:type="dxa"/>
                  <w:vAlign w:val="center"/>
                </w:tcPr>
                <w:p>
                  <w:pPr>
                    <w:pStyle w:val="46"/>
                    <w:rPr>
                      <w:sz w:val="21"/>
                      <w:szCs w:val="21"/>
                    </w:rPr>
                  </w:pPr>
                  <w:r>
                    <w:rPr>
                      <w:sz w:val="21"/>
                      <w:szCs w:val="21"/>
                    </w:rPr>
                    <w:t>交由厂家回收处置</w:t>
                  </w:r>
                </w:p>
              </w:tc>
              <w:tc>
                <w:tcPr>
                  <w:tcW w:w="3341" w:type="dxa"/>
                  <w:vMerge w:val="continue"/>
                  <w:vAlign w:val="center"/>
                </w:tcPr>
                <w:p>
                  <w:pPr>
                    <w:pStyle w:val="46"/>
                    <w:rPr>
                      <w:sz w:val="21"/>
                      <w:szCs w:val="21"/>
                    </w:rPr>
                  </w:pPr>
                </w:p>
              </w:tc>
            </w:tr>
          </w:tbl>
          <w:p>
            <w:pPr>
              <w:adjustRightInd w:val="0"/>
              <w:snapToGrid w:val="0"/>
              <w:spacing w:line="360" w:lineRule="auto"/>
              <w:rPr>
                <w:rFonts w:cs="Times New Roman"/>
                <w:b/>
                <w:sz w:val="28"/>
                <w:szCs w:val="28"/>
              </w:rPr>
            </w:pPr>
            <w:r>
              <w:rPr>
                <w:rFonts w:cs="Times New Roman"/>
                <w:b/>
                <w:sz w:val="28"/>
                <w:szCs w:val="28"/>
              </w:rPr>
              <w:t>六、环境管理和环境监测</w:t>
            </w:r>
          </w:p>
          <w:p>
            <w:pPr>
              <w:pStyle w:val="13"/>
              <w:adjustRightInd w:val="0"/>
              <w:snapToGrid w:val="0"/>
              <w:ind w:firstLine="482"/>
              <w:rPr>
                <w:b/>
                <w:bCs/>
              </w:rPr>
            </w:pPr>
            <w:r>
              <w:rPr>
                <w:b/>
                <w:bCs/>
              </w:rPr>
              <w:t>1.环境管理目的</w:t>
            </w:r>
          </w:p>
          <w:p>
            <w:pPr>
              <w:adjustRightInd w:val="0"/>
              <w:snapToGrid w:val="0"/>
              <w:spacing w:line="360" w:lineRule="auto"/>
              <w:ind w:firstLine="480" w:firstLineChars="200"/>
            </w:pPr>
            <w:r>
              <w:t>通过环境管理计划的实施，达到预防、消减、缓解或补偿工程建设带来的不利影响的最终目的。在工程营运期间，通过先进的环境管理方式，指导并监督工程的环境保护工作，预防并减缓工程建设和生产过程中对周围环境的不利影响，保障各污染治理设施的正常运转，消减大气污染物、水污染物和固体废物对环境的不利影响，充分发挥工程建设的社会效益和生态环境效益；明确各管理部门的职责，更好落实工程的环境管理工作：落实各项目的生态保护和污染防治设施，使其达到相应的环保要求。</w:t>
            </w:r>
          </w:p>
          <w:p>
            <w:pPr>
              <w:pStyle w:val="13"/>
              <w:adjustRightInd w:val="0"/>
              <w:snapToGrid w:val="0"/>
              <w:ind w:firstLine="482"/>
              <w:rPr>
                <w:b/>
                <w:bCs/>
              </w:rPr>
            </w:pPr>
            <w:r>
              <w:rPr>
                <w:b/>
                <w:bCs/>
              </w:rPr>
              <w:t>2.环境管理原则</w:t>
            </w:r>
          </w:p>
          <w:p>
            <w:pPr>
              <w:adjustRightInd w:val="0"/>
              <w:snapToGrid w:val="0"/>
              <w:spacing w:line="360" w:lineRule="auto"/>
              <w:ind w:firstLine="480" w:firstLineChars="200"/>
              <w:rPr>
                <w:kern w:val="28"/>
              </w:rPr>
            </w:pPr>
            <w:r>
              <w:rPr>
                <w:kern w:val="28"/>
              </w:rPr>
              <w:t>项目建成运行后，应将环境管理纳入日常管理中，根据环境保护的有关规定和自身特点，制定环境管理的具体内容。环境管理应遵循以下基本原则：</w:t>
            </w:r>
          </w:p>
          <w:p>
            <w:pPr>
              <w:adjustRightInd w:val="0"/>
              <w:snapToGrid w:val="0"/>
              <w:spacing w:line="360" w:lineRule="auto"/>
              <w:ind w:firstLine="480" w:firstLineChars="200"/>
              <w:rPr>
                <w:kern w:val="28"/>
              </w:rPr>
            </w:pPr>
            <w:r>
              <w:rPr>
                <w:kern w:val="28"/>
              </w:rPr>
              <w:t>①严格执行各项国家和地方的环保法律、法规。</w:t>
            </w:r>
          </w:p>
          <w:p>
            <w:pPr>
              <w:adjustRightInd w:val="0"/>
              <w:snapToGrid w:val="0"/>
              <w:spacing w:line="360" w:lineRule="auto"/>
              <w:ind w:firstLine="480" w:firstLineChars="200"/>
              <w:rPr>
                <w:kern w:val="28"/>
              </w:rPr>
            </w:pPr>
            <w:r>
              <w:rPr>
                <w:kern w:val="28"/>
              </w:rPr>
              <w:t>②正确处理发展生产和保护环境的关系，把经济效益和环境效益统一起来。</w:t>
            </w:r>
          </w:p>
          <w:p>
            <w:pPr>
              <w:adjustRightInd w:val="0"/>
              <w:snapToGrid w:val="0"/>
              <w:spacing w:line="360" w:lineRule="auto"/>
              <w:ind w:firstLine="480" w:firstLineChars="200"/>
              <w:rPr>
                <w:kern w:val="28"/>
              </w:rPr>
            </w:pPr>
            <w:r>
              <w:rPr>
                <w:rFonts w:hint="eastAsia"/>
                <w:kern w:val="28"/>
              </w:rPr>
              <w:t>③</w:t>
            </w:r>
            <w:r>
              <w:rPr>
                <w:kern w:val="28"/>
              </w:rPr>
              <w:t>环境管理应贯穿于生产全过程，将环境指标纳入生产计划指标，同时进行考核。</w:t>
            </w:r>
          </w:p>
          <w:p>
            <w:pPr>
              <w:adjustRightInd w:val="0"/>
              <w:snapToGrid w:val="0"/>
              <w:spacing w:line="360" w:lineRule="auto"/>
              <w:ind w:firstLine="480" w:firstLineChars="200"/>
              <w:rPr>
                <w:kern w:val="28"/>
              </w:rPr>
            </w:pPr>
            <w:r>
              <w:rPr>
                <w:kern w:val="28"/>
              </w:rPr>
              <w:t>④加强居民环境保护意识，开展经常性的培训和教育活动。</w:t>
            </w:r>
          </w:p>
          <w:p>
            <w:pPr>
              <w:pStyle w:val="13"/>
              <w:adjustRightInd w:val="0"/>
              <w:snapToGrid w:val="0"/>
              <w:ind w:firstLine="482"/>
              <w:rPr>
                <w:rFonts w:eastAsia="黑体"/>
              </w:rPr>
            </w:pPr>
            <w:r>
              <w:rPr>
                <w:b/>
                <w:bCs/>
              </w:rPr>
              <w:t>3.环境管理内容</w:t>
            </w:r>
          </w:p>
          <w:p>
            <w:pPr>
              <w:adjustRightInd w:val="0"/>
              <w:snapToGrid w:val="0"/>
              <w:spacing w:line="360" w:lineRule="auto"/>
              <w:ind w:firstLine="480" w:firstLineChars="200"/>
            </w:pPr>
            <w:r>
              <w:rPr>
                <w:kern w:val="28"/>
              </w:rPr>
              <w:t>①</w:t>
            </w:r>
            <w:r>
              <w:t>建立健全污水处理站环境管理规章制度，强化管理手段来管理和实施有关的监测计划，实施有效的质量控制，切实监督、落实执行所有规章制度。</w:t>
            </w:r>
          </w:p>
          <w:p>
            <w:pPr>
              <w:adjustRightInd w:val="0"/>
              <w:snapToGrid w:val="0"/>
              <w:spacing w:line="360" w:lineRule="auto"/>
              <w:ind w:firstLine="480" w:firstLineChars="200"/>
              <w:rPr>
                <w:kern w:val="28"/>
              </w:rPr>
            </w:pPr>
            <w:r>
              <w:rPr>
                <w:kern w:val="28"/>
              </w:rPr>
              <w:t>②</w:t>
            </w:r>
            <w:r>
              <w:t>加强运行期生产管理严格实行污水处理岗位责任制，加强污水处理运行设备的保养、维护和处理设施正常运行，杜绝事故性排放的发生。</w:t>
            </w:r>
          </w:p>
          <w:p>
            <w:pPr>
              <w:adjustRightInd w:val="0"/>
              <w:snapToGrid w:val="0"/>
              <w:spacing w:line="360" w:lineRule="auto"/>
              <w:ind w:firstLine="480" w:firstLineChars="200"/>
            </w:pPr>
            <w:r>
              <w:rPr>
                <w:kern w:val="28"/>
              </w:rPr>
              <w:t>③</w:t>
            </w:r>
            <w:r>
              <w:t>建设规范化排污口，加强排污口、排污管网和泵站的管理。根据国家环境保护总局《</w:t>
            </w:r>
            <w:r>
              <w:rPr>
                <w:rFonts w:hint="eastAsia"/>
              </w:rPr>
              <w:t>国家环境保护总局关于开展排放口规范化整治工作的通知</w:t>
            </w:r>
            <w:r>
              <w:t>》（</w:t>
            </w:r>
            <w:r>
              <w:rPr>
                <w:rFonts w:hint="eastAsia"/>
              </w:rPr>
              <w:t>2006年6月5日修正版</w:t>
            </w:r>
            <w:r>
              <w:t>），污水处理站尾水排放口设置排放口标志牌。</w:t>
            </w:r>
          </w:p>
          <w:p>
            <w:pPr>
              <w:adjustRightInd w:val="0"/>
              <w:snapToGrid w:val="0"/>
              <w:spacing w:line="360" w:lineRule="auto"/>
              <w:ind w:firstLine="480" w:firstLineChars="200"/>
              <w:rPr>
                <w:kern w:val="28"/>
              </w:rPr>
            </w:pPr>
            <w:r>
              <w:rPr>
                <w:kern w:val="28"/>
              </w:rPr>
              <w:t>④</w:t>
            </w:r>
            <w:r>
              <w:t>加强绿化景观管理。建成运行后，更应有持续发展的行为，应不断地种植、养护、更新、发展，使污水处理站绿化、美化措施落到实处。</w:t>
            </w:r>
          </w:p>
          <w:p>
            <w:pPr>
              <w:pStyle w:val="13"/>
              <w:adjustRightInd w:val="0"/>
              <w:snapToGrid w:val="0"/>
              <w:ind w:firstLine="482"/>
              <w:rPr>
                <w:b/>
                <w:bCs/>
              </w:rPr>
            </w:pPr>
            <w:r>
              <w:rPr>
                <w:b/>
                <w:bCs/>
              </w:rPr>
              <w:t>4.环境管理机构</w:t>
            </w:r>
          </w:p>
          <w:p>
            <w:pPr>
              <w:adjustRightInd w:val="0"/>
              <w:snapToGrid w:val="0"/>
              <w:spacing w:line="360" w:lineRule="auto"/>
              <w:ind w:firstLine="480" w:firstLineChars="200"/>
              <w:rPr>
                <w:kern w:val="28"/>
              </w:rPr>
            </w:pPr>
            <w:r>
              <w:rPr>
                <w:rFonts w:hint="eastAsia" w:cs="Times New Roman"/>
              </w:rPr>
              <w:t>四川省乐山市峨边彝族自治县城郊污水处理及管网建设项目</w:t>
            </w:r>
            <w:r>
              <w:t>应由峨边生态环境局负责，由专职环保人员具体实施环境管理工作</w:t>
            </w:r>
            <w:r>
              <w:rPr>
                <w:rFonts w:hint="eastAsia"/>
              </w:rPr>
              <w:t>。</w:t>
            </w:r>
          </w:p>
          <w:p>
            <w:pPr>
              <w:pStyle w:val="13"/>
              <w:adjustRightInd w:val="0"/>
              <w:snapToGrid w:val="0"/>
              <w:ind w:firstLine="482"/>
              <w:rPr>
                <w:rFonts w:eastAsia="黑体"/>
              </w:rPr>
            </w:pPr>
            <w:r>
              <w:rPr>
                <w:b/>
                <w:bCs/>
              </w:rPr>
              <w:t>5.环境监测计划</w:t>
            </w:r>
          </w:p>
          <w:p>
            <w:pPr>
              <w:tabs>
                <w:tab w:val="left" w:pos="4140"/>
              </w:tabs>
              <w:adjustRightInd w:val="0"/>
              <w:snapToGrid w:val="0"/>
              <w:spacing w:line="360" w:lineRule="auto"/>
              <w:ind w:firstLine="480" w:firstLineChars="200"/>
            </w:pPr>
            <w:r>
              <w:rPr>
                <w:rFonts w:hint="eastAsia"/>
              </w:rPr>
              <w:t>根据《固定污染源排污许可分类管理名录》（2</w:t>
            </w:r>
            <w:r>
              <w:t>019</w:t>
            </w:r>
            <w:r>
              <w:rPr>
                <w:rFonts w:hint="eastAsia"/>
              </w:rPr>
              <w:t>年版），本项目为登记管理。参照</w:t>
            </w:r>
            <w:r>
              <w:t>《排污许可证申请与核发技术规范 水处理（试行）》（HJ 978-2018），本项目为排污口为</w:t>
            </w:r>
            <w:r>
              <w:rPr>
                <w:rFonts w:hint="eastAsia"/>
              </w:rPr>
              <w:t>一般</w:t>
            </w:r>
            <w:r>
              <w:t>排放口，则项目营运期环境监测计划如下。</w:t>
            </w:r>
          </w:p>
          <w:p>
            <w:pPr>
              <w:adjustRightInd w:val="0"/>
              <w:snapToGrid w:val="0"/>
              <w:spacing w:line="360" w:lineRule="auto"/>
              <w:jc w:val="center"/>
              <w:rPr>
                <w:rFonts w:cs="Times New Roman"/>
                <w:b/>
                <w:szCs w:val="24"/>
              </w:rPr>
            </w:pPr>
            <w:r>
              <w:rPr>
                <w:rFonts w:cs="Times New Roman"/>
                <w:b/>
                <w:szCs w:val="24"/>
              </w:rPr>
              <w:t>表7-36  噪声、废气监测计划一览表</w:t>
            </w:r>
          </w:p>
          <w:tbl>
            <w:tblPr>
              <w:tblStyle w:val="30"/>
              <w:tblW w:w="8296"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534"/>
              <w:gridCol w:w="1584"/>
              <w:gridCol w:w="2608"/>
              <w:gridCol w:w="1138"/>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432" w:type="dxa"/>
                  <w:vAlign w:val="center"/>
                </w:tcPr>
                <w:p>
                  <w:pPr>
                    <w:widowControl/>
                    <w:adjustRightInd w:val="0"/>
                    <w:snapToGrid w:val="0"/>
                    <w:jc w:val="center"/>
                    <w:rPr>
                      <w:b/>
                      <w:bCs/>
                      <w:sz w:val="21"/>
                      <w:szCs w:val="21"/>
                    </w:rPr>
                  </w:pPr>
                  <w:r>
                    <w:rPr>
                      <w:b/>
                      <w:bCs/>
                      <w:sz w:val="21"/>
                      <w:szCs w:val="21"/>
                    </w:rPr>
                    <w:t>类别</w:t>
                  </w:r>
                </w:p>
              </w:tc>
              <w:tc>
                <w:tcPr>
                  <w:tcW w:w="1534" w:type="dxa"/>
                  <w:vAlign w:val="center"/>
                </w:tcPr>
                <w:p>
                  <w:pPr>
                    <w:widowControl/>
                    <w:adjustRightInd w:val="0"/>
                    <w:snapToGrid w:val="0"/>
                    <w:jc w:val="center"/>
                    <w:rPr>
                      <w:b/>
                      <w:bCs/>
                      <w:sz w:val="21"/>
                      <w:szCs w:val="21"/>
                    </w:rPr>
                  </w:pPr>
                  <w:r>
                    <w:rPr>
                      <w:b/>
                      <w:bCs/>
                      <w:sz w:val="21"/>
                      <w:szCs w:val="21"/>
                    </w:rPr>
                    <w:t>监测点位</w:t>
                  </w:r>
                </w:p>
              </w:tc>
              <w:tc>
                <w:tcPr>
                  <w:tcW w:w="1584" w:type="dxa"/>
                  <w:vAlign w:val="center"/>
                </w:tcPr>
                <w:p>
                  <w:pPr>
                    <w:widowControl/>
                    <w:adjustRightInd w:val="0"/>
                    <w:snapToGrid w:val="0"/>
                    <w:jc w:val="center"/>
                    <w:rPr>
                      <w:b/>
                      <w:bCs/>
                      <w:sz w:val="21"/>
                      <w:szCs w:val="21"/>
                    </w:rPr>
                  </w:pPr>
                  <w:r>
                    <w:rPr>
                      <w:b/>
                      <w:bCs/>
                      <w:sz w:val="21"/>
                      <w:szCs w:val="21"/>
                    </w:rPr>
                    <w:t>监测项目</w:t>
                  </w:r>
                </w:p>
              </w:tc>
              <w:tc>
                <w:tcPr>
                  <w:tcW w:w="2608" w:type="dxa"/>
                  <w:vAlign w:val="center"/>
                </w:tcPr>
                <w:p>
                  <w:pPr>
                    <w:widowControl/>
                    <w:adjustRightInd w:val="0"/>
                    <w:snapToGrid w:val="0"/>
                    <w:jc w:val="center"/>
                    <w:rPr>
                      <w:b/>
                      <w:bCs/>
                      <w:sz w:val="21"/>
                      <w:szCs w:val="21"/>
                    </w:rPr>
                  </w:pPr>
                  <w:r>
                    <w:rPr>
                      <w:b/>
                      <w:bCs/>
                      <w:sz w:val="21"/>
                      <w:szCs w:val="21"/>
                    </w:rPr>
                    <w:t>监测频率</w:t>
                  </w:r>
                </w:p>
              </w:tc>
              <w:tc>
                <w:tcPr>
                  <w:tcW w:w="1138" w:type="dxa"/>
                  <w:vAlign w:val="center"/>
                </w:tcPr>
                <w:p>
                  <w:pPr>
                    <w:tabs>
                      <w:tab w:val="left" w:pos="4140"/>
                    </w:tabs>
                    <w:adjustRightInd w:val="0"/>
                    <w:snapToGrid w:val="0"/>
                    <w:jc w:val="center"/>
                    <w:rPr>
                      <w:b/>
                      <w:bCs/>
                      <w:sz w:val="21"/>
                      <w:szCs w:val="21"/>
                    </w:rPr>
                  </w:pPr>
                  <w:r>
                    <w:rPr>
                      <w:b/>
                      <w:bCs/>
                      <w:sz w:val="21"/>
                      <w:szCs w:val="21"/>
                    </w:rPr>
                    <w:t>监测方法</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432" w:type="dxa"/>
                  <w:vAlign w:val="center"/>
                </w:tcPr>
                <w:p>
                  <w:pPr>
                    <w:widowControl/>
                    <w:adjustRightInd w:val="0"/>
                    <w:snapToGrid w:val="0"/>
                    <w:jc w:val="center"/>
                    <w:rPr>
                      <w:sz w:val="21"/>
                      <w:szCs w:val="21"/>
                    </w:rPr>
                  </w:pPr>
                  <w:r>
                    <w:rPr>
                      <w:sz w:val="21"/>
                      <w:szCs w:val="21"/>
                    </w:rPr>
                    <w:t>噪声</w:t>
                  </w:r>
                </w:p>
              </w:tc>
              <w:tc>
                <w:tcPr>
                  <w:tcW w:w="1534" w:type="dxa"/>
                  <w:vAlign w:val="center"/>
                </w:tcPr>
                <w:p>
                  <w:pPr>
                    <w:widowControl/>
                    <w:adjustRightInd w:val="0"/>
                    <w:snapToGrid w:val="0"/>
                    <w:jc w:val="center"/>
                    <w:rPr>
                      <w:sz w:val="21"/>
                      <w:szCs w:val="21"/>
                    </w:rPr>
                  </w:pPr>
                  <w:r>
                    <w:rPr>
                      <w:sz w:val="21"/>
                      <w:szCs w:val="21"/>
                    </w:rPr>
                    <w:t>厂界四周</w:t>
                  </w:r>
                </w:p>
              </w:tc>
              <w:tc>
                <w:tcPr>
                  <w:tcW w:w="1584" w:type="dxa"/>
                  <w:vAlign w:val="center"/>
                </w:tcPr>
                <w:p>
                  <w:pPr>
                    <w:widowControl/>
                    <w:adjustRightInd w:val="0"/>
                    <w:snapToGrid w:val="0"/>
                    <w:jc w:val="center"/>
                    <w:rPr>
                      <w:sz w:val="21"/>
                      <w:szCs w:val="21"/>
                    </w:rPr>
                  </w:pPr>
                  <w:r>
                    <w:rPr>
                      <w:sz w:val="21"/>
                      <w:szCs w:val="21"/>
                    </w:rPr>
                    <w:t>等效声级</w:t>
                  </w:r>
                </w:p>
              </w:tc>
              <w:tc>
                <w:tcPr>
                  <w:tcW w:w="2608" w:type="dxa"/>
                  <w:vAlign w:val="center"/>
                </w:tcPr>
                <w:p>
                  <w:pPr>
                    <w:adjustRightInd w:val="0"/>
                    <w:snapToGrid w:val="0"/>
                    <w:jc w:val="center"/>
                    <w:rPr>
                      <w:sz w:val="21"/>
                      <w:szCs w:val="21"/>
                    </w:rPr>
                  </w:pPr>
                  <w:r>
                    <w:rPr>
                      <w:sz w:val="21"/>
                      <w:szCs w:val="21"/>
                    </w:rPr>
                    <w:t>每季度监测</w:t>
                  </w:r>
                  <w:r>
                    <w:rPr>
                      <w:rFonts w:eastAsia="Calibri"/>
                      <w:sz w:val="21"/>
                      <w:szCs w:val="21"/>
                    </w:rPr>
                    <w:t>1</w:t>
                  </w:r>
                  <w:r>
                    <w:rPr>
                      <w:sz w:val="21"/>
                      <w:szCs w:val="21"/>
                    </w:rPr>
                    <w:t>次，连续</w:t>
                  </w:r>
                  <w:r>
                    <w:rPr>
                      <w:rFonts w:eastAsia="Calibri"/>
                      <w:sz w:val="21"/>
                      <w:szCs w:val="21"/>
                    </w:rPr>
                    <w:t>2</w:t>
                  </w:r>
                  <w:r>
                    <w:rPr>
                      <w:sz w:val="21"/>
                      <w:szCs w:val="21"/>
                    </w:rPr>
                    <w:t>天，昼夜各</w:t>
                  </w:r>
                  <w:r>
                    <w:rPr>
                      <w:rFonts w:eastAsia="Calibri"/>
                      <w:sz w:val="21"/>
                      <w:szCs w:val="21"/>
                    </w:rPr>
                    <w:t>2</w:t>
                  </w:r>
                  <w:r>
                    <w:rPr>
                      <w:sz w:val="21"/>
                      <w:szCs w:val="21"/>
                    </w:rPr>
                    <w:t>次</w:t>
                  </w:r>
                </w:p>
              </w:tc>
              <w:tc>
                <w:tcPr>
                  <w:tcW w:w="1138" w:type="dxa"/>
                  <w:vMerge w:val="restart"/>
                  <w:vAlign w:val="center"/>
                </w:tcPr>
                <w:p>
                  <w:pPr>
                    <w:widowControl/>
                    <w:adjustRightInd w:val="0"/>
                    <w:snapToGrid w:val="0"/>
                    <w:jc w:val="center"/>
                    <w:rPr>
                      <w:sz w:val="21"/>
                      <w:szCs w:val="21"/>
                    </w:rPr>
                  </w:pPr>
                  <w:r>
                    <w:rPr>
                      <w:sz w:val="21"/>
                      <w:szCs w:val="21"/>
                    </w:rPr>
                    <w:t>按国家标准进行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432" w:type="dxa"/>
                  <w:vAlign w:val="center"/>
                </w:tcPr>
                <w:p>
                  <w:pPr>
                    <w:widowControl/>
                    <w:adjustRightInd w:val="0"/>
                    <w:snapToGrid w:val="0"/>
                    <w:jc w:val="center"/>
                    <w:rPr>
                      <w:sz w:val="21"/>
                      <w:szCs w:val="21"/>
                    </w:rPr>
                  </w:pPr>
                  <w:r>
                    <w:rPr>
                      <w:sz w:val="21"/>
                      <w:szCs w:val="21"/>
                    </w:rPr>
                    <w:t>废气</w:t>
                  </w:r>
                </w:p>
              </w:tc>
              <w:tc>
                <w:tcPr>
                  <w:tcW w:w="1534" w:type="dxa"/>
                  <w:vAlign w:val="center"/>
                </w:tcPr>
                <w:p>
                  <w:pPr>
                    <w:widowControl/>
                    <w:adjustRightInd w:val="0"/>
                    <w:snapToGrid w:val="0"/>
                    <w:jc w:val="center"/>
                    <w:rPr>
                      <w:sz w:val="21"/>
                      <w:szCs w:val="21"/>
                    </w:rPr>
                  </w:pPr>
                  <w:r>
                    <w:rPr>
                      <w:sz w:val="21"/>
                      <w:szCs w:val="21"/>
                    </w:rPr>
                    <w:t>厂界上下风向</w:t>
                  </w:r>
                </w:p>
              </w:tc>
              <w:tc>
                <w:tcPr>
                  <w:tcW w:w="1584" w:type="dxa"/>
                  <w:vAlign w:val="center"/>
                </w:tcPr>
                <w:p>
                  <w:pPr>
                    <w:widowControl/>
                    <w:adjustRightInd w:val="0"/>
                    <w:snapToGrid w:val="0"/>
                    <w:jc w:val="center"/>
                    <w:rPr>
                      <w:sz w:val="21"/>
                      <w:szCs w:val="21"/>
                    </w:rPr>
                  </w:pPr>
                  <w:r>
                    <w:rPr>
                      <w:rFonts w:eastAsia="Calibri"/>
                      <w:sz w:val="21"/>
                      <w:szCs w:val="21"/>
                    </w:rPr>
                    <w:t>NH</w:t>
                  </w:r>
                  <w:r>
                    <w:rPr>
                      <w:rFonts w:eastAsia="Calibri"/>
                      <w:sz w:val="21"/>
                      <w:szCs w:val="21"/>
                      <w:vertAlign w:val="subscript"/>
                    </w:rPr>
                    <w:t>3</w:t>
                  </w:r>
                  <w:r>
                    <w:rPr>
                      <w:sz w:val="21"/>
                      <w:szCs w:val="21"/>
                    </w:rPr>
                    <w:t>、</w:t>
                  </w:r>
                  <w:r>
                    <w:rPr>
                      <w:rFonts w:eastAsia="Calibri"/>
                      <w:sz w:val="21"/>
                      <w:szCs w:val="21"/>
                    </w:rPr>
                    <w:t>H</w:t>
                  </w:r>
                  <w:r>
                    <w:rPr>
                      <w:rFonts w:eastAsia="Calibri"/>
                      <w:sz w:val="21"/>
                      <w:szCs w:val="21"/>
                      <w:vertAlign w:val="subscript"/>
                    </w:rPr>
                    <w:t>2</w:t>
                  </w:r>
                  <w:r>
                    <w:rPr>
                      <w:rFonts w:eastAsia="Calibri"/>
                      <w:sz w:val="21"/>
                      <w:szCs w:val="21"/>
                    </w:rPr>
                    <w:t>S</w:t>
                  </w:r>
                  <w:r>
                    <w:rPr>
                      <w:sz w:val="21"/>
                      <w:szCs w:val="21"/>
                    </w:rPr>
                    <w:t xml:space="preserve"> </w:t>
                  </w:r>
                </w:p>
              </w:tc>
              <w:tc>
                <w:tcPr>
                  <w:tcW w:w="2608" w:type="dxa"/>
                  <w:vAlign w:val="center"/>
                </w:tcPr>
                <w:p>
                  <w:pPr>
                    <w:adjustRightInd w:val="0"/>
                    <w:snapToGrid w:val="0"/>
                    <w:jc w:val="center"/>
                    <w:rPr>
                      <w:sz w:val="21"/>
                      <w:szCs w:val="21"/>
                    </w:rPr>
                  </w:pPr>
                  <w:r>
                    <w:rPr>
                      <w:sz w:val="21"/>
                      <w:szCs w:val="21"/>
                    </w:rPr>
                    <w:t>厂界上下风向每半年一次</w:t>
                  </w:r>
                </w:p>
              </w:tc>
              <w:tc>
                <w:tcPr>
                  <w:tcW w:w="1138" w:type="dxa"/>
                  <w:vMerge w:val="continue"/>
                  <w:vAlign w:val="center"/>
                </w:tcPr>
                <w:p>
                  <w:pPr>
                    <w:widowControl/>
                    <w:adjustRightInd w:val="0"/>
                    <w:snapToGrid w:val="0"/>
                    <w:jc w:val="center"/>
                    <w:rPr>
                      <w:sz w:val="21"/>
                      <w:szCs w:val="21"/>
                    </w:rPr>
                  </w:pPr>
                </w:p>
              </w:tc>
            </w:tr>
          </w:tbl>
          <w:p>
            <w:pPr>
              <w:adjustRightInd w:val="0"/>
              <w:snapToGrid w:val="0"/>
              <w:spacing w:line="360" w:lineRule="auto"/>
              <w:jc w:val="center"/>
              <w:rPr>
                <w:rFonts w:cs="Times New Roman"/>
                <w:b/>
                <w:szCs w:val="24"/>
              </w:rPr>
            </w:pPr>
            <w:r>
              <w:rPr>
                <w:rFonts w:cs="Times New Roman"/>
                <w:b/>
                <w:szCs w:val="24"/>
              </w:rPr>
              <w:t xml:space="preserve">表7-37  </w:t>
            </w:r>
            <w:r>
              <w:rPr>
                <w:rFonts w:hint="eastAsia" w:cs="Times New Roman"/>
                <w:b/>
                <w:szCs w:val="24"/>
              </w:rPr>
              <w:t>出水</w:t>
            </w:r>
            <w:r>
              <w:rPr>
                <w:rFonts w:cs="Times New Roman"/>
                <w:b/>
                <w:szCs w:val="24"/>
              </w:rPr>
              <w:t>监测指标及最低监测频次</w:t>
            </w:r>
          </w:p>
          <w:tbl>
            <w:tblPr>
              <w:tblStyle w:val="30"/>
              <w:tblW w:w="8296"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755"/>
              <w:gridCol w:w="3071"/>
              <w:gridCol w:w="2470"/>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755" w:type="dxa"/>
                  <w:vAlign w:val="center"/>
                </w:tcPr>
                <w:p>
                  <w:pPr>
                    <w:widowControl/>
                    <w:adjustRightInd w:val="0"/>
                    <w:snapToGrid w:val="0"/>
                    <w:jc w:val="center"/>
                    <w:rPr>
                      <w:b/>
                      <w:bCs/>
                      <w:sz w:val="21"/>
                      <w:szCs w:val="21"/>
                    </w:rPr>
                  </w:pPr>
                  <w:r>
                    <w:rPr>
                      <w:b/>
                      <w:bCs/>
                      <w:sz w:val="21"/>
                      <w:szCs w:val="21"/>
                    </w:rPr>
                    <w:t>监测点位</w:t>
                  </w:r>
                </w:p>
              </w:tc>
              <w:tc>
                <w:tcPr>
                  <w:tcW w:w="3071" w:type="dxa"/>
                  <w:vAlign w:val="center"/>
                </w:tcPr>
                <w:p>
                  <w:pPr>
                    <w:widowControl/>
                    <w:adjustRightInd w:val="0"/>
                    <w:snapToGrid w:val="0"/>
                    <w:jc w:val="center"/>
                    <w:rPr>
                      <w:b/>
                      <w:bCs/>
                      <w:sz w:val="21"/>
                      <w:szCs w:val="21"/>
                    </w:rPr>
                  </w:pPr>
                  <w:r>
                    <w:rPr>
                      <w:b/>
                      <w:bCs/>
                      <w:sz w:val="21"/>
                      <w:szCs w:val="21"/>
                    </w:rPr>
                    <w:t>监测指标</w:t>
                  </w:r>
                </w:p>
              </w:tc>
              <w:tc>
                <w:tcPr>
                  <w:tcW w:w="2470" w:type="dxa"/>
                  <w:vAlign w:val="center"/>
                </w:tcPr>
                <w:p>
                  <w:pPr>
                    <w:widowControl/>
                    <w:adjustRightInd w:val="0"/>
                    <w:snapToGrid w:val="0"/>
                    <w:jc w:val="center"/>
                    <w:rPr>
                      <w:b/>
                      <w:bCs/>
                      <w:sz w:val="21"/>
                      <w:szCs w:val="21"/>
                    </w:rPr>
                  </w:pPr>
                  <w:r>
                    <w:rPr>
                      <w:b/>
                      <w:bCs/>
                      <w:sz w:val="21"/>
                      <w:szCs w:val="21"/>
                    </w:rPr>
                    <w:t>监测指标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755" w:type="dxa"/>
                  <w:vAlign w:val="center"/>
                </w:tcPr>
                <w:p>
                  <w:pPr>
                    <w:widowControl/>
                    <w:adjustRightInd w:val="0"/>
                    <w:snapToGrid w:val="0"/>
                    <w:jc w:val="center"/>
                    <w:rPr>
                      <w:sz w:val="21"/>
                      <w:szCs w:val="21"/>
                    </w:rPr>
                  </w:pPr>
                  <w:r>
                    <w:rPr>
                      <w:rFonts w:hint="eastAsia"/>
                      <w:sz w:val="21"/>
                      <w:szCs w:val="21"/>
                    </w:rPr>
                    <w:t>进出口</w:t>
                  </w:r>
                </w:p>
              </w:tc>
              <w:tc>
                <w:tcPr>
                  <w:tcW w:w="3071" w:type="dxa"/>
                  <w:vAlign w:val="center"/>
                </w:tcPr>
                <w:p>
                  <w:pPr>
                    <w:widowControl/>
                    <w:adjustRightInd w:val="0"/>
                    <w:snapToGrid w:val="0"/>
                    <w:jc w:val="center"/>
                    <w:rPr>
                      <w:sz w:val="21"/>
                      <w:szCs w:val="21"/>
                    </w:rPr>
                  </w:pPr>
                  <w:r>
                    <w:rPr>
                      <w:sz w:val="21"/>
                      <w:szCs w:val="21"/>
                    </w:rPr>
                    <w:t>流量、化学需氧量</w:t>
                  </w:r>
                  <w:r>
                    <w:rPr>
                      <w:rFonts w:hint="eastAsia"/>
                      <w:sz w:val="21"/>
                      <w:szCs w:val="21"/>
                    </w:rPr>
                    <w:t>、五日生化需氧量、</w:t>
                  </w:r>
                  <w:r>
                    <w:rPr>
                      <w:sz w:val="21"/>
                      <w:szCs w:val="21"/>
                    </w:rPr>
                    <w:t>氨氮</w:t>
                  </w:r>
                  <w:r>
                    <w:rPr>
                      <w:rFonts w:hint="eastAsia"/>
                      <w:sz w:val="21"/>
                      <w:szCs w:val="21"/>
                    </w:rPr>
                    <w:t>、</w:t>
                  </w:r>
                  <w:r>
                    <w:rPr>
                      <w:sz w:val="21"/>
                      <w:szCs w:val="21"/>
                    </w:rPr>
                    <w:t>总磷、总氮</w:t>
                  </w:r>
                </w:p>
              </w:tc>
              <w:tc>
                <w:tcPr>
                  <w:tcW w:w="2470" w:type="dxa"/>
                  <w:vAlign w:val="center"/>
                </w:tcPr>
                <w:p>
                  <w:pPr>
                    <w:widowControl/>
                    <w:adjustRightInd w:val="0"/>
                    <w:snapToGrid w:val="0"/>
                    <w:jc w:val="center"/>
                    <w:rPr>
                      <w:sz w:val="21"/>
                      <w:szCs w:val="21"/>
                    </w:rPr>
                  </w:pPr>
                  <w:r>
                    <w:rPr>
                      <w:rFonts w:hint="eastAsia"/>
                      <w:sz w:val="21"/>
                      <w:szCs w:val="21"/>
                    </w:rPr>
                    <w:t>半年一次</w:t>
                  </w:r>
                </w:p>
              </w:tc>
            </w:tr>
          </w:tbl>
          <w:p>
            <w:pPr>
              <w:pStyle w:val="10"/>
              <w:adjustRightInd w:val="0"/>
              <w:snapToGrid w:val="0"/>
              <w:spacing w:line="360" w:lineRule="auto"/>
              <w:ind w:firstLine="480" w:firstLineChars="200"/>
              <w:rPr>
                <w:szCs w:val="22"/>
              </w:rPr>
            </w:pPr>
            <w:r>
              <w:rPr>
                <w:szCs w:val="22"/>
              </w:rPr>
              <w:t>根据《环境影响评价技术导则-地下水环境》（HJ610-2016）要求，三级评价建设项目应至少在建设项目场地下游布置1个跟踪监测点位。</w:t>
            </w:r>
          </w:p>
          <w:p>
            <w:pPr>
              <w:adjustRightInd w:val="0"/>
              <w:snapToGrid w:val="0"/>
              <w:spacing w:line="360" w:lineRule="auto"/>
              <w:jc w:val="center"/>
              <w:rPr>
                <w:rFonts w:cs="Times New Roman"/>
                <w:b/>
                <w:szCs w:val="24"/>
              </w:rPr>
            </w:pPr>
            <w:r>
              <w:rPr>
                <w:rFonts w:cs="Times New Roman"/>
                <w:b/>
                <w:szCs w:val="24"/>
              </w:rPr>
              <w:t>表7-38  地下水监测计划</w:t>
            </w:r>
          </w:p>
          <w:tbl>
            <w:tblPr>
              <w:tblStyle w:val="30"/>
              <w:tblW w:w="8296"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3237"/>
              <w:gridCol w:w="1124"/>
              <w:gridCol w:w="3935"/>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3237" w:type="dxa"/>
                  <w:vAlign w:val="center"/>
                </w:tcPr>
                <w:p>
                  <w:pPr>
                    <w:widowControl/>
                    <w:adjustRightInd w:val="0"/>
                    <w:snapToGrid w:val="0"/>
                    <w:jc w:val="center"/>
                    <w:rPr>
                      <w:b/>
                      <w:bCs/>
                      <w:sz w:val="21"/>
                      <w:szCs w:val="21"/>
                    </w:rPr>
                  </w:pPr>
                  <w:r>
                    <w:rPr>
                      <w:b/>
                      <w:bCs/>
                      <w:sz w:val="21"/>
                      <w:szCs w:val="21"/>
                    </w:rPr>
                    <w:t>监测点位</w:t>
                  </w:r>
                </w:p>
              </w:tc>
              <w:tc>
                <w:tcPr>
                  <w:tcW w:w="1124" w:type="dxa"/>
                  <w:vAlign w:val="center"/>
                </w:tcPr>
                <w:p>
                  <w:pPr>
                    <w:widowControl/>
                    <w:adjustRightInd w:val="0"/>
                    <w:snapToGrid w:val="0"/>
                    <w:jc w:val="center"/>
                    <w:rPr>
                      <w:b/>
                      <w:bCs/>
                      <w:sz w:val="21"/>
                      <w:szCs w:val="21"/>
                    </w:rPr>
                  </w:pPr>
                  <w:r>
                    <w:rPr>
                      <w:b/>
                      <w:bCs/>
                      <w:sz w:val="21"/>
                      <w:szCs w:val="21"/>
                    </w:rPr>
                    <w:t>监测频次</w:t>
                  </w:r>
                </w:p>
              </w:tc>
              <w:tc>
                <w:tcPr>
                  <w:tcW w:w="3935" w:type="dxa"/>
                  <w:vAlign w:val="center"/>
                </w:tcPr>
                <w:p>
                  <w:pPr>
                    <w:widowControl/>
                    <w:adjustRightInd w:val="0"/>
                    <w:snapToGrid w:val="0"/>
                    <w:jc w:val="center"/>
                    <w:rPr>
                      <w:b/>
                      <w:bCs/>
                      <w:sz w:val="21"/>
                      <w:szCs w:val="21"/>
                    </w:rPr>
                  </w:pPr>
                  <w:r>
                    <w:rPr>
                      <w:b/>
                      <w:bCs/>
                      <w:sz w:val="21"/>
                      <w:szCs w:val="21"/>
                    </w:rPr>
                    <w:t>监测因子</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jc w:val="center"/>
              </w:trPr>
              <w:tc>
                <w:tcPr>
                  <w:tcW w:w="3237" w:type="dxa"/>
                  <w:vAlign w:val="center"/>
                </w:tcPr>
                <w:p>
                  <w:pPr>
                    <w:widowControl/>
                    <w:adjustRightInd w:val="0"/>
                    <w:snapToGrid w:val="0"/>
                    <w:jc w:val="center"/>
                    <w:rPr>
                      <w:sz w:val="21"/>
                      <w:szCs w:val="21"/>
                    </w:rPr>
                  </w:pPr>
                  <w:r>
                    <w:rPr>
                      <w:sz w:val="21"/>
                      <w:szCs w:val="21"/>
                    </w:rPr>
                    <w:t>建设项目场地下游监测井内</w:t>
                  </w:r>
                </w:p>
              </w:tc>
              <w:tc>
                <w:tcPr>
                  <w:tcW w:w="1124" w:type="dxa"/>
                  <w:vAlign w:val="center"/>
                </w:tcPr>
                <w:p>
                  <w:pPr>
                    <w:widowControl/>
                    <w:adjustRightInd w:val="0"/>
                    <w:snapToGrid w:val="0"/>
                    <w:jc w:val="center"/>
                    <w:rPr>
                      <w:sz w:val="21"/>
                      <w:szCs w:val="21"/>
                    </w:rPr>
                  </w:pPr>
                  <w:r>
                    <w:rPr>
                      <w:sz w:val="21"/>
                      <w:szCs w:val="21"/>
                    </w:rPr>
                    <w:t>1次/年</w:t>
                  </w:r>
                </w:p>
              </w:tc>
              <w:tc>
                <w:tcPr>
                  <w:tcW w:w="3935" w:type="dxa"/>
                  <w:vAlign w:val="center"/>
                </w:tcPr>
                <w:p>
                  <w:pPr>
                    <w:widowControl/>
                    <w:adjustRightInd w:val="0"/>
                    <w:snapToGrid w:val="0"/>
                    <w:jc w:val="center"/>
                    <w:rPr>
                      <w:sz w:val="21"/>
                      <w:szCs w:val="21"/>
                    </w:rPr>
                  </w:pPr>
                  <w:r>
                    <w:rPr>
                      <w:sz w:val="21"/>
                      <w:szCs w:val="21"/>
                    </w:rPr>
                    <w:t>K</w:t>
                  </w:r>
                  <w:r>
                    <w:rPr>
                      <w:sz w:val="21"/>
                      <w:szCs w:val="21"/>
                      <w:vertAlign w:val="superscript"/>
                    </w:rPr>
                    <w:t>+</w:t>
                  </w:r>
                  <w:r>
                    <w:rPr>
                      <w:sz w:val="21"/>
                      <w:szCs w:val="21"/>
                    </w:rPr>
                    <w:t>+Na</w:t>
                  </w:r>
                  <w:r>
                    <w:rPr>
                      <w:sz w:val="21"/>
                      <w:szCs w:val="21"/>
                      <w:vertAlign w:val="superscript"/>
                    </w:rPr>
                    <w:t>+</w:t>
                  </w:r>
                  <w:r>
                    <w:rPr>
                      <w:sz w:val="21"/>
                      <w:szCs w:val="21"/>
                    </w:rPr>
                    <w:t>、Ca</w:t>
                  </w:r>
                  <w:r>
                    <w:rPr>
                      <w:sz w:val="21"/>
                      <w:szCs w:val="21"/>
                      <w:vertAlign w:val="superscript"/>
                    </w:rPr>
                    <w:t>2+</w:t>
                  </w:r>
                  <w:r>
                    <w:rPr>
                      <w:sz w:val="21"/>
                      <w:szCs w:val="21"/>
                    </w:rPr>
                    <w:t>、Mg</w:t>
                  </w:r>
                  <w:r>
                    <w:rPr>
                      <w:sz w:val="21"/>
                      <w:szCs w:val="21"/>
                      <w:vertAlign w:val="superscript"/>
                    </w:rPr>
                    <w:t>2+</w:t>
                  </w:r>
                  <w:r>
                    <w:rPr>
                      <w:sz w:val="21"/>
                      <w:szCs w:val="21"/>
                    </w:rPr>
                    <w:t>、CO</w:t>
                  </w:r>
                  <w:r>
                    <w:rPr>
                      <w:sz w:val="21"/>
                      <w:szCs w:val="21"/>
                      <w:vertAlign w:val="subscript"/>
                    </w:rPr>
                    <w:t>3</w:t>
                  </w:r>
                  <w:r>
                    <w:rPr>
                      <w:sz w:val="21"/>
                      <w:szCs w:val="21"/>
                      <w:vertAlign w:val="superscript"/>
                    </w:rPr>
                    <w:t>2-</w:t>
                  </w:r>
                  <w:r>
                    <w:rPr>
                      <w:sz w:val="21"/>
                      <w:szCs w:val="21"/>
                    </w:rPr>
                    <w:t>、HCO</w:t>
                  </w:r>
                  <w:r>
                    <w:rPr>
                      <w:sz w:val="21"/>
                      <w:szCs w:val="21"/>
                      <w:vertAlign w:val="subscript"/>
                    </w:rPr>
                    <w:t>3</w:t>
                  </w:r>
                  <w:r>
                    <w:rPr>
                      <w:sz w:val="21"/>
                      <w:szCs w:val="21"/>
                      <w:vertAlign w:val="superscript"/>
                    </w:rPr>
                    <w:t>-</w:t>
                  </w:r>
                  <w:r>
                    <w:rPr>
                      <w:sz w:val="21"/>
                      <w:szCs w:val="21"/>
                    </w:rPr>
                    <w:t>、Cl</w:t>
                  </w:r>
                  <w:r>
                    <w:rPr>
                      <w:sz w:val="21"/>
                      <w:szCs w:val="21"/>
                      <w:vertAlign w:val="superscript"/>
                    </w:rPr>
                    <w:t>-</w:t>
                  </w:r>
                  <w:r>
                    <w:rPr>
                      <w:sz w:val="21"/>
                      <w:szCs w:val="21"/>
                    </w:rPr>
                    <w:t>、SO</w:t>
                  </w:r>
                  <w:r>
                    <w:rPr>
                      <w:sz w:val="21"/>
                      <w:szCs w:val="21"/>
                      <w:vertAlign w:val="subscript"/>
                    </w:rPr>
                    <w:t>4</w:t>
                  </w:r>
                  <w:r>
                    <w:rPr>
                      <w:sz w:val="21"/>
                      <w:szCs w:val="21"/>
                      <w:vertAlign w:val="superscript"/>
                    </w:rPr>
                    <w:t>2-</w:t>
                  </w:r>
                  <w:r>
                    <w:rPr>
                      <w:sz w:val="21"/>
                      <w:szCs w:val="21"/>
                    </w:rPr>
                    <w:t>、pH值、挥发酚、氰化物、六价铬、氨氮、总磷、</w:t>
                  </w:r>
                  <w:r>
                    <w:rPr>
                      <w:rFonts w:hint="eastAsia"/>
                      <w:sz w:val="21"/>
                      <w:szCs w:val="21"/>
                    </w:rPr>
                    <w:t>粪</w:t>
                  </w:r>
                  <w:r>
                    <w:rPr>
                      <w:sz w:val="21"/>
                      <w:szCs w:val="21"/>
                    </w:rPr>
                    <w:t>大肠菌群（MPN/100ml）、亚硝酸盐氮、氯化物、硝酸盐氮、硫酸盐</w:t>
                  </w:r>
                </w:p>
              </w:tc>
            </w:tr>
          </w:tbl>
          <w:p>
            <w:pPr>
              <w:adjustRightInd w:val="0"/>
              <w:snapToGrid w:val="0"/>
              <w:spacing w:line="360" w:lineRule="auto"/>
              <w:ind w:firstLine="562" w:firstLineChars="200"/>
              <w:rPr>
                <w:rFonts w:ascii="宋体" w:hAnsi="宋体"/>
                <w:b/>
                <w:bCs/>
                <w:sz w:val="28"/>
                <w:szCs w:val="28"/>
              </w:rPr>
            </w:pPr>
            <w:r>
              <w:rPr>
                <w:rFonts w:ascii="宋体" w:hAnsi="宋体"/>
                <w:b/>
                <w:bCs/>
                <w:sz w:val="28"/>
                <w:szCs w:val="28"/>
              </w:rPr>
              <w:t>七、环保投资估算</w:t>
            </w:r>
          </w:p>
          <w:p>
            <w:pPr>
              <w:adjustRightInd w:val="0"/>
              <w:snapToGrid w:val="0"/>
              <w:spacing w:line="360" w:lineRule="auto"/>
              <w:ind w:firstLine="480" w:firstLineChars="200"/>
            </w:pPr>
            <w:bookmarkStart w:id="18" w:name="_Toc451860370"/>
            <w:r>
              <w:t>项目总投资337万元，其中环保投资为10</w:t>
            </w:r>
            <w:r>
              <w:rPr>
                <w:rFonts w:hint="eastAsia"/>
              </w:rPr>
              <w:t>.5万元</w:t>
            </w:r>
            <w:r>
              <w:t>，占总投资的3.1</w:t>
            </w:r>
            <w:r>
              <w:rPr>
                <w:rFonts w:hint="eastAsia"/>
              </w:rPr>
              <w:t>%</w:t>
            </w:r>
            <w:r>
              <w:t>。环保分项投资概算表见</w:t>
            </w:r>
            <w:r>
              <w:rPr>
                <w:rFonts w:hint="eastAsia"/>
              </w:rPr>
              <w:t>下</w:t>
            </w:r>
            <w:r>
              <w:t>表。</w:t>
            </w:r>
          </w:p>
          <w:p>
            <w:pPr>
              <w:adjustRightInd w:val="0"/>
              <w:snapToGrid w:val="0"/>
              <w:spacing w:line="360" w:lineRule="auto"/>
              <w:jc w:val="center"/>
              <w:rPr>
                <w:rFonts w:cs="Times New Roman"/>
                <w:b/>
                <w:szCs w:val="24"/>
              </w:rPr>
            </w:pPr>
            <w:r>
              <w:rPr>
                <w:rFonts w:cs="Times New Roman"/>
                <w:b/>
                <w:szCs w:val="24"/>
              </w:rPr>
              <w:t>表7-39  环保分项投资概算表</w:t>
            </w:r>
          </w:p>
          <w:tbl>
            <w:tblPr>
              <w:tblStyle w:val="30"/>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2194"/>
              <w:gridCol w:w="1653"/>
              <w:gridCol w:w="1542"/>
              <w:gridCol w:w="1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9" w:type="dxa"/>
                  <w:vAlign w:val="center"/>
                </w:tcPr>
                <w:p>
                  <w:pPr>
                    <w:pStyle w:val="46"/>
                    <w:rPr>
                      <w:b/>
                      <w:bCs/>
                      <w:sz w:val="21"/>
                      <w:szCs w:val="21"/>
                    </w:rPr>
                  </w:pPr>
                  <w:r>
                    <w:rPr>
                      <w:b/>
                      <w:bCs/>
                      <w:sz w:val="21"/>
                      <w:szCs w:val="21"/>
                    </w:rPr>
                    <w:t>项目</w:t>
                  </w:r>
                </w:p>
              </w:tc>
              <w:tc>
                <w:tcPr>
                  <w:tcW w:w="2194" w:type="dxa"/>
                  <w:vAlign w:val="center"/>
                </w:tcPr>
                <w:p>
                  <w:pPr>
                    <w:pStyle w:val="46"/>
                    <w:rPr>
                      <w:b/>
                      <w:bCs/>
                      <w:sz w:val="21"/>
                      <w:szCs w:val="21"/>
                    </w:rPr>
                  </w:pPr>
                  <w:r>
                    <w:rPr>
                      <w:b/>
                      <w:bCs/>
                      <w:sz w:val="21"/>
                      <w:szCs w:val="21"/>
                    </w:rPr>
                    <w:t>内容</w:t>
                  </w:r>
                </w:p>
              </w:tc>
              <w:tc>
                <w:tcPr>
                  <w:tcW w:w="1653" w:type="dxa"/>
                  <w:vAlign w:val="center"/>
                </w:tcPr>
                <w:p>
                  <w:pPr>
                    <w:pStyle w:val="46"/>
                    <w:rPr>
                      <w:b/>
                      <w:bCs/>
                      <w:sz w:val="21"/>
                      <w:szCs w:val="21"/>
                    </w:rPr>
                  </w:pPr>
                  <w:r>
                    <w:rPr>
                      <w:b/>
                      <w:bCs/>
                      <w:sz w:val="21"/>
                      <w:szCs w:val="21"/>
                    </w:rPr>
                    <w:t>规格与数量</w:t>
                  </w:r>
                </w:p>
              </w:tc>
              <w:tc>
                <w:tcPr>
                  <w:tcW w:w="1542" w:type="dxa"/>
                  <w:vAlign w:val="center"/>
                </w:tcPr>
                <w:p>
                  <w:pPr>
                    <w:pStyle w:val="46"/>
                    <w:rPr>
                      <w:b/>
                      <w:bCs/>
                      <w:sz w:val="21"/>
                      <w:szCs w:val="21"/>
                    </w:rPr>
                  </w:pPr>
                  <w:r>
                    <w:rPr>
                      <w:b/>
                      <w:bCs/>
                      <w:sz w:val="21"/>
                      <w:szCs w:val="21"/>
                    </w:rPr>
                    <w:t>投资（万元）</w:t>
                  </w:r>
                </w:p>
              </w:tc>
              <w:tc>
                <w:tcPr>
                  <w:tcW w:w="1764" w:type="dxa"/>
                  <w:vAlign w:val="center"/>
                </w:tcPr>
                <w:p>
                  <w:pPr>
                    <w:pStyle w:val="46"/>
                    <w:rPr>
                      <w:b/>
                      <w:bCs/>
                      <w:sz w:val="21"/>
                      <w:szCs w:val="21"/>
                    </w:rPr>
                  </w:pPr>
                  <w:r>
                    <w:rPr>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49" w:type="dxa"/>
                  <w:vAlign w:val="center"/>
                </w:tcPr>
                <w:p>
                  <w:pPr>
                    <w:pStyle w:val="46"/>
                    <w:rPr>
                      <w:sz w:val="21"/>
                      <w:szCs w:val="21"/>
                    </w:rPr>
                  </w:pPr>
                  <w:r>
                    <w:rPr>
                      <w:sz w:val="21"/>
                      <w:szCs w:val="21"/>
                    </w:rPr>
                    <w:t>废水治理</w:t>
                  </w:r>
                </w:p>
              </w:tc>
              <w:tc>
                <w:tcPr>
                  <w:tcW w:w="3847" w:type="dxa"/>
                  <w:gridSpan w:val="2"/>
                  <w:vAlign w:val="center"/>
                </w:tcPr>
                <w:p>
                  <w:pPr>
                    <w:pStyle w:val="46"/>
                    <w:rPr>
                      <w:sz w:val="21"/>
                      <w:szCs w:val="21"/>
                    </w:rPr>
                  </w:pPr>
                  <w:r>
                    <w:rPr>
                      <w:rFonts w:hint="eastAsia"/>
                      <w:sz w:val="21"/>
                      <w:szCs w:val="21"/>
                    </w:rPr>
                    <w:t>加强废水监管，排污口规范化管理，排口废水监测</w:t>
                  </w:r>
                </w:p>
              </w:tc>
              <w:tc>
                <w:tcPr>
                  <w:tcW w:w="1542" w:type="dxa"/>
                  <w:vAlign w:val="center"/>
                </w:tcPr>
                <w:p>
                  <w:pPr>
                    <w:pStyle w:val="46"/>
                    <w:rPr>
                      <w:sz w:val="21"/>
                      <w:szCs w:val="21"/>
                    </w:rPr>
                  </w:pPr>
                  <w:r>
                    <w:rPr>
                      <w:sz w:val="21"/>
                      <w:szCs w:val="21"/>
                    </w:rPr>
                    <w:t>2.0</w:t>
                  </w:r>
                </w:p>
              </w:tc>
              <w:tc>
                <w:tcPr>
                  <w:tcW w:w="1764" w:type="dxa"/>
                  <w:vAlign w:val="center"/>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149" w:type="dxa"/>
                  <w:vMerge w:val="restart"/>
                  <w:vAlign w:val="center"/>
                </w:tcPr>
                <w:p>
                  <w:pPr>
                    <w:pStyle w:val="46"/>
                    <w:rPr>
                      <w:sz w:val="21"/>
                      <w:szCs w:val="21"/>
                    </w:rPr>
                  </w:pPr>
                  <w:r>
                    <w:rPr>
                      <w:sz w:val="21"/>
                      <w:szCs w:val="21"/>
                    </w:rPr>
                    <w:t>固废治理</w:t>
                  </w:r>
                </w:p>
              </w:tc>
              <w:tc>
                <w:tcPr>
                  <w:tcW w:w="3847" w:type="dxa"/>
                  <w:gridSpan w:val="2"/>
                  <w:vAlign w:val="center"/>
                </w:tcPr>
                <w:p>
                  <w:pPr>
                    <w:pStyle w:val="46"/>
                    <w:rPr>
                      <w:sz w:val="21"/>
                      <w:szCs w:val="21"/>
                    </w:rPr>
                  </w:pPr>
                  <w:r>
                    <w:rPr>
                      <w:sz w:val="21"/>
                      <w:szCs w:val="21"/>
                    </w:rPr>
                    <w:t>生活垃圾收集后交由环卫处理</w:t>
                  </w:r>
                </w:p>
              </w:tc>
              <w:tc>
                <w:tcPr>
                  <w:tcW w:w="1542" w:type="dxa"/>
                  <w:vAlign w:val="center"/>
                </w:tcPr>
                <w:p>
                  <w:pPr>
                    <w:pStyle w:val="46"/>
                    <w:rPr>
                      <w:sz w:val="21"/>
                      <w:szCs w:val="21"/>
                    </w:rPr>
                  </w:pPr>
                  <w:r>
                    <w:rPr>
                      <w:sz w:val="21"/>
                      <w:szCs w:val="21"/>
                    </w:rPr>
                    <w:t>0.5</w:t>
                  </w:r>
                </w:p>
              </w:tc>
              <w:tc>
                <w:tcPr>
                  <w:tcW w:w="1764" w:type="dxa"/>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149" w:type="dxa"/>
                  <w:vMerge w:val="continue"/>
                  <w:vAlign w:val="center"/>
                </w:tcPr>
                <w:p>
                  <w:pPr>
                    <w:pStyle w:val="46"/>
                    <w:rPr>
                      <w:sz w:val="21"/>
                      <w:szCs w:val="21"/>
                    </w:rPr>
                  </w:pPr>
                </w:p>
              </w:tc>
              <w:tc>
                <w:tcPr>
                  <w:tcW w:w="3847" w:type="dxa"/>
                  <w:gridSpan w:val="2"/>
                  <w:vAlign w:val="center"/>
                </w:tcPr>
                <w:p>
                  <w:pPr>
                    <w:pStyle w:val="46"/>
                    <w:rPr>
                      <w:sz w:val="21"/>
                      <w:szCs w:val="21"/>
                    </w:rPr>
                  </w:pPr>
                  <w:r>
                    <w:rPr>
                      <w:sz w:val="21"/>
                      <w:szCs w:val="21"/>
                    </w:rPr>
                    <w:t>栅渣收集后交由环卫处理</w:t>
                  </w:r>
                </w:p>
              </w:tc>
              <w:tc>
                <w:tcPr>
                  <w:tcW w:w="1542" w:type="dxa"/>
                  <w:vAlign w:val="center"/>
                </w:tcPr>
                <w:p>
                  <w:pPr>
                    <w:pStyle w:val="46"/>
                    <w:rPr>
                      <w:sz w:val="21"/>
                      <w:szCs w:val="21"/>
                    </w:rPr>
                  </w:pPr>
                  <w:r>
                    <w:rPr>
                      <w:sz w:val="21"/>
                      <w:szCs w:val="21"/>
                    </w:rPr>
                    <w:t>0.</w:t>
                  </w:r>
                  <w:r>
                    <w:rPr>
                      <w:rFonts w:hint="eastAsia"/>
                      <w:sz w:val="21"/>
                      <w:szCs w:val="21"/>
                    </w:rPr>
                    <w:t>5</w:t>
                  </w:r>
                </w:p>
              </w:tc>
              <w:tc>
                <w:tcPr>
                  <w:tcW w:w="1764" w:type="dxa"/>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149" w:type="dxa"/>
                  <w:vMerge w:val="continue"/>
                  <w:vAlign w:val="center"/>
                </w:tcPr>
                <w:p>
                  <w:pPr>
                    <w:pStyle w:val="46"/>
                    <w:rPr>
                      <w:sz w:val="21"/>
                      <w:szCs w:val="21"/>
                    </w:rPr>
                  </w:pPr>
                </w:p>
              </w:tc>
              <w:tc>
                <w:tcPr>
                  <w:tcW w:w="3847" w:type="dxa"/>
                  <w:gridSpan w:val="2"/>
                  <w:vAlign w:val="center"/>
                </w:tcPr>
                <w:p>
                  <w:pPr>
                    <w:pStyle w:val="46"/>
                    <w:rPr>
                      <w:sz w:val="21"/>
                      <w:szCs w:val="21"/>
                    </w:rPr>
                  </w:pPr>
                  <w:r>
                    <w:rPr>
                      <w:sz w:val="21"/>
                      <w:szCs w:val="21"/>
                    </w:rPr>
                    <w:t>污水处理站污泥定期清运</w:t>
                  </w:r>
                </w:p>
              </w:tc>
              <w:tc>
                <w:tcPr>
                  <w:tcW w:w="1542" w:type="dxa"/>
                  <w:vAlign w:val="center"/>
                </w:tcPr>
                <w:p>
                  <w:pPr>
                    <w:pStyle w:val="46"/>
                    <w:rPr>
                      <w:sz w:val="21"/>
                      <w:szCs w:val="21"/>
                    </w:rPr>
                  </w:pPr>
                  <w:r>
                    <w:rPr>
                      <w:rFonts w:hint="eastAsia"/>
                      <w:sz w:val="21"/>
                      <w:szCs w:val="21"/>
                    </w:rPr>
                    <w:t>1.5</w:t>
                  </w:r>
                </w:p>
              </w:tc>
              <w:tc>
                <w:tcPr>
                  <w:tcW w:w="1764" w:type="dxa"/>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49" w:type="dxa"/>
                  <w:vMerge w:val="continue"/>
                  <w:vAlign w:val="center"/>
                </w:tcPr>
                <w:p>
                  <w:pPr>
                    <w:pStyle w:val="46"/>
                    <w:rPr>
                      <w:sz w:val="21"/>
                      <w:szCs w:val="21"/>
                    </w:rPr>
                  </w:pPr>
                </w:p>
              </w:tc>
              <w:tc>
                <w:tcPr>
                  <w:tcW w:w="3847" w:type="dxa"/>
                  <w:gridSpan w:val="2"/>
                  <w:vAlign w:val="center"/>
                </w:tcPr>
                <w:p>
                  <w:pPr>
                    <w:pStyle w:val="46"/>
                    <w:rPr>
                      <w:sz w:val="21"/>
                      <w:szCs w:val="21"/>
                    </w:rPr>
                  </w:pPr>
                  <w:r>
                    <w:rPr>
                      <w:sz w:val="21"/>
                      <w:szCs w:val="21"/>
                    </w:rPr>
                    <w:t>废旧填料交由厂家回收处理</w:t>
                  </w:r>
                </w:p>
              </w:tc>
              <w:tc>
                <w:tcPr>
                  <w:tcW w:w="1542" w:type="dxa"/>
                  <w:vAlign w:val="center"/>
                </w:tcPr>
                <w:p>
                  <w:pPr>
                    <w:pStyle w:val="46"/>
                    <w:rPr>
                      <w:sz w:val="21"/>
                      <w:szCs w:val="21"/>
                    </w:rPr>
                  </w:pPr>
                  <w:r>
                    <w:rPr>
                      <w:rFonts w:hint="eastAsia"/>
                      <w:sz w:val="21"/>
                      <w:szCs w:val="21"/>
                    </w:rPr>
                    <w:t>/</w:t>
                  </w:r>
                </w:p>
              </w:tc>
              <w:tc>
                <w:tcPr>
                  <w:tcW w:w="1764" w:type="dxa"/>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9" w:type="dxa"/>
                  <w:vAlign w:val="center"/>
                </w:tcPr>
                <w:p>
                  <w:pPr>
                    <w:pStyle w:val="46"/>
                    <w:rPr>
                      <w:sz w:val="21"/>
                      <w:szCs w:val="21"/>
                    </w:rPr>
                  </w:pPr>
                  <w:r>
                    <w:rPr>
                      <w:sz w:val="21"/>
                      <w:szCs w:val="21"/>
                    </w:rPr>
                    <w:t>噪声治理</w:t>
                  </w:r>
                </w:p>
              </w:tc>
              <w:tc>
                <w:tcPr>
                  <w:tcW w:w="3847" w:type="dxa"/>
                  <w:gridSpan w:val="2"/>
                  <w:vAlign w:val="center"/>
                </w:tcPr>
                <w:p>
                  <w:pPr>
                    <w:pStyle w:val="46"/>
                    <w:rPr>
                      <w:sz w:val="21"/>
                      <w:szCs w:val="21"/>
                    </w:rPr>
                  </w:pPr>
                  <w:r>
                    <w:rPr>
                      <w:sz w:val="21"/>
                      <w:szCs w:val="21"/>
                    </w:rPr>
                    <w:t>选用低噪声设备、污水泵采用潜水结构、鼓风机隔声减震、厂内设建筑隔声</w:t>
                  </w:r>
                </w:p>
              </w:tc>
              <w:tc>
                <w:tcPr>
                  <w:tcW w:w="1542" w:type="dxa"/>
                  <w:vAlign w:val="center"/>
                </w:tcPr>
                <w:p>
                  <w:pPr>
                    <w:pStyle w:val="46"/>
                    <w:rPr>
                      <w:sz w:val="21"/>
                      <w:szCs w:val="21"/>
                    </w:rPr>
                  </w:pPr>
                  <w:r>
                    <w:rPr>
                      <w:sz w:val="21"/>
                      <w:szCs w:val="21"/>
                    </w:rPr>
                    <w:t>2</w:t>
                  </w:r>
                  <w:r>
                    <w:rPr>
                      <w:rFonts w:hint="eastAsia"/>
                      <w:sz w:val="21"/>
                      <w:szCs w:val="21"/>
                    </w:rPr>
                    <w:t>.0</w:t>
                  </w:r>
                </w:p>
              </w:tc>
              <w:tc>
                <w:tcPr>
                  <w:tcW w:w="1764" w:type="dxa"/>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149" w:type="dxa"/>
                  <w:vAlign w:val="center"/>
                </w:tcPr>
                <w:p>
                  <w:pPr>
                    <w:pStyle w:val="46"/>
                    <w:rPr>
                      <w:sz w:val="21"/>
                      <w:szCs w:val="21"/>
                    </w:rPr>
                  </w:pPr>
                  <w:r>
                    <w:rPr>
                      <w:sz w:val="21"/>
                      <w:szCs w:val="21"/>
                    </w:rPr>
                    <w:t>废气治理</w:t>
                  </w:r>
                </w:p>
              </w:tc>
              <w:tc>
                <w:tcPr>
                  <w:tcW w:w="3847" w:type="dxa"/>
                  <w:gridSpan w:val="2"/>
                  <w:vAlign w:val="center"/>
                </w:tcPr>
                <w:p>
                  <w:pPr>
                    <w:pStyle w:val="46"/>
                    <w:rPr>
                      <w:sz w:val="21"/>
                      <w:szCs w:val="21"/>
                    </w:rPr>
                  </w:pPr>
                  <w:r>
                    <w:rPr>
                      <w:sz w:val="21"/>
                      <w:szCs w:val="21"/>
                    </w:rPr>
                    <w:t>对恶臭产生单元等进行加盖或密闭处理</w:t>
                  </w:r>
                  <w:r>
                    <w:rPr>
                      <w:rFonts w:hint="eastAsia"/>
                      <w:sz w:val="21"/>
                      <w:szCs w:val="21"/>
                    </w:rPr>
                    <w:t>，栽种吸污植物</w:t>
                  </w:r>
                </w:p>
              </w:tc>
              <w:tc>
                <w:tcPr>
                  <w:tcW w:w="1542" w:type="dxa"/>
                  <w:vAlign w:val="center"/>
                </w:tcPr>
                <w:p>
                  <w:pPr>
                    <w:pStyle w:val="46"/>
                    <w:rPr>
                      <w:sz w:val="21"/>
                      <w:szCs w:val="21"/>
                    </w:rPr>
                  </w:pPr>
                  <w:r>
                    <w:rPr>
                      <w:sz w:val="21"/>
                      <w:szCs w:val="21"/>
                    </w:rPr>
                    <w:t>3</w:t>
                  </w:r>
                  <w:r>
                    <w:rPr>
                      <w:rFonts w:hint="eastAsia"/>
                      <w:sz w:val="21"/>
                      <w:szCs w:val="21"/>
                    </w:rPr>
                    <w:t>.0</w:t>
                  </w:r>
                </w:p>
              </w:tc>
              <w:tc>
                <w:tcPr>
                  <w:tcW w:w="1764" w:type="dxa"/>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149" w:type="dxa"/>
                  <w:vAlign w:val="center"/>
                </w:tcPr>
                <w:p>
                  <w:pPr>
                    <w:pStyle w:val="46"/>
                    <w:rPr>
                      <w:sz w:val="21"/>
                      <w:szCs w:val="21"/>
                    </w:rPr>
                  </w:pPr>
                  <w:r>
                    <w:rPr>
                      <w:sz w:val="21"/>
                      <w:szCs w:val="21"/>
                    </w:rPr>
                    <w:t>风险措施</w:t>
                  </w:r>
                </w:p>
              </w:tc>
              <w:tc>
                <w:tcPr>
                  <w:tcW w:w="3847" w:type="dxa"/>
                  <w:gridSpan w:val="2"/>
                  <w:vAlign w:val="center"/>
                </w:tcPr>
                <w:p>
                  <w:pPr>
                    <w:pStyle w:val="46"/>
                    <w:rPr>
                      <w:sz w:val="21"/>
                      <w:szCs w:val="21"/>
                    </w:rPr>
                  </w:pPr>
                  <w:r>
                    <w:rPr>
                      <w:sz w:val="21"/>
                      <w:szCs w:val="21"/>
                    </w:rPr>
                    <w:t>储备相应污水处理</w:t>
                  </w:r>
                  <w:r>
                    <w:rPr>
                      <w:rFonts w:hint="eastAsia"/>
                      <w:sz w:val="21"/>
                      <w:szCs w:val="21"/>
                    </w:rPr>
                    <w:t>备用</w:t>
                  </w:r>
                  <w:r>
                    <w:rPr>
                      <w:sz w:val="21"/>
                      <w:szCs w:val="21"/>
                    </w:rPr>
                    <w:t>设备</w:t>
                  </w:r>
                </w:p>
              </w:tc>
              <w:tc>
                <w:tcPr>
                  <w:tcW w:w="1542" w:type="dxa"/>
                  <w:vAlign w:val="center"/>
                </w:tcPr>
                <w:p>
                  <w:pPr>
                    <w:pStyle w:val="46"/>
                    <w:rPr>
                      <w:sz w:val="21"/>
                      <w:szCs w:val="21"/>
                    </w:rPr>
                  </w:pPr>
                  <w:r>
                    <w:rPr>
                      <w:rFonts w:hint="eastAsia"/>
                      <w:sz w:val="21"/>
                      <w:szCs w:val="21"/>
                    </w:rPr>
                    <w:t>1.0</w:t>
                  </w:r>
                </w:p>
              </w:tc>
              <w:tc>
                <w:tcPr>
                  <w:tcW w:w="1764" w:type="dxa"/>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6" w:type="dxa"/>
                  <w:gridSpan w:val="3"/>
                  <w:vAlign w:val="center"/>
                </w:tcPr>
                <w:p>
                  <w:pPr>
                    <w:pStyle w:val="46"/>
                    <w:rPr>
                      <w:sz w:val="21"/>
                      <w:szCs w:val="21"/>
                    </w:rPr>
                  </w:pPr>
                  <w:r>
                    <w:rPr>
                      <w:sz w:val="21"/>
                      <w:szCs w:val="21"/>
                    </w:rPr>
                    <w:t>合计</w:t>
                  </w:r>
                </w:p>
              </w:tc>
              <w:tc>
                <w:tcPr>
                  <w:tcW w:w="1542" w:type="dxa"/>
                  <w:vAlign w:val="center"/>
                </w:tcPr>
                <w:p>
                  <w:pPr>
                    <w:pStyle w:val="46"/>
                    <w:rPr>
                      <w:sz w:val="21"/>
                      <w:szCs w:val="21"/>
                    </w:rPr>
                  </w:pPr>
                  <w:r>
                    <w:rPr>
                      <w:sz w:val="21"/>
                      <w:szCs w:val="21"/>
                    </w:rPr>
                    <w:t>10.5</w:t>
                  </w:r>
                </w:p>
              </w:tc>
              <w:tc>
                <w:tcPr>
                  <w:tcW w:w="1764" w:type="dxa"/>
                  <w:vAlign w:val="center"/>
                </w:tcPr>
                <w:p>
                  <w:pPr>
                    <w:pStyle w:val="46"/>
                    <w:rPr>
                      <w:sz w:val="21"/>
                      <w:szCs w:val="21"/>
                    </w:rPr>
                  </w:pPr>
                  <w:r>
                    <w:rPr>
                      <w:sz w:val="21"/>
                      <w:szCs w:val="21"/>
                    </w:rPr>
                    <w:t>占总投资的3.1</w:t>
                  </w:r>
                  <w:r>
                    <w:rPr>
                      <w:rFonts w:hint="eastAsia"/>
                      <w:sz w:val="21"/>
                      <w:szCs w:val="21"/>
                    </w:rPr>
                    <w:t>%</w:t>
                  </w:r>
                </w:p>
              </w:tc>
            </w:tr>
          </w:tbl>
          <w:p>
            <w:pPr>
              <w:adjustRightInd w:val="0"/>
              <w:snapToGrid w:val="0"/>
              <w:spacing w:line="360" w:lineRule="auto"/>
              <w:ind w:firstLine="562" w:firstLineChars="200"/>
              <w:rPr>
                <w:rFonts w:ascii="宋体" w:hAnsi="宋体"/>
                <w:b/>
                <w:bCs/>
                <w:sz w:val="28"/>
                <w:szCs w:val="28"/>
              </w:rPr>
            </w:pPr>
            <w:r>
              <w:rPr>
                <w:rFonts w:ascii="宋体" w:hAnsi="宋体"/>
                <w:b/>
                <w:bCs/>
                <w:sz w:val="28"/>
                <w:szCs w:val="28"/>
              </w:rPr>
              <w:t>八、总量控制指标</w:t>
            </w:r>
            <w:bookmarkEnd w:id="18"/>
          </w:p>
          <w:p>
            <w:pPr>
              <w:adjustRightInd w:val="0"/>
              <w:snapToGrid w:val="0"/>
              <w:spacing w:line="360" w:lineRule="auto"/>
              <w:ind w:firstLine="480" w:firstLineChars="200"/>
            </w:pPr>
            <w:r>
              <w:t>根据《十三五”期间全国主要污染物排放总量控制计划</w:t>
            </w:r>
            <w:r>
              <w:rPr>
                <w:rFonts w:ascii="宋体" w:hAnsi="宋体"/>
              </w:rPr>
              <w:t>》</w:t>
            </w:r>
            <w:r>
              <w:rPr>
                <w:rFonts w:hint="eastAsia" w:ascii="宋体" w:hAnsi="宋体"/>
              </w:rPr>
              <w:t>。</w:t>
            </w:r>
            <w:r>
              <w:rPr>
                <w:rFonts w:ascii="宋体" w:hAnsi="宋体"/>
              </w:rPr>
              <w:t>“十三五”期</w:t>
            </w:r>
            <w:r>
              <w:t>间国家对COD、NH</w:t>
            </w:r>
            <w:r>
              <w:rPr>
                <w:vertAlign w:val="subscript"/>
              </w:rPr>
              <w:t>3</w:t>
            </w:r>
            <w:r>
              <w:t>-N、SO</w:t>
            </w:r>
            <w:r>
              <w:rPr>
                <w:vertAlign w:val="subscript"/>
              </w:rPr>
              <w:t>2</w:t>
            </w:r>
            <w:r>
              <w:t>、NOx四种主要污染物实行排放总量控制管理。</w:t>
            </w:r>
          </w:p>
          <w:p>
            <w:pPr>
              <w:adjustRightInd w:val="0"/>
              <w:snapToGrid w:val="0"/>
              <w:spacing w:line="360" w:lineRule="auto"/>
              <w:ind w:firstLine="480" w:firstLineChars="200"/>
              <w:rPr>
                <w:bCs/>
                <w:snapToGrid w:val="0"/>
                <w:kern w:val="0"/>
              </w:rPr>
            </w:pPr>
            <w:r>
              <w:t>本污水处理站建成运行后，外排尾水量为100m</w:t>
            </w:r>
            <w:r>
              <w:rPr>
                <w:vertAlign w:val="superscript"/>
              </w:rPr>
              <w:t>3</w:t>
            </w:r>
            <w:r>
              <w:t>/d，达到</w:t>
            </w:r>
            <w:r>
              <w:rPr>
                <w:rFonts w:hint="eastAsia"/>
              </w:rPr>
              <w:t>《农村生活污水处理设施水污染物排放标准》（DB51/2626-2019）一级标准</w:t>
            </w:r>
            <w:r>
              <w:t>后排入</w:t>
            </w:r>
            <w:r>
              <w:rPr>
                <w:rFonts w:hint="eastAsia"/>
              </w:rPr>
              <w:t>大渡河</w:t>
            </w:r>
            <w:r>
              <w:rPr>
                <w:bCs/>
                <w:snapToGrid w:val="0"/>
                <w:kern w:val="0"/>
              </w:rPr>
              <w:t>。</w:t>
            </w:r>
          </w:p>
          <w:p>
            <w:pPr>
              <w:adjustRightInd w:val="0"/>
              <w:snapToGrid w:val="0"/>
              <w:spacing w:line="360" w:lineRule="auto"/>
              <w:ind w:firstLine="480" w:firstLineChars="200"/>
            </w:pPr>
            <w:r>
              <w:rPr>
                <w:bCs/>
                <w:snapToGrid w:val="0"/>
                <w:kern w:val="0"/>
              </w:rPr>
              <w:t>本次评价按照</w:t>
            </w:r>
            <w:r>
              <w:rPr>
                <w:rFonts w:hint="eastAsia"/>
              </w:rPr>
              <w:t>《农村生活污水处理设施水污染物排放标准》（DB51/2626-2019）一级标准</w:t>
            </w:r>
            <w:r>
              <w:t>要求，并结合实际水污染物产生源强，计算得出项目污水处理站排口污染物总量数据，计算过程如下：</w:t>
            </w:r>
          </w:p>
          <w:p>
            <w:pPr>
              <w:adjustRightInd w:val="0"/>
              <w:snapToGrid w:val="0"/>
              <w:spacing w:line="360" w:lineRule="auto"/>
              <w:ind w:firstLine="480" w:firstLineChars="200"/>
            </w:pPr>
            <w:r>
              <w:t>COD：100(m</w:t>
            </w:r>
            <w:r>
              <w:rPr>
                <w:vertAlign w:val="superscript"/>
              </w:rPr>
              <w:t>3</w:t>
            </w:r>
            <w:r>
              <w:t>/d)×60(mg/L)/1000×365(d)/1000=2.19(t/a)</w:t>
            </w:r>
          </w:p>
          <w:p>
            <w:pPr>
              <w:adjustRightInd w:val="0"/>
              <w:snapToGrid w:val="0"/>
              <w:spacing w:line="360" w:lineRule="auto"/>
              <w:ind w:firstLine="480" w:firstLineChars="200"/>
            </w:pPr>
            <w:r>
              <w:rPr>
                <w:rFonts w:cs="Times New Roman"/>
                <w:szCs w:val="24"/>
              </w:rPr>
              <w:t>NH</w:t>
            </w:r>
            <w:r>
              <w:rPr>
                <w:rFonts w:cs="Times New Roman"/>
                <w:szCs w:val="24"/>
                <w:vertAlign w:val="subscript"/>
              </w:rPr>
              <w:t>3</w:t>
            </w:r>
            <w:r>
              <w:rPr>
                <w:rFonts w:cs="Times New Roman"/>
                <w:szCs w:val="24"/>
              </w:rPr>
              <w:t>-N：</w:t>
            </w:r>
            <w:r>
              <w:t>100 (m</w:t>
            </w:r>
            <w:r>
              <w:rPr>
                <w:vertAlign w:val="superscript"/>
              </w:rPr>
              <w:t>3</w:t>
            </w:r>
            <w:r>
              <w:t>/d)×8(mg/L)/1000×365(d)/1000=</w:t>
            </w:r>
            <w:r>
              <w:rPr>
                <w:rFonts w:hint="eastAsia"/>
              </w:rPr>
              <w:t>0.</w:t>
            </w:r>
            <w:r>
              <w:t>292 (t/a)</w:t>
            </w:r>
          </w:p>
          <w:p>
            <w:pPr>
              <w:pStyle w:val="29"/>
              <w:spacing w:after="0" w:line="360" w:lineRule="auto"/>
              <w:ind w:left="0" w:leftChars="0" w:firstLine="480"/>
              <w:rPr>
                <w:sz w:val="24"/>
              </w:rPr>
            </w:pPr>
            <w:r>
              <w:rPr>
                <w:sz w:val="24"/>
              </w:rPr>
              <w:t>TP：</w:t>
            </w:r>
            <w:r>
              <w:t>100</w:t>
            </w:r>
            <w:r>
              <w:rPr>
                <w:sz w:val="24"/>
              </w:rPr>
              <w:t xml:space="preserve"> (m</w:t>
            </w:r>
            <w:r>
              <w:rPr>
                <w:sz w:val="24"/>
                <w:vertAlign w:val="superscript"/>
              </w:rPr>
              <w:t>3</w:t>
            </w:r>
            <w:r>
              <w:rPr>
                <w:sz w:val="24"/>
              </w:rPr>
              <w:t>/d)×1.5(mg/L)/1000×365(d)/1000=0.05475 (t/a)</w:t>
            </w:r>
          </w:p>
          <w:p>
            <w:pPr>
              <w:adjustRightInd w:val="0"/>
              <w:snapToGrid w:val="0"/>
              <w:spacing w:line="360" w:lineRule="auto"/>
              <w:ind w:firstLine="480" w:firstLineChars="200"/>
            </w:pPr>
            <w:r>
              <w:t>TN：100 (m</w:t>
            </w:r>
            <w:r>
              <w:rPr>
                <w:vertAlign w:val="superscript"/>
              </w:rPr>
              <w:t>3</w:t>
            </w:r>
            <w:r>
              <w:t>/d)×20(mg/L)/1000×365(d)/1000=0.730 (t/a)</w:t>
            </w:r>
          </w:p>
          <w:p>
            <w:pPr>
              <w:pStyle w:val="100"/>
              <w:ind w:firstLine="480"/>
              <w:jc w:val="both"/>
              <w:rPr>
                <w:rFonts w:cs="Times New Roman"/>
                <w:sz w:val="24"/>
                <w:szCs w:val="24"/>
              </w:rPr>
            </w:pPr>
            <w:r>
              <w:rPr>
                <w:rFonts w:cs="Times New Roman"/>
                <w:bCs/>
                <w:snapToGrid w:val="0"/>
                <w:sz w:val="24"/>
                <w:szCs w:val="24"/>
              </w:rPr>
              <w:t>根据国家环境保护部关于总量控制的有关要求，并结合项目污染物排放特点，建议本项目总量控制指标为</w:t>
            </w:r>
            <w:r>
              <w:rPr>
                <w:rFonts w:cs="Times New Roman"/>
                <w:sz w:val="24"/>
                <w:szCs w:val="24"/>
              </w:rPr>
              <w:t>CODcr：</w:t>
            </w:r>
            <w:r>
              <w:rPr>
                <w:sz w:val="24"/>
                <w:szCs w:val="24"/>
              </w:rPr>
              <w:t>2.19</w:t>
            </w:r>
            <w:r>
              <w:rPr>
                <w:rFonts w:cs="Times New Roman"/>
                <w:sz w:val="24"/>
                <w:szCs w:val="24"/>
              </w:rPr>
              <w:t>t/a、NH</w:t>
            </w:r>
            <w:r>
              <w:rPr>
                <w:rFonts w:cs="Times New Roman"/>
                <w:sz w:val="24"/>
                <w:szCs w:val="24"/>
                <w:vertAlign w:val="subscript"/>
              </w:rPr>
              <w:t>3</w:t>
            </w:r>
            <w:r>
              <w:rPr>
                <w:rFonts w:cs="Times New Roman"/>
                <w:sz w:val="24"/>
                <w:szCs w:val="24"/>
              </w:rPr>
              <w:t>-N：</w:t>
            </w:r>
            <w:r>
              <w:rPr>
                <w:rFonts w:hint="eastAsia"/>
                <w:sz w:val="24"/>
                <w:szCs w:val="24"/>
              </w:rPr>
              <w:t>0.</w:t>
            </w:r>
            <w:r>
              <w:rPr>
                <w:sz w:val="24"/>
                <w:szCs w:val="24"/>
              </w:rPr>
              <w:t>292</w:t>
            </w:r>
            <w:r>
              <w:rPr>
                <w:rFonts w:cs="Times New Roman"/>
                <w:sz w:val="24"/>
                <w:szCs w:val="24"/>
              </w:rPr>
              <w:t>t/a；TP：</w:t>
            </w:r>
            <w:r>
              <w:rPr>
                <w:sz w:val="24"/>
                <w:szCs w:val="24"/>
              </w:rPr>
              <w:t>0.05475t</w:t>
            </w:r>
            <w:r>
              <w:rPr>
                <w:rFonts w:cs="Times New Roman"/>
                <w:sz w:val="24"/>
                <w:szCs w:val="24"/>
              </w:rPr>
              <w:t>/a、TN：</w:t>
            </w:r>
            <w:r>
              <w:rPr>
                <w:sz w:val="24"/>
                <w:szCs w:val="24"/>
              </w:rPr>
              <w:t>0.730</w:t>
            </w:r>
            <w:r>
              <w:rPr>
                <w:rFonts w:cs="Times New Roman"/>
                <w:sz w:val="24"/>
                <w:szCs w:val="24"/>
              </w:rPr>
              <w:t>t/a</w:t>
            </w:r>
            <w:r>
              <w:rPr>
                <w:rFonts w:cs="Times New Roman"/>
                <w:bCs/>
                <w:snapToGrid w:val="0"/>
                <w:sz w:val="24"/>
                <w:szCs w:val="24"/>
              </w:rPr>
              <w:t>。</w:t>
            </w:r>
          </w:p>
        </w:tc>
      </w:tr>
    </w:tbl>
    <w:p>
      <w:pPr>
        <w:spacing w:line="20" w:lineRule="exact"/>
        <w:rPr>
          <w:rFonts w:cs="Times New Roman"/>
        </w:rPr>
      </w:pPr>
    </w:p>
    <w:p>
      <w:pPr>
        <w:spacing w:line="20" w:lineRule="exact"/>
        <w:rPr>
          <w:rFonts w:cs="Times New Roman"/>
        </w:rPr>
      </w:pPr>
    </w:p>
    <w:p>
      <w:pPr>
        <w:spacing w:line="20" w:lineRule="exact"/>
        <w:rPr>
          <w:rFonts w:cs="Times New Roman"/>
        </w:rPr>
      </w:pPr>
    </w:p>
    <w:p>
      <w:pPr>
        <w:outlineLvl w:val="0"/>
        <w:rPr>
          <w:rFonts w:cs="Times New Roman"/>
          <w:b/>
          <w:sz w:val="30"/>
          <w:szCs w:val="30"/>
        </w:rPr>
      </w:pPr>
      <w:r>
        <w:rPr>
          <w:rFonts w:cs="Times New Roman"/>
          <w:b/>
          <w:sz w:val="30"/>
          <w:szCs w:val="30"/>
        </w:rPr>
        <w:br w:type="page"/>
      </w:r>
      <w:r>
        <w:rPr>
          <w:rFonts w:cs="Times New Roman"/>
          <w:b/>
          <w:sz w:val="30"/>
          <w:szCs w:val="30"/>
        </w:rPr>
        <w:t>建设项目拟采取的防治措施及预期治理效果（表八）</w:t>
      </w:r>
    </w:p>
    <w:tbl>
      <w:tblPr>
        <w:tblStyle w:val="30"/>
        <w:tblW w:w="8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24"/>
        <w:gridCol w:w="899"/>
        <w:gridCol w:w="1349"/>
        <w:gridCol w:w="3259"/>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bCs/>
                <w:sz w:val="21"/>
                <w:szCs w:val="21"/>
              </w:rPr>
            </w:pPr>
            <w:r>
              <w:rPr>
                <w:rFonts w:cs="Times New Roman"/>
                <w:b/>
                <w:bCs/>
                <w:sz w:val="21"/>
                <w:szCs w:val="21"/>
              </w:rPr>
              <mc:AlternateContent>
                <mc:Choice Requires="wps">
                  <w:drawing>
                    <wp:anchor distT="0" distB="0" distL="114300" distR="114300" simplePos="0" relativeHeight="251660288" behindDoc="0" locked="0" layoutInCell="0" allowOverlap="1">
                      <wp:simplePos x="0" y="0"/>
                      <wp:positionH relativeFrom="column">
                        <wp:posOffset>-68580</wp:posOffset>
                      </wp:positionH>
                      <wp:positionV relativeFrom="paragraph">
                        <wp:posOffset>-6350</wp:posOffset>
                      </wp:positionV>
                      <wp:extent cx="635" cy="0"/>
                      <wp:effectExtent l="5715" t="12065" r="12700" b="6985"/>
                      <wp:wrapNone/>
                      <wp:docPr id="3" name="Line 4287"/>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4287" o:spid="_x0000_s1026" o:spt="20" style="position:absolute;left:0pt;margin-left:-5.4pt;margin-top:-0.5pt;height:0pt;width:0.05pt;z-index:251660288;mso-width-relative:page;mso-height-relative:page;" filled="f" stroked="t" coordsize="21600,21600" o:allowincell="f" o:gfxdata="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IN915LUAAAA&#10;CQEAAA8AAAAAAAAAAQAgAAAAIgAAAGRycy9kb3ducmV2LnhtbFBLAQIUABQAAAAIAIdO4kCPGgAY&#10;rwEAAFADAAAOAAAAAAAAAAEAIAAAACMBAABkcnMvZTJvRG9jLnhtbFBLBQYAAAAABgAGAFkBAABE&#10;BQAAAAA=&#10;">
                      <v:fill on="f" focussize="0,0"/>
                      <v:stroke color="#000000" joinstyle="round"/>
                      <v:imagedata o:title=""/>
                      <o:lock v:ext="edit" aspectratio="f"/>
                    </v:line>
                  </w:pict>
                </mc:Fallback>
              </mc:AlternateContent>
            </w:r>
            <w:r>
              <w:rPr>
                <w:rFonts w:cs="Times New Roman"/>
                <w:b/>
                <w:bCs/>
                <w:sz w:val="21"/>
                <w:szCs w:val="21"/>
              </w:rPr>
              <w:t>内容类型</w:t>
            </w:r>
          </w:p>
        </w:tc>
        <w:tc>
          <w:tcPr>
            <w:tcW w:w="89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bCs/>
                <w:sz w:val="21"/>
                <w:szCs w:val="21"/>
              </w:rPr>
            </w:pPr>
            <w:r>
              <w:rPr>
                <w:rFonts w:cs="Times New Roman"/>
                <w:b/>
                <w:bCs/>
                <w:sz w:val="21"/>
                <w:szCs w:val="21"/>
              </w:rPr>
              <w:t>排放源</w:t>
            </w:r>
          </w:p>
          <w:p>
            <w:pPr>
              <w:jc w:val="center"/>
              <w:rPr>
                <w:rFonts w:cs="Times New Roman"/>
                <w:b/>
                <w:bCs/>
                <w:sz w:val="21"/>
                <w:szCs w:val="21"/>
              </w:rPr>
            </w:pPr>
            <w:r>
              <w:rPr>
                <w:rFonts w:cs="Times New Roman"/>
                <w:b/>
                <w:bCs/>
                <w:sz w:val="21"/>
                <w:szCs w:val="21"/>
              </w:rPr>
              <w:t>(编号)</w:t>
            </w:r>
          </w:p>
        </w:tc>
        <w:tc>
          <w:tcPr>
            <w:tcW w:w="134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bCs/>
                <w:sz w:val="21"/>
                <w:szCs w:val="21"/>
              </w:rPr>
            </w:pPr>
            <w:r>
              <w:rPr>
                <w:rFonts w:cs="Times New Roman"/>
                <w:b/>
                <w:bCs/>
                <w:sz w:val="21"/>
                <w:szCs w:val="21"/>
              </w:rPr>
              <w:t>污染物名称</w:t>
            </w:r>
          </w:p>
        </w:tc>
        <w:tc>
          <w:tcPr>
            <w:tcW w:w="325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bCs/>
                <w:sz w:val="21"/>
                <w:szCs w:val="21"/>
              </w:rPr>
            </w:pPr>
            <w:r>
              <w:rPr>
                <w:rFonts w:cs="Times New Roman"/>
                <w:b/>
                <w:bCs/>
                <w:sz w:val="21"/>
                <w:szCs w:val="21"/>
              </w:rPr>
              <w:t>防治措施</w:t>
            </w:r>
          </w:p>
        </w:tc>
        <w:tc>
          <w:tcPr>
            <w:tcW w:w="231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b/>
                <w:bCs/>
                <w:sz w:val="21"/>
                <w:szCs w:val="21"/>
              </w:rPr>
            </w:pPr>
            <w:r>
              <w:rPr>
                <w:rFonts w:cs="Times New Roman"/>
                <w:b/>
                <w:bCs/>
                <w:sz w:val="21"/>
                <w:szCs w:val="21"/>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724" w:type="dxa"/>
            <w:vMerge w:val="restart"/>
            <w:vAlign w:val="center"/>
          </w:tcPr>
          <w:p>
            <w:pPr>
              <w:jc w:val="center"/>
              <w:rPr>
                <w:rFonts w:cs="Times New Roman"/>
                <w:sz w:val="21"/>
                <w:szCs w:val="21"/>
              </w:rPr>
            </w:pPr>
            <w:r>
              <w:rPr>
                <w:rFonts w:cs="Times New Roman"/>
                <w:sz w:val="21"/>
                <w:szCs w:val="21"/>
              </w:rPr>
              <w:t>大气污染物</w:t>
            </w:r>
          </w:p>
        </w:tc>
        <w:tc>
          <w:tcPr>
            <w:tcW w:w="899" w:type="dxa"/>
            <w:vMerge w:val="restart"/>
            <w:vAlign w:val="center"/>
          </w:tcPr>
          <w:p>
            <w:pPr>
              <w:jc w:val="center"/>
              <w:rPr>
                <w:rFonts w:cs="Times New Roman"/>
                <w:spacing w:val="-12"/>
                <w:sz w:val="21"/>
                <w:szCs w:val="21"/>
              </w:rPr>
            </w:pPr>
            <w:r>
              <w:rPr>
                <w:rFonts w:cs="Times New Roman"/>
                <w:sz w:val="21"/>
                <w:szCs w:val="21"/>
              </w:rPr>
              <w:t>施工期</w:t>
            </w:r>
          </w:p>
        </w:tc>
        <w:tc>
          <w:tcPr>
            <w:tcW w:w="1349" w:type="dxa"/>
            <w:vAlign w:val="center"/>
          </w:tcPr>
          <w:p>
            <w:pPr>
              <w:jc w:val="center"/>
              <w:rPr>
                <w:rFonts w:cs="Times New Roman"/>
                <w:sz w:val="21"/>
                <w:szCs w:val="21"/>
              </w:rPr>
            </w:pPr>
            <w:r>
              <w:rPr>
                <w:rFonts w:cs="Times New Roman"/>
                <w:sz w:val="21"/>
                <w:szCs w:val="21"/>
              </w:rPr>
              <w:t>扬尘</w:t>
            </w:r>
          </w:p>
        </w:tc>
        <w:tc>
          <w:tcPr>
            <w:tcW w:w="3259" w:type="dxa"/>
            <w:vAlign w:val="center"/>
          </w:tcPr>
          <w:p>
            <w:pPr>
              <w:jc w:val="center"/>
              <w:rPr>
                <w:rFonts w:cs="Times New Roman"/>
                <w:sz w:val="21"/>
                <w:szCs w:val="21"/>
              </w:rPr>
            </w:pPr>
            <w:r>
              <w:rPr>
                <w:rFonts w:cs="Times New Roman"/>
                <w:sz w:val="21"/>
                <w:szCs w:val="21"/>
              </w:rPr>
              <w:t>严格按照“六不准”和“六必须”进行施工。工地四周设置围挡；场地内洒水，及时清扫运输通道，场地出入口设置车轮清洗设施；对粉尘逸散性的材料加盖或篷布；建筑垃圾及施工人员生活垃圾实时清理；使用商品混凝土</w:t>
            </w:r>
          </w:p>
        </w:tc>
        <w:tc>
          <w:tcPr>
            <w:tcW w:w="2319" w:type="dxa"/>
            <w:vAlign w:val="center"/>
          </w:tcPr>
          <w:p>
            <w:pPr>
              <w:jc w:val="center"/>
              <w:rPr>
                <w:rFonts w:cs="Times New Roman"/>
                <w:sz w:val="21"/>
                <w:szCs w:val="21"/>
              </w:rPr>
            </w:pPr>
            <w:r>
              <w:rPr>
                <w:rFonts w:cs="Times New Roman"/>
                <w:sz w:val="21"/>
                <w:szCs w:val="21"/>
              </w:rPr>
              <w:t>满足《大气污染物综合排放标准》（GB16297-1996）二级标准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724" w:type="dxa"/>
            <w:vMerge w:val="continue"/>
            <w:vAlign w:val="center"/>
          </w:tcPr>
          <w:p>
            <w:pPr>
              <w:jc w:val="center"/>
              <w:rPr>
                <w:rFonts w:cs="Times New Roman"/>
                <w:sz w:val="21"/>
                <w:szCs w:val="21"/>
              </w:rPr>
            </w:pPr>
          </w:p>
        </w:tc>
        <w:tc>
          <w:tcPr>
            <w:tcW w:w="899" w:type="dxa"/>
            <w:vMerge w:val="continue"/>
            <w:vAlign w:val="center"/>
          </w:tcPr>
          <w:p>
            <w:pPr>
              <w:jc w:val="center"/>
              <w:rPr>
                <w:rFonts w:cs="Times New Roman"/>
                <w:sz w:val="21"/>
                <w:szCs w:val="21"/>
              </w:rPr>
            </w:pPr>
          </w:p>
        </w:tc>
        <w:tc>
          <w:tcPr>
            <w:tcW w:w="1349" w:type="dxa"/>
            <w:vAlign w:val="center"/>
          </w:tcPr>
          <w:p>
            <w:pPr>
              <w:jc w:val="center"/>
              <w:rPr>
                <w:rFonts w:cs="Times New Roman"/>
                <w:sz w:val="21"/>
                <w:szCs w:val="21"/>
              </w:rPr>
            </w:pPr>
            <w:r>
              <w:rPr>
                <w:rFonts w:cs="Times New Roman"/>
                <w:sz w:val="21"/>
                <w:szCs w:val="21"/>
              </w:rPr>
              <w:t>燃油废气CO、NOx</w:t>
            </w:r>
          </w:p>
        </w:tc>
        <w:tc>
          <w:tcPr>
            <w:tcW w:w="3259" w:type="dxa"/>
            <w:vAlign w:val="center"/>
          </w:tcPr>
          <w:p>
            <w:pPr>
              <w:jc w:val="center"/>
              <w:rPr>
                <w:rFonts w:cs="Times New Roman"/>
                <w:sz w:val="21"/>
                <w:szCs w:val="21"/>
              </w:rPr>
            </w:pPr>
            <w:r>
              <w:rPr>
                <w:rFonts w:cs="Times New Roman"/>
                <w:sz w:val="21"/>
                <w:szCs w:val="21"/>
              </w:rPr>
              <w:t>加强施工设备及运输车辆的维护</w:t>
            </w:r>
          </w:p>
        </w:tc>
        <w:tc>
          <w:tcPr>
            <w:tcW w:w="2319" w:type="dxa"/>
            <w:vAlign w:val="center"/>
          </w:tcPr>
          <w:p>
            <w:pPr>
              <w:jc w:val="center"/>
              <w:rPr>
                <w:rFonts w:cs="Times New Roman"/>
                <w:sz w:val="21"/>
                <w:szCs w:val="21"/>
              </w:rPr>
            </w:pPr>
            <w:r>
              <w:rPr>
                <w:rFonts w:cs="Times New Roman"/>
                <w:sz w:val="21"/>
                <w:szCs w:val="21"/>
              </w:rPr>
              <w:t>达标排放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724" w:type="dxa"/>
            <w:vMerge w:val="continue"/>
            <w:vAlign w:val="center"/>
          </w:tcPr>
          <w:p>
            <w:pPr>
              <w:jc w:val="center"/>
              <w:rPr>
                <w:rFonts w:cs="Times New Roman"/>
                <w:sz w:val="21"/>
                <w:szCs w:val="21"/>
              </w:rPr>
            </w:pPr>
          </w:p>
        </w:tc>
        <w:tc>
          <w:tcPr>
            <w:tcW w:w="899" w:type="dxa"/>
            <w:vAlign w:val="center"/>
          </w:tcPr>
          <w:p>
            <w:pPr>
              <w:jc w:val="center"/>
              <w:rPr>
                <w:rFonts w:cs="Times New Roman"/>
                <w:sz w:val="21"/>
                <w:szCs w:val="21"/>
              </w:rPr>
            </w:pPr>
            <w:r>
              <w:rPr>
                <w:rFonts w:cs="Times New Roman"/>
                <w:sz w:val="21"/>
                <w:szCs w:val="21"/>
              </w:rPr>
              <w:t>营运期</w:t>
            </w:r>
          </w:p>
        </w:tc>
        <w:tc>
          <w:tcPr>
            <w:tcW w:w="1349" w:type="dxa"/>
            <w:vAlign w:val="center"/>
          </w:tcPr>
          <w:p>
            <w:pPr>
              <w:jc w:val="center"/>
              <w:rPr>
                <w:rFonts w:cs="Times New Roman"/>
                <w:sz w:val="21"/>
                <w:szCs w:val="21"/>
              </w:rPr>
            </w:pPr>
            <w:r>
              <w:rPr>
                <w:rFonts w:cs="Times New Roman"/>
                <w:sz w:val="21"/>
                <w:szCs w:val="21"/>
              </w:rPr>
              <w:t>恶臭气体</w:t>
            </w:r>
          </w:p>
        </w:tc>
        <w:tc>
          <w:tcPr>
            <w:tcW w:w="3259" w:type="dxa"/>
            <w:vAlign w:val="center"/>
          </w:tcPr>
          <w:p>
            <w:pPr>
              <w:jc w:val="center"/>
              <w:rPr>
                <w:rFonts w:cs="Times New Roman"/>
                <w:sz w:val="21"/>
                <w:szCs w:val="21"/>
              </w:rPr>
            </w:pPr>
            <w:r>
              <w:rPr>
                <w:sz w:val="21"/>
                <w:szCs w:val="21"/>
              </w:rPr>
              <w:t>加强通风，</w:t>
            </w:r>
            <w:r>
              <w:rPr>
                <w:rFonts w:hint="eastAsia"/>
                <w:sz w:val="21"/>
                <w:szCs w:val="21"/>
              </w:rPr>
              <w:t>产污点密闭，栽种吸污植物</w:t>
            </w:r>
          </w:p>
        </w:tc>
        <w:tc>
          <w:tcPr>
            <w:tcW w:w="2319" w:type="dxa"/>
            <w:vAlign w:val="center"/>
          </w:tcPr>
          <w:p>
            <w:pPr>
              <w:jc w:val="center"/>
              <w:rPr>
                <w:rFonts w:cs="Times New Roman"/>
                <w:sz w:val="21"/>
                <w:szCs w:val="21"/>
              </w:rPr>
            </w:pPr>
            <w:r>
              <w:rPr>
                <w:rFonts w:cs="Times New Roman"/>
                <w:sz w:val="21"/>
                <w:szCs w:val="21"/>
              </w:rPr>
              <w:t>《恶臭污染物排放标准》（GB14554-93）中二级标准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restart"/>
            <w:vAlign w:val="center"/>
          </w:tcPr>
          <w:p>
            <w:pPr>
              <w:jc w:val="center"/>
              <w:rPr>
                <w:rFonts w:cs="Times New Roman"/>
                <w:sz w:val="21"/>
                <w:szCs w:val="21"/>
              </w:rPr>
            </w:pPr>
            <w:r>
              <w:rPr>
                <w:rFonts w:cs="Times New Roman"/>
                <w:sz w:val="21"/>
                <w:szCs w:val="21"/>
              </w:rPr>
              <w:t>水污染物</w:t>
            </w:r>
          </w:p>
        </w:tc>
        <w:tc>
          <w:tcPr>
            <w:tcW w:w="899" w:type="dxa"/>
            <w:vMerge w:val="restart"/>
            <w:vAlign w:val="center"/>
          </w:tcPr>
          <w:p>
            <w:pPr>
              <w:jc w:val="center"/>
              <w:rPr>
                <w:rFonts w:cs="Times New Roman"/>
                <w:sz w:val="21"/>
                <w:szCs w:val="21"/>
              </w:rPr>
            </w:pPr>
            <w:r>
              <w:rPr>
                <w:rFonts w:cs="Times New Roman"/>
                <w:sz w:val="21"/>
                <w:szCs w:val="21"/>
              </w:rPr>
              <w:t>施工期</w:t>
            </w:r>
          </w:p>
        </w:tc>
        <w:tc>
          <w:tcPr>
            <w:tcW w:w="1349" w:type="dxa"/>
            <w:vAlign w:val="center"/>
          </w:tcPr>
          <w:p>
            <w:pPr>
              <w:jc w:val="center"/>
              <w:rPr>
                <w:rFonts w:cs="Times New Roman"/>
                <w:sz w:val="21"/>
                <w:szCs w:val="21"/>
              </w:rPr>
            </w:pPr>
            <w:r>
              <w:rPr>
                <w:rFonts w:cs="Times New Roman"/>
                <w:sz w:val="21"/>
                <w:szCs w:val="21"/>
              </w:rPr>
              <w:t>施工人员生活污水</w:t>
            </w:r>
          </w:p>
        </w:tc>
        <w:tc>
          <w:tcPr>
            <w:tcW w:w="3259" w:type="dxa"/>
            <w:tcBorders>
              <w:right w:val="single" w:color="000000" w:sz="4" w:space="0"/>
            </w:tcBorders>
            <w:vAlign w:val="center"/>
          </w:tcPr>
          <w:p>
            <w:pPr>
              <w:jc w:val="center"/>
              <w:rPr>
                <w:rFonts w:cs="Times New Roman"/>
                <w:sz w:val="21"/>
                <w:szCs w:val="21"/>
              </w:rPr>
            </w:pPr>
            <w:r>
              <w:rPr>
                <w:rFonts w:cs="Times New Roman"/>
                <w:sz w:val="21"/>
                <w:szCs w:val="21"/>
              </w:rPr>
              <w:t>依托</w:t>
            </w:r>
            <w:r>
              <w:rPr>
                <w:rFonts w:hint="eastAsia" w:cs="Times New Roman"/>
                <w:sz w:val="21"/>
                <w:szCs w:val="21"/>
              </w:rPr>
              <w:t>周边农户</w:t>
            </w:r>
            <w:r>
              <w:rPr>
                <w:rFonts w:cs="Times New Roman"/>
                <w:sz w:val="21"/>
                <w:szCs w:val="21"/>
              </w:rPr>
              <w:t>设施处理</w:t>
            </w:r>
          </w:p>
        </w:tc>
        <w:tc>
          <w:tcPr>
            <w:tcW w:w="2319" w:type="dxa"/>
            <w:tcBorders>
              <w:left w:val="single" w:color="000000" w:sz="4" w:space="0"/>
            </w:tcBorders>
            <w:vAlign w:val="center"/>
          </w:tcPr>
          <w:p>
            <w:pPr>
              <w:jc w:val="center"/>
              <w:rPr>
                <w:rFonts w:cs="Times New Roman"/>
                <w:sz w:val="21"/>
                <w:szCs w:val="21"/>
              </w:rPr>
            </w:pPr>
            <w:r>
              <w:rPr>
                <w:rFonts w:cs="Times New Roman"/>
                <w:sz w:val="21"/>
                <w:szCs w:val="21"/>
              </w:rPr>
              <w:t>综合利用，不直接外排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continue"/>
            <w:vAlign w:val="center"/>
          </w:tcPr>
          <w:p>
            <w:pPr>
              <w:jc w:val="center"/>
              <w:rPr>
                <w:rFonts w:cs="Times New Roman"/>
                <w:sz w:val="21"/>
                <w:szCs w:val="21"/>
              </w:rPr>
            </w:pPr>
          </w:p>
        </w:tc>
        <w:tc>
          <w:tcPr>
            <w:tcW w:w="1349" w:type="dxa"/>
            <w:vAlign w:val="center"/>
          </w:tcPr>
          <w:p>
            <w:pPr>
              <w:jc w:val="center"/>
              <w:rPr>
                <w:rFonts w:cs="Times New Roman"/>
                <w:sz w:val="21"/>
                <w:szCs w:val="21"/>
              </w:rPr>
            </w:pPr>
            <w:r>
              <w:rPr>
                <w:rFonts w:cs="Times New Roman"/>
                <w:sz w:val="21"/>
                <w:szCs w:val="21"/>
              </w:rPr>
              <w:t>施工废水</w:t>
            </w:r>
          </w:p>
        </w:tc>
        <w:tc>
          <w:tcPr>
            <w:tcW w:w="3259" w:type="dxa"/>
            <w:tcBorders>
              <w:right w:val="single" w:color="000000" w:sz="4" w:space="0"/>
            </w:tcBorders>
            <w:vAlign w:val="center"/>
          </w:tcPr>
          <w:p>
            <w:pPr>
              <w:jc w:val="center"/>
              <w:rPr>
                <w:rFonts w:cs="Times New Roman"/>
                <w:sz w:val="21"/>
                <w:szCs w:val="21"/>
              </w:rPr>
            </w:pPr>
            <w:r>
              <w:rPr>
                <w:rFonts w:cs="Times New Roman"/>
                <w:sz w:val="21"/>
                <w:szCs w:val="21"/>
              </w:rPr>
              <w:t>沉淀池收集处理后回用</w:t>
            </w:r>
          </w:p>
        </w:tc>
        <w:tc>
          <w:tcPr>
            <w:tcW w:w="2319" w:type="dxa"/>
            <w:tcBorders>
              <w:left w:val="single" w:color="000000" w:sz="4" w:space="0"/>
            </w:tcBorders>
            <w:vAlign w:val="center"/>
          </w:tcPr>
          <w:p>
            <w:pPr>
              <w:jc w:val="center"/>
              <w:rPr>
                <w:rFonts w:cs="Times New Roman"/>
                <w:sz w:val="21"/>
                <w:szCs w:val="21"/>
              </w:rPr>
            </w:pPr>
            <w:r>
              <w:rPr>
                <w:rFonts w:cs="Times New Roman"/>
                <w:sz w:val="21"/>
                <w:szCs w:val="21"/>
              </w:rPr>
              <w:t>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restart"/>
            <w:vAlign w:val="center"/>
          </w:tcPr>
          <w:p>
            <w:pPr>
              <w:jc w:val="center"/>
              <w:rPr>
                <w:rFonts w:cs="Times New Roman"/>
                <w:sz w:val="21"/>
                <w:szCs w:val="21"/>
              </w:rPr>
            </w:pPr>
            <w:r>
              <w:rPr>
                <w:rFonts w:cs="Times New Roman"/>
                <w:sz w:val="21"/>
                <w:szCs w:val="21"/>
              </w:rPr>
              <w:t>营运期</w:t>
            </w:r>
          </w:p>
        </w:tc>
        <w:tc>
          <w:tcPr>
            <w:tcW w:w="1349" w:type="dxa"/>
            <w:vAlign w:val="center"/>
          </w:tcPr>
          <w:p>
            <w:pPr>
              <w:jc w:val="center"/>
              <w:rPr>
                <w:rFonts w:cs="Times New Roman"/>
                <w:sz w:val="21"/>
                <w:szCs w:val="21"/>
              </w:rPr>
            </w:pPr>
            <w:r>
              <w:rPr>
                <w:sz w:val="21"/>
                <w:szCs w:val="21"/>
              </w:rPr>
              <w:t>设备、地面清洗水</w:t>
            </w:r>
          </w:p>
        </w:tc>
        <w:tc>
          <w:tcPr>
            <w:tcW w:w="3259" w:type="dxa"/>
            <w:tcBorders>
              <w:right w:val="single" w:color="000000" w:sz="4" w:space="0"/>
            </w:tcBorders>
            <w:vAlign w:val="center"/>
          </w:tcPr>
          <w:p>
            <w:pPr>
              <w:jc w:val="center"/>
              <w:rPr>
                <w:rFonts w:cs="Times New Roman"/>
                <w:sz w:val="21"/>
                <w:szCs w:val="21"/>
              </w:rPr>
            </w:pPr>
            <w:r>
              <w:rPr>
                <w:rFonts w:cs="Times New Roman"/>
                <w:sz w:val="21"/>
                <w:szCs w:val="21"/>
              </w:rPr>
              <w:t>经厂区内管网收集后，返回本厂格栅</w:t>
            </w:r>
            <w:r>
              <w:rPr>
                <w:rFonts w:hint="eastAsia" w:cs="Times New Roman"/>
                <w:sz w:val="21"/>
                <w:szCs w:val="21"/>
              </w:rPr>
              <w:t>渠</w:t>
            </w:r>
            <w:r>
              <w:rPr>
                <w:rFonts w:cs="Times New Roman"/>
                <w:sz w:val="21"/>
                <w:szCs w:val="21"/>
              </w:rPr>
              <w:t>与进</w:t>
            </w:r>
            <w:r>
              <w:rPr>
                <w:rFonts w:hint="eastAsia" w:cs="Times New Roman"/>
                <w:sz w:val="21"/>
                <w:szCs w:val="21"/>
              </w:rPr>
              <w:t>站</w:t>
            </w:r>
            <w:r>
              <w:rPr>
                <w:rFonts w:cs="Times New Roman"/>
                <w:sz w:val="21"/>
                <w:szCs w:val="21"/>
              </w:rPr>
              <w:t>污水一并利用本厂设施处理达标排放</w:t>
            </w:r>
          </w:p>
        </w:tc>
        <w:tc>
          <w:tcPr>
            <w:tcW w:w="2319" w:type="dxa"/>
            <w:vMerge w:val="restart"/>
            <w:tcBorders>
              <w:left w:val="single" w:color="000000" w:sz="4" w:space="0"/>
            </w:tcBorders>
            <w:vAlign w:val="center"/>
          </w:tcPr>
          <w:p>
            <w:pPr>
              <w:jc w:val="center"/>
              <w:rPr>
                <w:rFonts w:cs="Times New Roman"/>
                <w:sz w:val="21"/>
                <w:szCs w:val="21"/>
              </w:rPr>
            </w:pPr>
            <w:r>
              <w:rPr>
                <w:rFonts w:cs="Times New Roman"/>
                <w:sz w:val="21"/>
                <w:szCs w:val="21"/>
              </w:rPr>
              <w:t>达</w:t>
            </w:r>
            <w:r>
              <w:rPr>
                <w:rFonts w:hint="eastAsia" w:cs="Times New Roman"/>
                <w:sz w:val="21"/>
                <w:szCs w:val="21"/>
              </w:rPr>
              <w:t>《农村生活污水处理设施水污染物排放标准》（DB51/2626-2019）一级标准后</w:t>
            </w:r>
            <w:r>
              <w:rPr>
                <w:rFonts w:cs="Times New Roman"/>
                <w:sz w:val="21"/>
                <w:szCs w:val="21"/>
              </w:rPr>
              <w:t>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continue"/>
            <w:vAlign w:val="center"/>
          </w:tcPr>
          <w:p>
            <w:pPr>
              <w:jc w:val="center"/>
              <w:rPr>
                <w:rFonts w:cs="Times New Roman"/>
                <w:sz w:val="21"/>
                <w:szCs w:val="21"/>
              </w:rPr>
            </w:pPr>
          </w:p>
        </w:tc>
        <w:tc>
          <w:tcPr>
            <w:tcW w:w="1349" w:type="dxa"/>
            <w:vAlign w:val="center"/>
          </w:tcPr>
          <w:p>
            <w:pPr>
              <w:jc w:val="center"/>
              <w:rPr>
                <w:rFonts w:cs="Times New Roman"/>
                <w:sz w:val="21"/>
                <w:szCs w:val="21"/>
              </w:rPr>
            </w:pPr>
            <w:r>
              <w:rPr>
                <w:sz w:val="21"/>
                <w:szCs w:val="21"/>
              </w:rPr>
              <w:t>进厂污水</w:t>
            </w:r>
          </w:p>
        </w:tc>
        <w:tc>
          <w:tcPr>
            <w:tcW w:w="3259" w:type="dxa"/>
            <w:tcBorders>
              <w:right w:val="single" w:color="000000" w:sz="4" w:space="0"/>
            </w:tcBorders>
            <w:vAlign w:val="center"/>
          </w:tcPr>
          <w:p>
            <w:pPr>
              <w:jc w:val="center"/>
              <w:rPr>
                <w:rFonts w:cs="Times New Roman"/>
                <w:sz w:val="21"/>
                <w:szCs w:val="21"/>
              </w:rPr>
            </w:pPr>
            <w:r>
              <w:rPr>
                <w:rFonts w:cs="Times New Roman"/>
                <w:sz w:val="21"/>
                <w:szCs w:val="21"/>
              </w:rPr>
              <w:t>进入本项目污水处理</w:t>
            </w:r>
            <w:r>
              <w:rPr>
                <w:rFonts w:hint="eastAsia" w:cs="Times New Roman"/>
                <w:sz w:val="21"/>
                <w:szCs w:val="21"/>
              </w:rPr>
              <w:t>站</w:t>
            </w:r>
            <w:r>
              <w:rPr>
                <w:rFonts w:cs="Times New Roman"/>
                <w:sz w:val="21"/>
                <w:szCs w:val="21"/>
              </w:rPr>
              <w:t>统一处理</w:t>
            </w:r>
          </w:p>
        </w:tc>
        <w:tc>
          <w:tcPr>
            <w:tcW w:w="2319" w:type="dxa"/>
            <w:vMerge w:val="continue"/>
            <w:tcBorders>
              <w:left w:val="single" w:color="000000" w:sz="4" w:space="0"/>
            </w:tcBorders>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continue"/>
            <w:vAlign w:val="center"/>
          </w:tcPr>
          <w:p>
            <w:pPr>
              <w:jc w:val="center"/>
              <w:rPr>
                <w:rFonts w:cs="Times New Roman"/>
                <w:sz w:val="21"/>
                <w:szCs w:val="21"/>
              </w:rPr>
            </w:pPr>
          </w:p>
        </w:tc>
        <w:tc>
          <w:tcPr>
            <w:tcW w:w="1349" w:type="dxa"/>
            <w:vAlign w:val="center"/>
          </w:tcPr>
          <w:p>
            <w:pPr>
              <w:jc w:val="center"/>
              <w:rPr>
                <w:rFonts w:cs="Times New Roman"/>
                <w:sz w:val="21"/>
                <w:szCs w:val="21"/>
              </w:rPr>
            </w:pPr>
            <w:r>
              <w:rPr>
                <w:rFonts w:cs="Times New Roman"/>
                <w:bCs/>
                <w:sz w:val="21"/>
                <w:szCs w:val="21"/>
              </w:rPr>
              <w:t>雨水</w:t>
            </w:r>
          </w:p>
        </w:tc>
        <w:tc>
          <w:tcPr>
            <w:tcW w:w="3259" w:type="dxa"/>
            <w:tcBorders>
              <w:right w:val="single" w:color="000000" w:sz="4" w:space="0"/>
            </w:tcBorders>
            <w:vAlign w:val="center"/>
          </w:tcPr>
          <w:p>
            <w:pPr>
              <w:jc w:val="center"/>
              <w:rPr>
                <w:rFonts w:cs="Times New Roman"/>
                <w:sz w:val="21"/>
                <w:szCs w:val="21"/>
              </w:rPr>
            </w:pPr>
            <w:r>
              <w:rPr>
                <w:rFonts w:cs="Times New Roman"/>
                <w:bCs/>
                <w:kern w:val="0"/>
                <w:sz w:val="21"/>
                <w:szCs w:val="21"/>
              </w:rPr>
              <w:t>雨水导排沟</w:t>
            </w:r>
          </w:p>
        </w:tc>
        <w:tc>
          <w:tcPr>
            <w:tcW w:w="2319" w:type="dxa"/>
            <w:tcBorders>
              <w:left w:val="single" w:color="000000" w:sz="4" w:space="0"/>
            </w:tcBorders>
            <w:vAlign w:val="center"/>
          </w:tcPr>
          <w:p>
            <w:pPr>
              <w:jc w:val="center"/>
              <w:rPr>
                <w:rFonts w:cs="Times New Roman"/>
                <w:sz w:val="21"/>
                <w:szCs w:val="21"/>
              </w:rPr>
            </w:pPr>
            <w:r>
              <w:rPr>
                <w:rFonts w:cs="Times New Roman"/>
                <w:sz w:val="21"/>
                <w:szCs w:val="21"/>
              </w:rPr>
              <w:t>雨水经收集后排入附近</w:t>
            </w:r>
            <w:r>
              <w:rPr>
                <w:rFonts w:hint="eastAsia" w:cs="Times New Roman"/>
                <w:sz w:val="21"/>
                <w:szCs w:val="21"/>
              </w:rPr>
              <w:t>自然水体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continue"/>
            <w:vAlign w:val="center"/>
          </w:tcPr>
          <w:p>
            <w:pPr>
              <w:jc w:val="center"/>
              <w:rPr>
                <w:rFonts w:cs="Times New Roman"/>
                <w:sz w:val="21"/>
                <w:szCs w:val="21"/>
              </w:rPr>
            </w:pPr>
          </w:p>
        </w:tc>
        <w:tc>
          <w:tcPr>
            <w:tcW w:w="1349" w:type="dxa"/>
            <w:vAlign w:val="center"/>
          </w:tcPr>
          <w:p>
            <w:pPr>
              <w:jc w:val="center"/>
              <w:rPr>
                <w:rFonts w:cs="Times New Roman"/>
                <w:bCs/>
                <w:sz w:val="21"/>
                <w:szCs w:val="21"/>
              </w:rPr>
            </w:pPr>
            <w:r>
              <w:rPr>
                <w:sz w:val="21"/>
                <w:szCs w:val="21"/>
              </w:rPr>
              <w:t>地下水</w:t>
            </w:r>
          </w:p>
        </w:tc>
        <w:tc>
          <w:tcPr>
            <w:tcW w:w="3259" w:type="dxa"/>
            <w:tcBorders>
              <w:right w:val="single" w:color="000000" w:sz="4" w:space="0"/>
            </w:tcBorders>
            <w:vAlign w:val="center"/>
          </w:tcPr>
          <w:p>
            <w:pPr>
              <w:jc w:val="center"/>
              <w:rPr>
                <w:rFonts w:cs="Times New Roman"/>
                <w:bCs/>
                <w:kern w:val="0"/>
                <w:sz w:val="21"/>
                <w:szCs w:val="21"/>
              </w:rPr>
            </w:pPr>
            <w:r>
              <w:rPr>
                <w:rFonts w:cs="Times New Roman"/>
                <w:sz w:val="21"/>
                <w:szCs w:val="21"/>
              </w:rPr>
              <w:t>厂区内各污水处理构筑物采取用重点防渗结构。设备间采用重点防渗结构。污水管网采用管内、管外防腐防渗处理</w:t>
            </w:r>
          </w:p>
        </w:tc>
        <w:tc>
          <w:tcPr>
            <w:tcW w:w="2319" w:type="dxa"/>
            <w:tcBorders>
              <w:left w:val="single" w:color="000000" w:sz="4" w:space="0"/>
            </w:tcBorders>
            <w:vAlign w:val="center"/>
          </w:tcPr>
          <w:p>
            <w:pPr>
              <w:jc w:val="center"/>
              <w:rPr>
                <w:rFonts w:cs="Times New Roman"/>
                <w:sz w:val="21"/>
                <w:szCs w:val="21"/>
              </w:rPr>
            </w:pPr>
            <w:r>
              <w:rPr>
                <w:rFonts w:cs="Times New Roman"/>
                <w:sz w:val="21"/>
                <w:szCs w:val="21"/>
              </w:rPr>
              <w:t>对地下水环境影响较小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restart"/>
            <w:vAlign w:val="center"/>
          </w:tcPr>
          <w:p>
            <w:pPr>
              <w:jc w:val="center"/>
              <w:rPr>
                <w:rFonts w:cs="Times New Roman"/>
                <w:sz w:val="21"/>
                <w:szCs w:val="21"/>
              </w:rPr>
            </w:pPr>
            <w:r>
              <w:rPr>
                <w:rFonts w:cs="Times New Roman"/>
                <w:sz w:val="21"/>
                <w:szCs w:val="21"/>
              </w:rPr>
              <w:t>固体废弃物</w:t>
            </w:r>
          </w:p>
        </w:tc>
        <w:tc>
          <w:tcPr>
            <w:tcW w:w="899" w:type="dxa"/>
            <w:vMerge w:val="restart"/>
            <w:vAlign w:val="center"/>
          </w:tcPr>
          <w:p>
            <w:pPr>
              <w:jc w:val="center"/>
              <w:rPr>
                <w:rFonts w:cs="Times New Roman"/>
                <w:sz w:val="21"/>
                <w:szCs w:val="21"/>
              </w:rPr>
            </w:pPr>
            <w:r>
              <w:rPr>
                <w:rFonts w:cs="Times New Roman"/>
                <w:sz w:val="21"/>
                <w:szCs w:val="21"/>
              </w:rPr>
              <w:t>施工期</w:t>
            </w:r>
          </w:p>
        </w:tc>
        <w:tc>
          <w:tcPr>
            <w:tcW w:w="1349" w:type="dxa"/>
            <w:tcBorders>
              <w:bottom w:val="single" w:color="auto" w:sz="4" w:space="0"/>
            </w:tcBorders>
            <w:vAlign w:val="center"/>
          </w:tcPr>
          <w:p>
            <w:pPr>
              <w:jc w:val="center"/>
              <w:rPr>
                <w:rFonts w:cs="Times New Roman"/>
                <w:sz w:val="21"/>
                <w:szCs w:val="21"/>
              </w:rPr>
            </w:pPr>
            <w:r>
              <w:rPr>
                <w:rFonts w:cs="Times New Roman"/>
                <w:sz w:val="21"/>
                <w:szCs w:val="21"/>
              </w:rPr>
              <w:t>施工人员生活垃圾</w:t>
            </w:r>
          </w:p>
        </w:tc>
        <w:tc>
          <w:tcPr>
            <w:tcW w:w="3259" w:type="dxa"/>
            <w:tcBorders>
              <w:right w:val="single" w:color="000000" w:sz="4" w:space="0"/>
            </w:tcBorders>
            <w:vAlign w:val="center"/>
          </w:tcPr>
          <w:p>
            <w:pPr>
              <w:jc w:val="center"/>
              <w:rPr>
                <w:rFonts w:cs="Times New Roman"/>
                <w:sz w:val="21"/>
                <w:szCs w:val="21"/>
              </w:rPr>
            </w:pPr>
            <w:r>
              <w:rPr>
                <w:rFonts w:cs="Times New Roman"/>
                <w:sz w:val="21"/>
                <w:szCs w:val="21"/>
              </w:rPr>
              <w:t>由环卫部门清运</w:t>
            </w:r>
          </w:p>
        </w:tc>
        <w:tc>
          <w:tcPr>
            <w:tcW w:w="2319" w:type="dxa"/>
            <w:vMerge w:val="restart"/>
            <w:tcBorders>
              <w:left w:val="single" w:color="000000" w:sz="4" w:space="0"/>
            </w:tcBorders>
            <w:vAlign w:val="center"/>
          </w:tcPr>
          <w:p>
            <w:pPr>
              <w:jc w:val="center"/>
              <w:rPr>
                <w:rFonts w:cs="Times New Roman"/>
                <w:sz w:val="21"/>
                <w:szCs w:val="21"/>
              </w:rPr>
            </w:pPr>
            <w:r>
              <w:rPr>
                <w:rFonts w:cs="Times New Roman"/>
                <w:sz w:val="21"/>
                <w:szCs w:val="21"/>
              </w:rPr>
              <w:t>不会对区域环境造成二次污染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continue"/>
            <w:vAlign w:val="center"/>
          </w:tcPr>
          <w:p>
            <w:pPr>
              <w:jc w:val="center"/>
              <w:rPr>
                <w:rFonts w:cs="Times New Roman"/>
                <w:sz w:val="21"/>
                <w:szCs w:val="21"/>
              </w:rPr>
            </w:pPr>
          </w:p>
        </w:tc>
        <w:tc>
          <w:tcPr>
            <w:tcW w:w="1349" w:type="dxa"/>
            <w:tcBorders>
              <w:bottom w:val="single" w:color="auto" w:sz="4" w:space="0"/>
            </w:tcBorders>
            <w:vAlign w:val="center"/>
          </w:tcPr>
          <w:p>
            <w:pPr>
              <w:jc w:val="center"/>
              <w:rPr>
                <w:rFonts w:cs="Times New Roman"/>
                <w:sz w:val="21"/>
                <w:szCs w:val="21"/>
              </w:rPr>
            </w:pPr>
            <w:r>
              <w:rPr>
                <w:rFonts w:cs="Times New Roman"/>
                <w:sz w:val="21"/>
                <w:szCs w:val="21"/>
              </w:rPr>
              <w:t>建筑垃圾</w:t>
            </w:r>
          </w:p>
        </w:tc>
        <w:tc>
          <w:tcPr>
            <w:tcW w:w="3259" w:type="dxa"/>
            <w:tcBorders>
              <w:right w:val="single" w:color="000000" w:sz="4" w:space="0"/>
            </w:tcBorders>
            <w:vAlign w:val="center"/>
          </w:tcPr>
          <w:p>
            <w:pPr>
              <w:jc w:val="center"/>
              <w:rPr>
                <w:rFonts w:cs="Times New Roman"/>
                <w:sz w:val="21"/>
                <w:szCs w:val="21"/>
              </w:rPr>
            </w:pPr>
            <w:r>
              <w:rPr>
                <w:rFonts w:cs="Times New Roman"/>
                <w:sz w:val="21"/>
                <w:szCs w:val="21"/>
              </w:rPr>
              <w:t>对能够进行回收利用加以回收利用，不能回收利用的运往政府制定地点</w:t>
            </w:r>
          </w:p>
        </w:tc>
        <w:tc>
          <w:tcPr>
            <w:tcW w:w="2319" w:type="dxa"/>
            <w:vMerge w:val="continue"/>
            <w:tcBorders>
              <w:left w:val="single" w:color="000000" w:sz="4" w:space="0"/>
            </w:tcBorders>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continue"/>
            <w:vAlign w:val="center"/>
          </w:tcPr>
          <w:p>
            <w:pPr>
              <w:jc w:val="center"/>
              <w:rPr>
                <w:rFonts w:cs="Times New Roman"/>
                <w:sz w:val="21"/>
                <w:szCs w:val="21"/>
              </w:rPr>
            </w:pPr>
          </w:p>
        </w:tc>
        <w:tc>
          <w:tcPr>
            <w:tcW w:w="1349" w:type="dxa"/>
            <w:tcBorders>
              <w:bottom w:val="single" w:color="auto" w:sz="4" w:space="0"/>
            </w:tcBorders>
            <w:vAlign w:val="center"/>
          </w:tcPr>
          <w:p>
            <w:pPr>
              <w:jc w:val="center"/>
              <w:rPr>
                <w:rFonts w:cs="Times New Roman"/>
                <w:sz w:val="21"/>
                <w:szCs w:val="21"/>
              </w:rPr>
            </w:pPr>
            <w:r>
              <w:rPr>
                <w:sz w:val="21"/>
                <w:szCs w:val="21"/>
              </w:rPr>
              <w:t>土、石方</w:t>
            </w:r>
          </w:p>
        </w:tc>
        <w:tc>
          <w:tcPr>
            <w:tcW w:w="3259" w:type="dxa"/>
            <w:tcBorders>
              <w:right w:val="single" w:color="000000" w:sz="4" w:space="0"/>
            </w:tcBorders>
            <w:vAlign w:val="center"/>
          </w:tcPr>
          <w:p>
            <w:pPr>
              <w:jc w:val="center"/>
              <w:rPr>
                <w:rFonts w:cs="Times New Roman"/>
                <w:sz w:val="21"/>
                <w:szCs w:val="21"/>
              </w:rPr>
            </w:pPr>
            <w:r>
              <w:rPr>
                <w:sz w:val="21"/>
                <w:szCs w:val="21"/>
              </w:rPr>
              <w:t>表土用作厂区绿化，其余作土方回填，</w:t>
            </w:r>
            <w:r>
              <w:rPr>
                <w:rFonts w:hint="eastAsia"/>
                <w:sz w:val="21"/>
                <w:szCs w:val="21"/>
              </w:rPr>
              <w:t>无弃土产生</w:t>
            </w:r>
          </w:p>
        </w:tc>
        <w:tc>
          <w:tcPr>
            <w:tcW w:w="2319" w:type="dxa"/>
            <w:vMerge w:val="continue"/>
            <w:tcBorders>
              <w:left w:val="single" w:color="000000" w:sz="4" w:space="0"/>
            </w:tcBorders>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restart"/>
            <w:tcBorders>
              <w:top w:val="single" w:color="auto" w:sz="6" w:space="0"/>
            </w:tcBorders>
            <w:vAlign w:val="center"/>
          </w:tcPr>
          <w:p>
            <w:pPr>
              <w:jc w:val="center"/>
              <w:rPr>
                <w:rFonts w:cs="Times New Roman"/>
                <w:sz w:val="21"/>
                <w:szCs w:val="21"/>
              </w:rPr>
            </w:pPr>
            <w:r>
              <w:rPr>
                <w:rFonts w:cs="Times New Roman"/>
                <w:sz w:val="21"/>
                <w:szCs w:val="21"/>
              </w:rPr>
              <w:t>营运期</w:t>
            </w:r>
          </w:p>
        </w:tc>
        <w:tc>
          <w:tcPr>
            <w:tcW w:w="1349" w:type="dxa"/>
            <w:tcBorders>
              <w:top w:val="single" w:color="auto" w:sz="6" w:space="0"/>
              <w:bottom w:val="single" w:color="auto" w:sz="6" w:space="0"/>
            </w:tcBorders>
            <w:vAlign w:val="center"/>
          </w:tcPr>
          <w:p>
            <w:pPr>
              <w:jc w:val="center"/>
              <w:rPr>
                <w:rFonts w:cs="Times New Roman"/>
                <w:bCs/>
                <w:caps/>
                <w:sz w:val="21"/>
                <w:szCs w:val="21"/>
              </w:rPr>
            </w:pPr>
            <w:r>
              <w:rPr>
                <w:rFonts w:cs="Times New Roman"/>
                <w:kern w:val="0"/>
                <w:sz w:val="21"/>
                <w:szCs w:val="21"/>
              </w:rPr>
              <w:t>生活垃圾</w:t>
            </w:r>
          </w:p>
        </w:tc>
        <w:tc>
          <w:tcPr>
            <w:tcW w:w="3259" w:type="dxa"/>
            <w:tcBorders>
              <w:top w:val="single" w:color="auto" w:sz="6" w:space="0"/>
              <w:right w:val="single" w:color="000000" w:sz="4" w:space="0"/>
            </w:tcBorders>
            <w:vAlign w:val="center"/>
          </w:tcPr>
          <w:p>
            <w:pPr>
              <w:jc w:val="center"/>
              <w:rPr>
                <w:rFonts w:cs="Times New Roman"/>
                <w:sz w:val="21"/>
                <w:szCs w:val="21"/>
              </w:rPr>
            </w:pPr>
            <w:r>
              <w:rPr>
                <w:rFonts w:cs="Times New Roman"/>
                <w:sz w:val="21"/>
                <w:szCs w:val="21"/>
              </w:rPr>
              <w:t>污水处理站配备1名管理人员，管理人员不在厂区食宿，产生的生活垃圾采用袋装后送至马嘶溪村垃圾集中收集点处置</w:t>
            </w:r>
          </w:p>
        </w:tc>
        <w:tc>
          <w:tcPr>
            <w:tcW w:w="2319" w:type="dxa"/>
            <w:vMerge w:val="continue"/>
            <w:tcBorders>
              <w:left w:val="single" w:color="000000" w:sz="4" w:space="0"/>
            </w:tcBorders>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continue"/>
            <w:tcBorders>
              <w:top w:val="single" w:color="auto" w:sz="6" w:space="0"/>
            </w:tcBorders>
            <w:vAlign w:val="center"/>
          </w:tcPr>
          <w:p>
            <w:pPr>
              <w:jc w:val="center"/>
              <w:rPr>
                <w:rFonts w:cs="Times New Roman"/>
                <w:sz w:val="21"/>
                <w:szCs w:val="21"/>
              </w:rPr>
            </w:pPr>
          </w:p>
        </w:tc>
        <w:tc>
          <w:tcPr>
            <w:tcW w:w="1349" w:type="dxa"/>
            <w:tcBorders>
              <w:top w:val="single" w:color="auto" w:sz="6" w:space="0"/>
              <w:bottom w:val="single" w:color="auto" w:sz="6" w:space="0"/>
            </w:tcBorders>
            <w:vAlign w:val="center"/>
          </w:tcPr>
          <w:p>
            <w:pPr>
              <w:jc w:val="center"/>
              <w:rPr>
                <w:rFonts w:cs="Times New Roman"/>
                <w:kern w:val="0"/>
                <w:sz w:val="21"/>
                <w:szCs w:val="21"/>
              </w:rPr>
            </w:pPr>
            <w:r>
              <w:rPr>
                <w:rFonts w:hint="eastAsia"/>
                <w:sz w:val="21"/>
                <w:szCs w:val="21"/>
              </w:rPr>
              <w:t>格栅栅渣</w:t>
            </w:r>
          </w:p>
        </w:tc>
        <w:tc>
          <w:tcPr>
            <w:tcW w:w="3259" w:type="dxa"/>
            <w:tcBorders>
              <w:top w:val="single" w:color="auto" w:sz="6" w:space="0"/>
              <w:right w:val="single" w:color="000000" w:sz="4" w:space="0"/>
            </w:tcBorders>
            <w:vAlign w:val="center"/>
          </w:tcPr>
          <w:p>
            <w:pPr>
              <w:jc w:val="center"/>
              <w:rPr>
                <w:rFonts w:cs="Times New Roman"/>
                <w:sz w:val="21"/>
                <w:szCs w:val="21"/>
              </w:rPr>
            </w:pPr>
            <w:r>
              <w:rPr>
                <w:sz w:val="21"/>
                <w:szCs w:val="21"/>
              </w:rPr>
              <w:t>环卫部门统一清运</w:t>
            </w:r>
          </w:p>
        </w:tc>
        <w:tc>
          <w:tcPr>
            <w:tcW w:w="2319" w:type="dxa"/>
            <w:vMerge w:val="continue"/>
            <w:tcBorders>
              <w:left w:val="single" w:color="000000" w:sz="4" w:space="0"/>
            </w:tcBorders>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continue"/>
            <w:tcBorders>
              <w:top w:val="single" w:color="auto" w:sz="6" w:space="0"/>
            </w:tcBorders>
            <w:vAlign w:val="center"/>
          </w:tcPr>
          <w:p>
            <w:pPr>
              <w:jc w:val="center"/>
              <w:rPr>
                <w:rFonts w:cs="Times New Roman"/>
                <w:sz w:val="21"/>
                <w:szCs w:val="21"/>
              </w:rPr>
            </w:pPr>
          </w:p>
        </w:tc>
        <w:tc>
          <w:tcPr>
            <w:tcW w:w="1349" w:type="dxa"/>
            <w:tcBorders>
              <w:top w:val="single" w:color="auto" w:sz="6" w:space="0"/>
              <w:bottom w:val="single" w:color="auto" w:sz="6" w:space="0"/>
            </w:tcBorders>
            <w:vAlign w:val="center"/>
          </w:tcPr>
          <w:p>
            <w:pPr>
              <w:jc w:val="center"/>
              <w:rPr>
                <w:rFonts w:cs="Times New Roman"/>
                <w:kern w:val="0"/>
                <w:sz w:val="21"/>
                <w:szCs w:val="21"/>
              </w:rPr>
            </w:pPr>
            <w:r>
              <w:rPr>
                <w:rFonts w:cs="Times New Roman"/>
                <w:sz w:val="21"/>
                <w:szCs w:val="21"/>
              </w:rPr>
              <w:t>污泥</w:t>
            </w:r>
          </w:p>
        </w:tc>
        <w:tc>
          <w:tcPr>
            <w:tcW w:w="3259" w:type="dxa"/>
            <w:tcBorders>
              <w:top w:val="single" w:color="auto" w:sz="6" w:space="0"/>
              <w:right w:val="single" w:color="000000" w:sz="4" w:space="0"/>
            </w:tcBorders>
            <w:vAlign w:val="center"/>
          </w:tcPr>
          <w:p>
            <w:pPr>
              <w:jc w:val="center"/>
              <w:rPr>
                <w:rFonts w:cs="Times New Roman"/>
                <w:sz w:val="21"/>
                <w:szCs w:val="21"/>
              </w:rPr>
            </w:pPr>
            <w:r>
              <w:rPr>
                <w:rFonts w:cs="Times New Roman"/>
                <w:sz w:val="21"/>
                <w:szCs w:val="21"/>
              </w:rPr>
              <w:t>采用吸粪车定期清运至峨边县城市污水处理厂处理</w:t>
            </w:r>
          </w:p>
        </w:tc>
        <w:tc>
          <w:tcPr>
            <w:tcW w:w="2319" w:type="dxa"/>
            <w:vMerge w:val="continue"/>
            <w:tcBorders>
              <w:left w:val="single" w:color="000000" w:sz="4" w:space="0"/>
            </w:tcBorders>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Merge w:val="continue"/>
            <w:tcBorders>
              <w:top w:val="single" w:color="auto" w:sz="6" w:space="0"/>
            </w:tcBorders>
            <w:vAlign w:val="center"/>
          </w:tcPr>
          <w:p>
            <w:pPr>
              <w:jc w:val="center"/>
              <w:rPr>
                <w:rFonts w:cs="Times New Roman"/>
                <w:sz w:val="21"/>
                <w:szCs w:val="21"/>
              </w:rPr>
            </w:pPr>
          </w:p>
        </w:tc>
        <w:tc>
          <w:tcPr>
            <w:tcW w:w="1349" w:type="dxa"/>
            <w:tcBorders>
              <w:top w:val="single" w:color="auto" w:sz="6" w:space="0"/>
              <w:bottom w:val="single" w:color="auto" w:sz="6" w:space="0"/>
            </w:tcBorders>
          </w:tcPr>
          <w:p>
            <w:pPr>
              <w:jc w:val="center"/>
              <w:rPr>
                <w:rFonts w:cs="Times New Roman"/>
                <w:sz w:val="21"/>
                <w:szCs w:val="21"/>
              </w:rPr>
            </w:pPr>
            <w:r>
              <w:rPr>
                <w:rFonts w:cs="Times New Roman"/>
                <w:sz w:val="21"/>
                <w:szCs w:val="21"/>
              </w:rPr>
              <w:t>废弃的填料</w:t>
            </w:r>
          </w:p>
        </w:tc>
        <w:tc>
          <w:tcPr>
            <w:tcW w:w="3259" w:type="dxa"/>
            <w:tcBorders>
              <w:top w:val="single" w:color="auto" w:sz="6" w:space="0"/>
              <w:right w:val="single" w:color="000000" w:sz="4" w:space="0"/>
            </w:tcBorders>
            <w:vAlign w:val="center"/>
          </w:tcPr>
          <w:p>
            <w:pPr>
              <w:jc w:val="center"/>
              <w:rPr>
                <w:rFonts w:cs="Times New Roman"/>
                <w:sz w:val="21"/>
                <w:szCs w:val="21"/>
              </w:rPr>
            </w:pPr>
            <w:r>
              <w:rPr>
                <w:rFonts w:cs="Times New Roman"/>
                <w:sz w:val="21"/>
                <w:szCs w:val="21"/>
              </w:rPr>
              <w:t>经统一收集后交由厂家回收</w:t>
            </w:r>
          </w:p>
        </w:tc>
        <w:tc>
          <w:tcPr>
            <w:tcW w:w="2319" w:type="dxa"/>
            <w:vMerge w:val="continue"/>
            <w:tcBorders>
              <w:left w:val="single" w:color="000000" w:sz="4" w:space="0"/>
            </w:tcBorders>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restart"/>
            <w:vAlign w:val="center"/>
          </w:tcPr>
          <w:p>
            <w:pPr>
              <w:jc w:val="center"/>
              <w:rPr>
                <w:rFonts w:cs="Times New Roman"/>
                <w:sz w:val="21"/>
                <w:szCs w:val="21"/>
              </w:rPr>
            </w:pPr>
            <w:r>
              <w:rPr>
                <w:rFonts w:cs="Times New Roman"/>
                <w:sz w:val="21"/>
                <w:szCs w:val="21"/>
              </w:rPr>
              <w:t>噪</w:t>
            </w:r>
          </w:p>
          <w:p>
            <w:pPr>
              <w:jc w:val="center"/>
              <w:rPr>
                <w:rFonts w:cs="Times New Roman"/>
                <w:sz w:val="21"/>
                <w:szCs w:val="21"/>
              </w:rPr>
            </w:pPr>
            <w:r>
              <w:rPr>
                <w:rFonts w:cs="Times New Roman"/>
                <w:sz w:val="21"/>
                <w:szCs w:val="21"/>
              </w:rPr>
              <w:t>声</w:t>
            </w:r>
          </w:p>
        </w:tc>
        <w:tc>
          <w:tcPr>
            <w:tcW w:w="899" w:type="dxa"/>
            <w:vAlign w:val="center"/>
          </w:tcPr>
          <w:p>
            <w:pPr>
              <w:jc w:val="center"/>
              <w:rPr>
                <w:rFonts w:cs="Times New Roman"/>
                <w:sz w:val="21"/>
                <w:szCs w:val="21"/>
              </w:rPr>
            </w:pPr>
            <w:r>
              <w:rPr>
                <w:rFonts w:cs="Times New Roman"/>
                <w:spacing w:val="-6"/>
                <w:sz w:val="21"/>
                <w:szCs w:val="21"/>
              </w:rPr>
              <w:t>施工期</w:t>
            </w:r>
          </w:p>
        </w:tc>
        <w:tc>
          <w:tcPr>
            <w:tcW w:w="1349" w:type="dxa"/>
            <w:vAlign w:val="center"/>
          </w:tcPr>
          <w:p>
            <w:pPr>
              <w:jc w:val="center"/>
              <w:rPr>
                <w:rFonts w:cs="Times New Roman"/>
                <w:sz w:val="21"/>
                <w:szCs w:val="21"/>
              </w:rPr>
            </w:pPr>
            <w:r>
              <w:rPr>
                <w:rFonts w:cs="Times New Roman"/>
                <w:sz w:val="21"/>
                <w:szCs w:val="21"/>
              </w:rPr>
              <w:t>施工噪声</w:t>
            </w:r>
          </w:p>
        </w:tc>
        <w:tc>
          <w:tcPr>
            <w:tcW w:w="5578" w:type="dxa"/>
            <w:gridSpan w:val="2"/>
            <w:tcBorders>
              <w:top w:val="single" w:color="000000" w:sz="4" w:space="0"/>
            </w:tcBorders>
            <w:vAlign w:val="center"/>
          </w:tcPr>
          <w:p>
            <w:pPr>
              <w:jc w:val="center"/>
              <w:rPr>
                <w:rFonts w:cs="Times New Roman"/>
                <w:sz w:val="21"/>
                <w:szCs w:val="21"/>
              </w:rPr>
            </w:pPr>
            <w:r>
              <w:rPr>
                <w:rFonts w:cs="Times New Roman"/>
                <w:sz w:val="21"/>
                <w:szCs w:val="21"/>
              </w:rPr>
              <w:t>昼间&lt;70 dB（A），夜间&lt;55 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4" w:type="dxa"/>
            <w:vMerge w:val="continue"/>
            <w:vAlign w:val="center"/>
          </w:tcPr>
          <w:p>
            <w:pPr>
              <w:jc w:val="center"/>
              <w:rPr>
                <w:rFonts w:cs="Times New Roman"/>
                <w:sz w:val="21"/>
                <w:szCs w:val="21"/>
              </w:rPr>
            </w:pPr>
          </w:p>
        </w:tc>
        <w:tc>
          <w:tcPr>
            <w:tcW w:w="899" w:type="dxa"/>
            <w:vAlign w:val="center"/>
          </w:tcPr>
          <w:p>
            <w:pPr>
              <w:jc w:val="center"/>
              <w:rPr>
                <w:rFonts w:cs="Times New Roman"/>
                <w:spacing w:val="-6"/>
                <w:sz w:val="21"/>
                <w:szCs w:val="21"/>
              </w:rPr>
            </w:pPr>
            <w:r>
              <w:rPr>
                <w:rFonts w:cs="Times New Roman"/>
                <w:spacing w:val="-6"/>
                <w:sz w:val="21"/>
                <w:szCs w:val="21"/>
              </w:rPr>
              <w:t>运营期</w:t>
            </w:r>
          </w:p>
        </w:tc>
        <w:tc>
          <w:tcPr>
            <w:tcW w:w="1349" w:type="dxa"/>
            <w:vAlign w:val="center"/>
          </w:tcPr>
          <w:p>
            <w:pPr>
              <w:jc w:val="center"/>
              <w:rPr>
                <w:rFonts w:cs="Times New Roman"/>
                <w:sz w:val="21"/>
                <w:szCs w:val="21"/>
              </w:rPr>
            </w:pPr>
            <w:r>
              <w:rPr>
                <w:rFonts w:hint="eastAsia" w:cs="Times New Roman"/>
                <w:sz w:val="21"/>
                <w:szCs w:val="21"/>
              </w:rPr>
              <w:t>设备</w:t>
            </w:r>
            <w:r>
              <w:rPr>
                <w:rFonts w:cs="Times New Roman"/>
                <w:sz w:val="21"/>
                <w:szCs w:val="21"/>
              </w:rPr>
              <w:t>噪声</w:t>
            </w:r>
          </w:p>
        </w:tc>
        <w:tc>
          <w:tcPr>
            <w:tcW w:w="5578" w:type="dxa"/>
            <w:gridSpan w:val="2"/>
            <w:tcBorders>
              <w:top w:val="single" w:color="000000" w:sz="4" w:space="0"/>
            </w:tcBorders>
            <w:vAlign w:val="center"/>
          </w:tcPr>
          <w:p>
            <w:pPr>
              <w:jc w:val="center"/>
              <w:rPr>
                <w:rFonts w:cs="Times New Roman"/>
                <w:sz w:val="21"/>
                <w:szCs w:val="21"/>
              </w:rPr>
            </w:pPr>
            <w:r>
              <w:rPr>
                <w:rFonts w:cs="Times New Roman"/>
                <w:sz w:val="21"/>
                <w:szCs w:val="21"/>
              </w:rPr>
              <w:t>《工业企业厂界环境噪声排放标准》(GB12348-2008)中2类标准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50" w:type="dxa"/>
            <w:gridSpan w:val="5"/>
            <w:vAlign w:val="center"/>
          </w:tcPr>
          <w:p>
            <w:pPr>
              <w:spacing w:line="360" w:lineRule="auto"/>
              <w:rPr>
                <w:rFonts w:cs="Times New Roman"/>
                <w:b/>
                <w:szCs w:val="24"/>
              </w:rPr>
            </w:pPr>
            <w:r>
              <w:rPr>
                <w:rFonts w:cs="Times New Roman"/>
                <w:b/>
                <w:szCs w:val="24"/>
              </w:rPr>
              <w:t>生态保护措施及预期效果：</w:t>
            </w:r>
          </w:p>
          <w:p>
            <w:pPr>
              <w:spacing w:line="360" w:lineRule="auto"/>
              <w:ind w:firstLine="480" w:firstLineChars="200"/>
              <w:rPr>
                <w:kern w:val="0"/>
                <w:szCs w:val="21"/>
              </w:rPr>
            </w:pPr>
            <w:r>
              <w:rPr>
                <w:kern w:val="0"/>
                <w:szCs w:val="21"/>
              </w:rPr>
              <w:t>本项目施工过程中可能造成局部水土流失，通过合理安排施工时间，合理布置临时堆方堆置地点，做好</w:t>
            </w:r>
            <w:r>
              <w:rPr>
                <w:rFonts w:hint="eastAsia"/>
                <w:kern w:val="0"/>
                <w:szCs w:val="21"/>
              </w:rPr>
              <w:t>堆</w:t>
            </w:r>
            <w:r>
              <w:rPr>
                <w:kern w:val="0"/>
                <w:szCs w:val="21"/>
              </w:rPr>
              <w:t>土遮盖，及时恢复施工迹地、绿化等措施进行控制，在施工结束后可得到恢复。项目建设对评价区域生态环境不会产生明显影响。</w:t>
            </w:r>
          </w:p>
          <w:p>
            <w:pPr>
              <w:spacing w:line="360" w:lineRule="auto"/>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p>
            <w:pPr>
              <w:jc w:val="center"/>
              <w:rPr>
                <w:rFonts w:cs="Times New Roman"/>
                <w:sz w:val="21"/>
                <w:szCs w:val="21"/>
              </w:rPr>
            </w:pPr>
          </w:p>
        </w:tc>
      </w:tr>
    </w:tbl>
    <w:p>
      <w:pPr>
        <w:outlineLvl w:val="0"/>
        <w:rPr>
          <w:rFonts w:cs="Times New Roman"/>
          <w:b/>
          <w:sz w:val="30"/>
          <w:szCs w:val="30"/>
        </w:rPr>
      </w:pPr>
      <w:r>
        <w:rPr>
          <w:rFonts w:cs="Times New Roman"/>
          <w:b/>
          <w:sz w:val="30"/>
          <w:szCs w:val="30"/>
        </w:rPr>
        <w:br w:type="page"/>
      </w:r>
      <w:r>
        <w:rPr>
          <w:rFonts w:cs="Times New Roman"/>
          <w:b/>
          <w:sz w:val="30"/>
          <w:szCs w:val="30"/>
        </w:rPr>
        <w:t>结论与建议（表九）</w:t>
      </w:r>
    </w:p>
    <w:tbl>
      <w:tblPr>
        <w:tblStyle w:val="3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6"/>
        <w:gridCol w:w="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6" w:hRule="atLeast"/>
          <w:jc w:val="center"/>
        </w:trPr>
        <w:tc>
          <w:tcPr>
            <w:tcW w:w="9067" w:type="dxa"/>
            <w:gridSpan w:val="2"/>
          </w:tcPr>
          <w:p>
            <w:pPr>
              <w:spacing w:before="120" w:after="120" w:line="480" w:lineRule="exact"/>
              <w:rPr>
                <w:rFonts w:cs="Times New Roman"/>
                <w:b/>
                <w:sz w:val="28"/>
                <w:szCs w:val="28"/>
              </w:rPr>
            </w:pPr>
            <w:r>
              <w:rPr>
                <w:rFonts w:cs="Times New Roman"/>
                <w:b/>
                <w:sz w:val="28"/>
                <w:szCs w:val="28"/>
              </w:rPr>
              <w:t>一、结论</w:t>
            </w:r>
          </w:p>
          <w:p>
            <w:pPr>
              <w:pStyle w:val="19"/>
              <w:adjustRightInd w:val="0"/>
              <w:snapToGrid w:val="0"/>
              <w:spacing w:line="360" w:lineRule="auto"/>
              <w:ind w:left="0" w:firstLine="480" w:firstLineChars="200"/>
              <w:rPr>
                <w:szCs w:val="24"/>
              </w:rPr>
            </w:pPr>
            <w:r>
              <w:rPr>
                <w:rFonts w:hint="eastAsia"/>
                <w:szCs w:val="24"/>
              </w:rPr>
              <w:t>1</w:t>
            </w:r>
            <w:r>
              <w:rPr>
                <w:szCs w:val="24"/>
              </w:rPr>
              <w:t>、</w:t>
            </w:r>
            <w:r>
              <w:rPr>
                <w:rFonts w:hint="eastAsia"/>
                <w:szCs w:val="24"/>
              </w:rPr>
              <w:t>工程概况</w:t>
            </w:r>
          </w:p>
          <w:p>
            <w:pPr>
              <w:spacing w:line="360" w:lineRule="auto"/>
              <w:ind w:firstLine="470" w:firstLineChars="196"/>
              <w:rPr>
                <w:rFonts w:cs="Times New Roman"/>
                <w:szCs w:val="24"/>
              </w:rPr>
            </w:pPr>
            <w:r>
              <w:rPr>
                <w:rFonts w:cs="Times New Roman"/>
                <w:szCs w:val="24"/>
              </w:rPr>
              <w:t>项目名称：</w:t>
            </w:r>
            <w:r>
              <w:rPr>
                <w:rFonts w:hint="eastAsia" w:cs="Times New Roman"/>
                <w:szCs w:val="24"/>
              </w:rPr>
              <w:t>四川省乐山市峨边彝族自治县城郊污水处理及管网建设项目</w:t>
            </w:r>
          </w:p>
          <w:p>
            <w:pPr>
              <w:spacing w:line="360" w:lineRule="auto"/>
              <w:ind w:firstLine="470" w:firstLineChars="196"/>
              <w:rPr>
                <w:rFonts w:cs="Times New Roman"/>
                <w:szCs w:val="24"/>
              </w:rPr>
            </w:pPr>
            <w:r>
              <w:rPr>
                <w:rFonts w:cs="Times New Roman"/>
                <w:szCs w:val="24"/>
              </w:rPr>
              <w:t>建设单位：</w:t>
            </w:r>
            <w:r>
              <w:rPr>
                <w:rFonts w:hint="eastAsia" w:cs="Times New Roman"/>
                <w:szCs w:val="24"/>
              </w:rPr>
              <w:t>峨边彝族自治县城市建设投资有限公司</w:t>
            </w:r>
          </w:p>
          <w:p>
            <w:pPr>
              <w:spacing w:line="360" w:lineRule="auto"/>
              <w:ind w:firstLine="470" w:firstLineChars="196"/>
              <w:rPr>
                <w:rFonts w:cs="Times New Roman"/>
                <w:szCs w:val="24"/>
              </w:rPr>
            </w:pPr>
            <w:r>
              <w:rPr>
                <w:rFonts w:cs="Times New Roman"/>
                <w:szCs w:val="24"/>
              </w:rPr>
              <w:t>建设地点：</w:t>
            </w:r>
            <w:r>
              <w:rPr>
                <w:rFonts w:hint="eastAsia" w:cs="Times New Roman"/>
                <w:szCs w:val="24"/>
              </w:rPr>
              <w:t>峨边彝族自治县老人民医院片区、经营所片区、马嘶溪火车站片区（</w:t>
            </w:r>
            <w:r>
              <w:rPr>
                <w:rFonts w:cs="Times New Roman"/>
                <w:szCs w:val="24"/>
              </w:rPr>
              <w:t>E103.2788°；N29.2591°）</w:t>
            </w:r>
          </w:p>
          <w:p>
            <w:pPr>
              <w:spacing w:line="360" w:lineRule="auto"/>
              <w:ind w:firstLine="470" w:firstLineChars="196"/>
              <w:rPr>
                <w:rFonts w:cs="Times New Roman"/>
                <w:szCs w:val="24"/>
              </w:rPr>
            </w:pPr>
            <w:r>
              <w:rPr>
                <w:rFonts w:cs="Times New Roman"/>
                <w:szCs w:val="24"/>
              </w:rPr>
              <w:t>建设性质：新建</w:t>
            </w:r>
          </w:p>
          <w:p>
            <w:pPr>
              <w:spacing w:line="360" w:lineRule="auto"/>
              <w:ind w:firstLine="470" w:firstLineChars="196"/>
              <w:rPr>
                <w:rFonts w:cs="Times New Roman"/>
                <w:szCs w:val="24"/>
              </w:rPr>
            </w:pPr>
            <w:r>
              <w:rPr>
                <w:rFonts w:cs="Times New Roman"/>
                <w:szCs w:val="24"/>
              </w:rPr>
              <w:t>工作制度及劳动定员：</w:t>
            </w:r>
            <w:r>
              <w:rPr>
                <w:rFonts w:hint="eastAsia" w:cs="Times New Roman"/>
                <w:szCs w:val="24"/>
              </w:rPr>
              <w:t>本项目年运行</w:t>
            </w:r>
            <w:r>
              <w:rPr>
                <w:rFonts w:cs="Times New Roman"/>
                <w:szCs w:val="24"/>
              </w:rPr>
              <w:t>365天，污水处理设施全天24小时运行，</w:t>
            </w:r>
            <w:r>
              <w:rPr>
                <w:rFonts w:hint="eastAsia" w:cs="Times New Roman"/>
                <w:szCs w:val="24"/>
              </w:rPr>
              <w:t>配备</w:t>
            </w:r>
            <w:r>
              <w:rPr>
                <w:rFonts w:cs="Times New Roman"/>
                <w:szCs w:val="24"/>
              </w:rPr>
              <w:t>1名管理人员对污水站进行日常维护管理。</w:t>
            </w:r>
          </w:p>
          <w:p>
            <w:pPr>
              <w:spacing w:line="360" w:lineRule="auto"/>
              <w:ind w:firstLine="470" w:firstLineChars="196"/>
              <w:rPr>
                <w:rFonts w:cs="Times New Roman"/>
                <w:szCs w:val="24"/>
              </w:rPr>
            </w:pPr>
            <w:r>
              <w:rPr>
                <w:rFonts w:cs="Times New Roman"/>
                <w:szCs w:val="24"/>
              </w:rPr>
              <w:t>项目总投资：项目总投资337万元，</w:t>
            </w:r>
            <w:r>
              <w:t>其中环保投资</w:t>
            </w:r>
            <w:r>
              <w:rPr>
                <w:rFonts w:hint="eastAsia"/>
              </w:rPr>
              <w:t>10.5万元，占项目总投资的3</w:t>
            </w:r>
            <w:r>
              <w:t>.1%</w:t>
            </w:r>
            <w:r>
              <w:rPr>
                <w:rFonts w:hint="eastAsia"/>
              </w:rPr>
              <w:t>。</w:t>
            </w:r>
          </w:p>
          <w:p>
            <w:pPr>
              <w:spacing w:line="360" w:lineRule="auto"/>
              <w:ind w:firstLine="470" w:firstLineChars="196"/>
              <w:rPr>
                <w:rFonts w:cs="Times New Roman"/>
                <w:szCs w:val="24"/>
              </w:rPr>
            </w:pPr>
            <w:r>
              <w:rPr>
                <w:rFonts w:cs="Times New Roman"/>
                <w:szCs w:val="24"/>
              </w:rPr>
              <w:t>建设主要内容及规模：</w:t>
            </w:r>
          </w:p>
          <w:p>
            <w:pPr>
              <w:pStyle w:val="19"/>
              <w:adjustRightInd w:val="0"/>
              <w:snapToGrid w:val="0"/>
              <w:spacing w:line="360" w:lineRule="auto"/>
              <w:ind w:left="0" w:firstLine="480" w:firstLineChars="200"/>
              <w:rPr>
                <w:szCs w:val="24"/>
              </w:rPr>
            </w:pPr>
            <w:r>
              <w:rPr>
                <w:rFonts w:hint="eastAsia" w:cs="Times New Roman"/>
                <w:bCs/>
                <w:szCs w:val="24"/>
              </w:rPr>
              <w:t>本项目分三个片区建设，分别为老人民医院片区、马嘶溪火车站片区与经营所片区。其中老人民医院片区建设污水管网长度约</w:t>
            </w:r>
            <w:r>
              <w:rPr>
                <w:rFonts w:cs="Times New Roman"/>
                <w:bCs/>
                <w:szCs w:val="24"/>
              </w:rPr>
              <w:t>639m；经营所片区建设雨水管网长度约126m；马嘶溪火车站片区建设污水管网长度约2395m，</w:t>
            </w:r>
            <w:r>
              <w:rPr>
                <w:rFonts w:hint="eastAsia" w:cs="Times New Roman"/>
                <w:bCs/>
                <w:szCs w:val="24"/>
              </w:rPr>
              <w:t>尾水管网长度</w:t>
            </w:r>
            <w:r>
              <w:rPr>
                <w:rFonts w:cs="Times New Roman"/>
                <w:bCs/>
                <w:szCs w:val="24"/>
              </w:rPr>
              <w:t>约</w:t>
            </w:r>
            <w:r>
              <w:rPr>
                <w:rFonts w:hint="eastAsia" w:cs="Times New Roman"/>
                <w:bCs/>
                <w:szCs w:val="24"/>
              </w:rPr>
              <w:t>700</w:t>
            </w:r>
            <w:r>
              <w:rPr>
                <w:rFonts w:cs="Times New Roman"/>
                <w:bCs/>
                <w:szCs w:val="24"/>
              </w:rPr>
              <w:t>m。配套100m</w:t>
            </w:r>
            <w:r>
              <w:rPr>
                <w:rFonts w:cs="Times New Roman"/>
                <w:bCs/>
                <w:szCs w:val="24"/>
                <w:vertAlign w:val="superscript"/>
              </w:rPr>
              <w:t>3</w:t>
            </w:r>
            <w:r>
              <w:rPr>
                <w:rFonts w:hint="eastAsia" w:cs="Times New Roman"/>
                <w:bCs/>
                <w:szCs w:val="24"/>
              </w:rPr>
              <w:t>/d</w:t>
            </w:r>
            <w:r>
              <w:rPr>
                <w:rFonts w:cs="Times New Roman"/>
                <w:bCs/>
                <w:szCs w:val="24"/>
              </w:rPr>
              <w:t>一体化污水处理设备一台</w:t>
            </w:r>
            <w:r>
              <w:rPr>
                <w:rFonts w:hint="eastAsia" w:cs="Times New Roman"/>
                <w:bCs/>
                <w:szCs w:val="24"/>
              </w:rPr>
              <w:t>。</w:t>
            </w:r>
          </w:p>
          <w:p>
            <w:pPr>
              <w:pStyle w:val="19"/>
              <w:adjustRightInd w:val="0"/>
              <w:snapToGrid w:val="0"/>
              <w:spacing w:line="360" w:lineRule="auto"/>
              <w:ind w:left="0" w:firstLine="480" w:firstLineChars="200"/>
              <w:rPr>
                <w:szCs w:val="24"/>
              </w:rPr>
            </w:pPr>
            <w:r>
              <w:rPr>
                <w:szCs w:val="24"/>
              </w:rPr>
              <w:t>2、产业政策符合性</w:t>
            </w:r>
          </w:p>
          <w:p>
            <w:pPr>
              <w:adjustRightInd w:val="0"/>
              <w:snapToGrid w:val="0"/>
              <w:spacing w:line="360" w:lineRule="auto"/>
              <w:ind w:firstLine="480" w:firstLineChars="200"/>
            </w:pPr>
            <w:r>
              <w:t>根据《产业结构调整指导目录（2019年本）》中相关规定，本项目属于鼓励类中第四十三款“环境保护与资源节约综合利用”中的第20条“城镇垃圾、农村生活垃圾、农村生活污水、污泥及其他固体废弃物减量化、资源化、无害化处理和综合利用工程”，属于鼓励类，因此本项目的建设符合国家的产业政策。</w:t>
            </w:r>
            <w:r>
              <w:rPr>
                <w:rFonts w:hint="eastAsia" w:cs="Times New Roman"/>
                <w:szCs w:val="24"/>
              </w:rPr>
              <w:t>项目已取得峨边彝族自治县发展和改革局出具的《</w:t>
            </w:r>
            <w:r>
              <w:rPr>
                <w:rFonts w:hint="eastAsia" w:cs="Times New Roman"/>
                <w:bCs/>
                <w:szCs w:val="24"/>
              </w:rPr>
              <w:t>关于重新审查四川省乐山市峨边彝族自治县城郊污水处理及管网建设项目可行性研究报告批复》，</w:t>
            </w:r>
            <w:r>
              <w:rPr>
                <w:rFonts w:hint="eastAsia" w:cs="Times New Roman"/>
                <w:szCs w:val="24"/>
              </w:rPr>
              <w:t>批复文号：</w:t>
            </w:r>
            <w:r>
              <w:rPr>
                <w:rFonts w:hint="eastAsia" w:cs="Times New Roman"/>
              </w:rPr>
              <w:t>峨边发改审〔2</w:t>
            </w:r>
            <w:r>
              <w:rPr>
                <w:rFonts w:cs="Times New Roman"/>
              </w:rPr>
              <w:t>020</w:t>
            </w:r>
            <w:r>
              <w:rPr>
                <w:rFonts w:hint="eastAsia" w:cs="Times New Roman"/>
              </w:rPr>
              <w:t>〕1</w:t>
            </w:r>
            <w:r>
              <w:rPr>
                <w:rFonts w:cs="Times New Roman"/>
              </w:rPr>
              <w:t>78</w:t>
            </w:r>
            <w:r>
              <w:rPr>
                <w:rFonts w:hint="eastAsia" w:cs="Times New Roman"/>
              </w:rPr>
              <w:t>号</w:t>
            </w:r>
            <w:r>
              <w:rPr>
                <w:rFonts w:hint="eastAsia"/>
              </w:rPr>
              <w:t>，</w:t>
            </w:r>
            <w:r>
              <w:t>符合国家相关政策的规定。</w:t>
            </w:r>
          </w:p>
          <w:p>
            <w:pPr>
              <w:adjustRightInd w:val="0"/>
              <w:snapToGrid w:val="0"/>
              <w:spacing w:line="360" w:lineRule="auto"/>
              <w:ind w:firstLine="480" w:firstLineChars="200"/>
            </w:pPr>
            <w:r>
              <w:t>3、规划符合性及选址合理性分析</w:t>
            </w:r>
          </w:p>
          <w:p>
            <w:pPr>
              <w:adjustRightInd w:val="0"/>
              <w:snapToGrid w:val="0"/>
              <w:spacing w:line="360" w:lineRule="auto"/>
              <w:ind w:firstLine="480" w:firstLineChars="200"/>
            </w:pPr>
            <w:r>
              <w:t>（1）与峨边彝族自治县总体规划和土地利用规划的符合性分析</w:t>
            </w:r>
          </w:p>
          <w:p>
            <w:pPr>
              <w:spacing w:line="360" w:lineRule="auto"/>
              <w:ind w:firstLine="480" w:firstLineChars="200"/>
              <w:rPr>
                <w:rFonts w:cs="Times New Roman"/>
                <w:szCs w:val="24"/>
              </w:rPr>
            </w:pPr>
            <w:r>
              <w:rPr>
                <w:rFonts w:hint="eastAsia" w:cs="Times New Roman"/>
                <w:szCs w:val="24"/>
              </w:rPr>
              <w:t>根据峨边彝族自治县自然资源局出具的《关于无需办理建设项目选址意见书和用地预审的说明》，本项目位于老人民医院片区、马嘶溪火车站片区，属于地下管网的升级改造，不属于以划拨方式提供国有建设用地使用权的建设项目，该项目不涉及新增建设用地，因此该工程项目不需办理建设项目选址意见和建设项目用地预审。</w:t>
            </w:r>
          </w:p>
          <w:p>
            <w:pPr>
              <w:adjustRightInd w:val="0"/>
              <w:snapToGrid w:val="0"/>
              <w:spacing w:line="360" w:lineRule="auto"/>
              <w:ind w:firstLine="480" w:firstLineChars="200"/>
            </w:pPr>
            <w:r>
              <w:rPr>
                <w:rFonts w:cs="Times New Roman"/>
                <w:szCs w:val="24"/>
              </w:rPr>
              <w:t>本项目的建设符合国土空间用途管制要求、符合峨边彝族自治县总体规划</w:t>
            </w:r>
            <w:r>
              <w:rPr>
                <w:rFonts w:hint="eastAsia" w:cs="Times New Roman"/>
                <w:szCs w:val="24"/>
              </w:rPr>
              <w:t>。</w:t>
            </w:r>
          </w:p>
          <w:p>
            <w:pPr>
              <w:adjustRightInd w:val="0"/>
              <w:snapToGrid w:val="0"/>
              <w:spacing w:line="360" w:lineRule="auto"/>
              <w:ind w:firstLine="480" w:firstLineChars="200"/>
              <w:rPr>
                <w:rFonts w:cs="Times New Roman"/>
                <w:bCs/>
                <w:szCs w:val="24"/>
              </w:rPr>
            </w:pPr>
            <w:r>
              <w:rPr>
                <w:rFonts w:cs="Times New Roman"/>
                <w:bCs/>
                <w:szCs w:val="24"/>
              </w:rPr>
              <w:t>（2）</w:t>
            </w:r>
            <w:r>
              <w:rPr>
                <w:rFonts w:hint="eastAsia" w:cs="Times New Roman"/>
                <w:bCs/>
                <w:szCs w:val="24"/>
              </w:rPr>
              <w:t>项目选址合理性分析</w:t>
            </w:r>
          </w:p>
          <w:p>
            <w:pPr>
              <w:adjustRightInd w:val="0"/>
              <w:snapToGrid w:val="0"/>
              <w:spacing w:line="360" w:lineRule="auto"/>
              <w:ind w:firstLine="480"/>
              <w:rPr>
                <w:rFonts w:cs="Times New Roman"/>
                <w:bCs/>
                <w:szCs w:val="24"/>
              </w:rPr>
            </w:pPr>
            <w:r>
              <w:rPr>
                <w:rFonts w:hint="eastAsia" w:cs="Times New Roman"/>
                <w:bCs/>
                <w:szCs w:val="24"/>
              </w:rPr>
              <w:t>跟据现场勘查，</w:t>
            </w:r>
            <w:r>
              <w:rPr>
                <w:rFonts w:cs="Times New Roman"/>
                <w:bCs/>
                <w:szCs w:val="24"/>
              </w:rPr>
              <w:t>本项目污水处理站站址高程为532.17m，马嘶溪火车站片区高程范围为534-548m，污水处理站站址高程低于周围居民，有利于污水通过重力自流进入污水处理站；临近道路，交通便利；邻近大渡河，便于处理后的尾水排放；周边不存在学校、医院等环境敏感点。</w:t>
            </w:r>
          </w:p>
          <w:p>
            <w:pPr>
              <w:adjustRightInd w:val="0"/>
              <w:snapToGrid w:val="0"/>
              <w:spacing w:line="360" w:lineRule="auto"/>
              <w:ind w:firstLine="480" w:firstLineChars="200"/>
            </w:pPr>
            <w:r>
              <w:rPr>
                <w:rFonts w:cs="Times New Roman"/>
                <w:bCs/>
                <w:szCs w:val="24"/>
              </w:rPr>
              <w:t>综上，</w:t>
            </w:r>
            <w:r>
              <w:rPr>
                <w:rFonts w:hint="eastAsia" w:cs="Times New Roman"/>
                <w:bCs/>
                <w:szCs w:val="24"/>
              </w:rPr>
              <w:t>项目选址</w:t>
            </w:r>
            <w:r>
              <w:rPr>
                <w:rFonts w:cs="Times New Roman"/>
                <w:bCs/>
                <w:szCs w:val="24"/>
              </w:rPr>
              <w:t>合理</w:t>
            </w:r>
            <w:r>
              <w:rPr>
                <w:rFonts w:hint="eastAsia" w:cs="Times New Roman"/>
                <w:bCs/>
                <w:szCs w:val="24"/>
              </w:rPr>
              <w:t>。</w:t>
            </w:r>
          </w:p>
          <w:p>
            <w:pPr>
              <w:adjustRightInd w:val="0"/>
              <w:snapToGrid w:val="0"/>
              <w:spacing w:line="360" w:lineRule="auto"/>
              <w:ind w:firstLine="480" w:firstLineChars="200"/>
            </w:pPr>
            <w:r>
              <w:t>4、环境质量现状</w:t>
            </w:r>
          </w:p>
          <w:p>
            <w:pPr>
              <w:adjustRightInd w:val="0"/>
              <w:snapToGrid w:val="0"/>
              <w:spacing w:line="360" w:lineRule="auto"/>
              <w:ind w:firstLine="480" w:firstLineChars="200"/>
            </w:pPr>
            <w:r>
              <w:t>根据本项目环境质量现状监测数据可知：项目所在地地表水</w:t>
            </w:r>
            <w:r>
              <w:rPr>
                <w:rFonts w:hint="eastAsia"/>
              </w:rPr>
              <w:t>（除</w:t>
            </w:r>
            <w:r>
              <w:t>粪大肠菌群</w:t>
            </w:r>
            <w:r>
              <w:rPr>
                <w:rFonts w:hint="eastAsia"/>
              </w:rPr>
              <w:t>外）</w:t>
            </w:r>
            <w:r>
              <w:t>符合《地表水环境质量标准》（GB3838-2002）中的</w:t>
            </w:r>
            <w:r>
              <w:rPr>
                <w:rFonts w:hint="eastAsia"/>
              </w:rPr>
              <w:t>Ⅲ</w:t>
            </w:r>
            <w:r>
              <w:t>类水域标准；环境空气（除PM</w:t>
            </w:r>
            <w:r>
              <w:rPr>
                <w:vertAlign w:val="subscript"/>
              </w:rPr>
              <w:t>2.5</w:t>
            </w:r>
            <w:r>
              <w:t>外）均满足《环境空气质量标准》（GB3095-2012）中的二级标准；评价区域各测点噪声值</w:t>
            </w:r>
            <w:r>
              <w:rPr>
                <w:rFonts w:hint="eastAsia"/>
              </w:rPr>
              <w:t>（除临0</w:t>
            </w:r>
            <w:r>
              <w:t>11</w:t>
            </w:r>
            <w:r>
              <w:rPr>
                <w:rFonts w:hint="eastAsia"/>
              </w:rPr>
              <w:t>乡道侧以外）</w:t>
            </w:r>
            <w:r>
              <w:t>均满足《声环境质量标准》（GB3096-2008）2类标准要求</w:t>
            </w:r>
            <w:r>
              <w:rPr>
                <w:rFonts w:hint="eastAsia"/>
              </w:rPr>
              <w:t>；</w:t>
            </w:r>
            <w:r>
              <w:t>项目所在地</w:t>
            </w:r>
            <w:r>
              <w:rPr>
                <w:rFonts w:hint="eastAsia"/>
              </w:rPr>
              <w:t>地下水符合</w:t>
            </w:r>
            <w:r>
              <w:rPr>
                <w:rFonts w:ascii="宋体" w:hAnsi="宋体"/>
              </w:rPr>
              <w:t>《地下水质量标准》（</w:t>
            </w:r>
            <w:r>
              <w:t>GB/T14848-2017</w:t>
            </w:r>
            <w:r>
              <w:rPr>
                <w:rFonts w:ascii="宋体" w:hAnsi="宋体"/>
              </w:rPr>
              <w:t>）</w:t>
            </w:r>
            <w:r>
              <w:rPr>
                <w:rFonts w:hint="eastAsia" w:ascii="宋体" w:hAnsi="宋体" w:cs="宋体"/>
              </w:rPr>
              <w:t>Ⅲ</w:t>
            </w:r>
            <w:r>
              <w:rPr>
                <w:rFonts w:ascii="宋体" w:hAnsi="宋体"/>
              </w:rPr>
              <w:t>类标准</w:t>
            </w:r>
            <w:r>
              <w:t>。</w:t>
            </w:r>
          </w:p>
          <w:p>
            <w:pPr>
              <w:pStyle w:val="29"/>
              <w:adjustRightInd w:val="0"/>
              <w:snapToGrid w:val="0"/>
              <w:spacing w:after="0" w:line="360" w:lineRule="auto"/>
              <w:ind w:left="0" w:leftChars="0" w:firstLine="480"/>
              <w:rPr>
                <w:sz w:val="24"/>
              </w:rPr>
            </w:pPr>
            <w:r>
              <w:rPr>
                <w:sz w:val="24"/>
              </w:rPr>
              <w:t>5、环境影响评价结论</w:t>
            </w:r>
            <w:r>
              <w:rPr>
                <w:sz w:val="24"/>
              </w:rPr>
              <w:tab/>
            </w:r>
          </w:p>
          <w:p>
            <w:pPr>
              <w:spacing w:line="360" w:lineRule="auto"/>
              <w:ind w:firstLine="480" w:firstLineChars="200"/>
              <w:rPr>
                <w:rFonts w:cs="Times New Roman"/>
                <w:szCs w:val="24"/>
              </w:rPr>
            </w:pPr>
            <w:r>
              <w:rPr>
                <w:rFonts w:cs="Times New Roman"/>
                <w:szCs w:val="24"/>
              </w:rPr>
              <w:t>（1）施工期环境影响分析</w:t>
            </w:r>
          </w:p>
          <w:p>
            <w:pPr>
              <w:spacing w:line="360" w:lineRule="auto"/>
              <w:ind w:firstLine="480" w:firstLineChars="200"/>
              <w:rPr>
                <w:rFonts w:cs="Times New Roman"/>
                <w:szCs w:val="24"/>
              </w:rPr>
            </w:pPr>
            <w:r>
              <w:rPr>
                <w:rFonts w:cs="Times New Roman"/>
                <w:szCs w:val="24"/>
              </w:rPr>
              <w:t>项目施工期产生的主要污染物为废水、噪声、废气、固体废弃物(含运输车辆撒落物)等。项目工程量较小、工期不长，在采取了相应的污染物治理措施后，项目施工期对环境影响小，施工期污染治理措施有效。</w:t>
            </w:r>
          </w:p>
          <w:p>
            <w:pPr>
              <w:spacing w:line="360" w:lineRule="auto"/>
              <w:ind w:firstLine="480" w:firstLineChars="200"/>
              <w:rPr>
                <w:rFonts w:cs="Times New Roman"/>
                <w:szCs w:val="24"/>
              </w:rPr>
            </w:pPr>
            <w:r>
              <w:rPr>
                <w:rFonts w:cs="Times New Roman"/>
                <w:szCs w:val="24"/>
              </w:rPr>
              <w:t>（2）营运期废气环境影响分析结论</w:t>
            </w:r>
          </w:p>
          <w:p>
            <w:pPr>
              <w:spacing w:line="360" w:lineRule="auto"/>
              <w:ind w:firstLine="470" w:firstLineChars="196"/>
              <w:rPr>
                <w:rFonts w:cs="Times New Roman"/>
              </w:rPr>
            </w:pPr>
            <w:r>
              <w:rPr>
                <w:rFonts w:cs="Times New Roman"/>
                <w:szCs w:val="24"/>
              </w:rPr>
              <w:t>本污水处理项目正常运行期间，污水处理站的格栅、</w:t>
            </w:r>
            <w:r>
              <w:rPr>
                <w:rFonts w:hint="eastAsia" w:cs="Times New Roman"/>
                <w:szCs w:val="24"/>
              </w:rPr>
              <w:t>调节池、</w:t>
            </w:r>
            <w:r>
              <w:rPr>
                <w:rFonts w:cs="Times New Roman"/>
                <w:szCs w:val="24"/>
              </w:rPr>
              <w:t>缺氧池等处散发臭气，在经过加盖密闭处理、四周栽种吸污植物等措施后，营运中产生的恶臭污染物浓度值满足《恶臭污染物排放标准》（GB14554-93）二级标准，对周围环境影响较小。</w:t>
            </w:r>
          </w:p>
          <w:p>
            <w:pPr>
              <w:spacing w:line="360" w:lineRule="auto"/>
              <w:ind w:firstLine="480" w:firstLineChars="200"/>
              <w:rPr>
                <w:rFonts w:cs="Times New Roman"/>
              </w:rPr>
            </w:pPr>
            <w:r>
              <w:rPr>
                <w:rFonts w:cs="Times New Roman"/>
              </w:rPr>
              <w:t>（3）运营期水环境影响分析结论</w:t>
            </w:r>
          </w:p>
          <w:p>
            <w:pPr>
              <w:spacing w:line="360" w:lineRule="auto"/>
              <w:ind w:firstLine="480" w:firstLineChars="200"/>
              <w:rPr>
                <w:rFonts w:cs="Times New Roman"/>
                <w:u w:val="single"/>
              </w:rPr>
            </w:pPr>
            <w:r>
              <w:rPr>
                <w:rFonts w:cs="Times New Roman"/>
              </w:rPr>
              <w:t>本项目收集的生活污水经污水处理站处理，达到《农村生活污水处理设施水污染物排放标准》（DB51/2626-2019）标准后排入大渡河。正常工况条件下，污水处理站出水可以实现达标排放，对周围地表水环境的影响很小。非正常工况条件下，污染物排放浓度较高，对水体会产生一定影响，因此要加强污水处理站运营期管理，避免事故排放发生。</w:t>
            </w:r>
          </w:p>
          <w:p>
            <w:pPr>
              <w:adjustRightInd w:val="0"/>
              <w:snapToGrid w:val="0"/>
              <w:spacing w:line="360" w:lineRule="auto"/>
              <w:ind w:firstLine="480" w:firstLineChars="200"/>
            </w:pPr>
            <w:r>
              <w:rPr>
                <w:rFonts w:ascii="宋体" w:hAnsi="宋体"/>
              </w:rPr>
              <w:t>（</w:t>
            </w:r>
            <w:r>
              <w:t>4</w:t>
            </w:r>
            <w:r>
              <w:rPr>
                <w:rFonts w:ascii="宋体" w:hAnsi="宋体"/>
              </w:rPr>
              <w:t>）噪声环境影响评价结论</w:t>
            </w:r>
          </w:p>
          <w:p>
            <w:pPr>
              <w:adjustRightInd w:val="0"/>
              <w:snapToGrid w:val="0"/>
              <w:spacing w:line="360" w:lineRule="auto"/>
              <w:ind w:firstLine="480" w:firstLineChars="200"/>
            </w:pPr>
            <w:r>
              <w:rPr>
                <w:rFonts w:ascii="宋体" w:hAnsi="宋体"/>
              </w:rPr>
              <w:t>本项目主要噪声来源于传动机械工作时产生的噪声，主要噪声源有：污水提升泵</w:t>
            </w:r>
            <w:r>
              <w:rPr>
                <w:rFonts w:hint="eastAsia" w:ascii="宋体" w:hAnsi="宋体"/>
              </w:rPr>
              <w:t>和</w:t>
            </w:r>
            <w:r>
              <w:rPr>
                <w:rFonts w:ascii="宋体" w:hAnsi="宋体"/>
              </w:rPr>
              <w:t>鼓风机，在采取减振、消声和隔声等措施后，其噪声对周围声环境的影响较小，噪声排放可满足《工业企业厂界环境噪声排放标准》（</w:t>
            </w:r>
            <w:r>
              <w:t>GB12348-2008</w:t>
            </w:r>
            <w:r>
              <w:rPr>
                <w:rFonts w:ascii="宋体" w:hAnsi="宋体"/>
              </w:rPr>
              <w:t>）中的</w:t>
            </w:r>
            <w:r>
              <w:t>2</w:t>
            </w:r>
            <w:r>
              <w:rPr>
                <w:rFonts w:ascii="宋体" w:hAnsi="宋体"/>
              </w:rPr>
              <w:t>类标准。</w:t>
            </w:r>
          </w:p>
          <w:p>
            <w:pPr>
              <w:adjustRightInd w:val="0"/>
              <w:snapToGrid w:val="0"/>
              <w:spacing w:line="360" w:lineRule="auto"/>
              <w:ind w:firstLine="480" w:firstLineChars="200"/>
            </w:pPr>
            <w:r>
              <w:rPr>
                <w:rFonts w:ascii="宋体" w:hAnsi="宋体"/>
              </w:rPr>
              <w:t>因此，项目运行产生的噪声对区域声环境产生影响很小。</w:t>
            </w:r>
          </w:p>
          <w:p>
            <w:pPr>
              <w:adjustRightInd w:val="0"/>
              <w:snapToGrid w:val="0"/>
              <w:spacing w:line="360" w:lineRule="auto"/>
              <w:ind w:firstLine="480" w:firstLineChars="200"/>
            </w:pPr>
            <w:r>
              <w:rPr>
                <w:rFonts w:ascii="宋体" w:hAnsi="宋体"/>
              </w:rPr>
              <w:t>（</w:t>
            </w:r>
            <w:r>
              <w:t>5</w:t>
            </w:r>
            <w:r>
              <w:rPr>
                <w:rFonts w:ascii="宋体" w:hAnsi="宋体"/>
              </w:rPr>
              <w:t>）固废环境影响评价结论</w:t>
            </w:r>
          </w:p>
          <w:p>
            <w:pPr>
              <w:adjustRightInd w:val="0"/>
              <w:snapToGrid w:val="0"/>
              <w:spacing w:line="360" w:lineRule="auto"/>
              <w:ind w:firstLine="480" w:firstLineChars="200"/>
              <w:jc w:val="left"/>
              <w:rPr>
                <w:rFonts w:ascii="宋体" w:hAnsi="宋体"/>
              </w:rPr>
            </w:pPr>
            <w:r>
              <w:rPr>
                <w:rFonts w:ascii="宋体" w:hAnsi="宋体"/>
              </w:rPr>
              <w:t>本项目固体废物主要为生产过程中产生的格栅栅渣、污泥以及员工产生的生活垃圾、废旧填料等。污水处理设施产生的污泥量较少，污泥由吸粪车运往峨边彝族自治县城市生活污水处理厂进行处理。格栅栅渣和生活垃圾交由环卫收集处理，废旧填料交由厂家回收。</w:t>
            </w:r>
          </w:p>
          <w:p>
            <w:pPr>
              <w:adjustRightInd w:val="0"/>
              <w:snapToGrid w:val="0"/>
              <w:spacing w:line="360" w:lineRule="auto"/>
              <w:ind w:firstLine="480" w:firstLineChars="200"/>
              <w:jc w:val="left"/>
            </w:pPr>
            <w:r>
              <w:rPr>
                <w:rFonts w:ascii="宋体" w:hAnsi="宋体"/>
              </w:rPr>
              <w:t>综上，本项目固体废物在分别采取以上处理措施后，均会得到妥善处置，对环境影响较小。</w:t>
            </w:r>
          </w:p>
          <w:p>
            <w:pPr>
              <w:widowControl/>
              <w:adjustRightInd w:val="0"/>
              <w:snapToGrid w:val="0"/>
              <w:spacing w:line="360" w:lineRule="auto"/>
              <w:ind w:firstLine="480" w:firstLineChars="200"/>
              <w:jc w:val="left"/>
            </w:pPr>
            <w:r>
              <w:rPr>
                <w:rFonts w:ascii="宋体" w:hAnsi="宋体"/>
              </w:rPr>
              <w:t>（</w:t>
            </w:r>
            <w:r>
              <w:t>6</w:t>
            </w:r>
            <w:r>
              <w:rPr>
                <w:rFonts w:ascii="宋体" w:hAnsi="宋体"/>
              </w:rPr>
              <w:t>）地下水环境影响评价结论</w:t>
            </w:r>
          </w:p>
          <w:p>
            <w:pPr>
              <w:widowControl/>
              <w:adjustRightInd w:val="0"/>
              <w:snapToGrid w:val="0"/>
              <w:spacing w:line="360" w:lineRule="auto"/>
              <w:ind w:firstLine="480" w:firstLineChars="200"/>
              <w:jc w:val="left"/>
            </w:pPr>
            <w:r>
              <w:rPr>
                <w:rFonts w:ascii="宋体" w:hAnsi="宋体"/>
              </w:rPr>
              <w:t>本项目厂区内各个处理构筑物四周均进行了相应的防渗、防漏措施，其厂区内管道四周也将进行严密的防渗处置，因此，环评认为在严格落实各项防渗防漏措施后，本项目营运期不会对项目区域内的地下水水质造成不良影响。</w:t>
            </w:r>
          </w:p>
          <w:p>
            <w:pPr>
              <w:adjustRightInd w:val="0"/>
              <w:snapToGrid w:val="0"/>
              <w:spacing w:line="360" w:lineRule="auto"/>
              <w:ind w:firstLine="480" w:firstLineChars="200"/>
              <w:jc w:val="left"/>
              <w:rPr>
                <w:rFonts w:cs="Times New Roman"/>
              </w:rPr>
            </w:pPr>
            <w:r>
              <w:rPr>
                <w:rFonts w:cs="Times New Roman"/>
              </w:rPr>
              <w:t>（7）土壤环境环境影响分析结论</w:t>
            </w:r>
          </w:p>
          <w:p>
            <w:pPr>
              <w:adjustRightInd w:val="0"/>
              <w:snapToGrid w:val="0"/>
              <w:spacing w:line="360" w:lineRule="auto"/>
              <w:ind w:firstLine="480" w:firstLineChars="200"/>
              <w:rPr>
                <w:rFonts w:cs="Times New Roman"/>
              </w:rPr>
            </w:pPr>
            <w:r>
              <w:rPr>
                <w:rFonts w:cs="Times New Roman"/>
              </w:rPr>
              <w:t>根据《环境影响评价技术导则土壤环境（试行）》（HJ964-2018）附录 A，项目属于</w:t>
            </w:r>
            <w:r>
              <w:rPr>
                <w:rFonts w:cs="Times New Roman"/>
              </w:rPr>
              <w:fldChar w:fldCharType="begin"/>
            </w:r>
            <w:r>
              <w:rPr>
                <w:rFonts w:cs="Times New Roman"/>
              </w:rPr>
              <w:instrText xml:space="preserve"> = 3 \* ROMAN </w:instrText>
            </w:r>
            <w:r>
              <w:rPr>
                <w:rFonts w:cs="Times New Roman"/>
              </w:rPr>
              <w:fldChar w:fldCharType="separate"/>
            </w:r>
            <w:r>
              <w:rPr>
                <w:rFonts w:cs="Times New Roman"/>
              </w:rPr>
              <w:t>III</w:t>
            </w:r>
            <w:r>
              <w:rPr>
                <w:rFonts w:cs="Times New Roman"/>
              </w:rPr>
              <w:fldChar w:fldCharType="end"/>
            </w:r>
            <w:r>
              <w:rPr>
                <w:rFonts w:cs="Times New Roman"/>
              </w:rPr>
              <w:t>类建设项目，占地规模小型，土地性质为</w:t>
            </w:r>
            <w:r>
              <w:rPr>
                <w:rFonts w:hint="eastAsia" w:cs="Times New Roman"/>
              </w:rPr>
              <w:t>不</w:t>
            </w:r>
            <w:r>
              <w:rPr>
                <w:rFonts w:cs="Times New Roman"/>
              </w:rPr>
              <w:t>敏感，</w:t>
            </w:r>
            <w:r>
              <w:rPr>
                <w:b/>
              </w:rPr>
              <w:t>评价工作等级为“</w:t>
            </w:r>
            <w:r>
              <w:rPr>
                <w:rFonts w:hint="eastAsia"/>
                <w:b/>
              </w:rPr>
              <w:t>-</w:t>
            </w:r>
            <w:r>
              <w:rPr>
                <w:b/>
              </w:rPr>
              <w:t>”</w:t>
            </w:r>
            <w:r>
              <w:rPr>
                <w:rFonts w:hint="eastAsia"/>
                <w:b/>
              </w:rPr>
              <w:t>，</w:t>
            </w:r>
            <w:r>
              <w:rPr>
                <w:rFonts w:cs="Times New Roman"/>
              </w:rPr>
              <w:t>经分析本项目不需要开展土壤环境影响评价。</w:t>
            </w:r>
          </w:p>
          <w:p>
            <w:pPr>
              <w:widowControl/>
              <w:adjustRightInd w:val="0"/>
              <w:snapToGrid w:val="0"/>
              <w:spacing w:line="360" w:lineRule="auto"/>
              <w:ind w:firstLine="480" w:firstLineChars="200"/>
              <w:jc w:val="left"/>
            </w:pPr>
            <w:r>
              <w:rPr>
                <w:rFonts w:ascii="宋体" w:hAnsi="宋体"/>
              </w:rPr>
              <w:t>（</w:t>
            </w:r>
            <w:r>
              <w:t>8</w:t>
            </w:r>
            <w:r>
              <w:rPr>
                <w:rFonts w:ascii="宋体" w:hAnsi="宋体"/>
              </w:rPr>
              <w:t>）环境风险分析结论</w:t>
            </w:r>
          </w:p>
          <w:p>
            <w:pPr>
              <w:widowControl/>
              <w:adjustRightInd w:val="0"/>
              <w:snapToGrid w:val="0"/>
              <w:spacing w:line="360" w:lineRule="auto"/>
              <w:ind w:firstLine="480" w:firstLineChars="200"/>
              <w:jc w:val="left"/>
            </w:pPr>
            <w:r>
              <w:rPr>
                <w:rFonts w:ascii="宋体" w:hAnsi="宋体"/>
              </w:rPr>
              <w:t>本项目在运行过程中存在一定的环境风险隐患。在日常管理过程中，应严格按照报告中提出的各项环境防范措施进行落实，规范操作，可将事故风险降低到最小。</w:t>
            </w:r>
          </w:p>
          <w:p>
            <w:pPr>
              <w:adjustRightInd w:val="0"/>
              <w:snapToGrid w:val="0"/>
              <w:spacing w:line="360" w:lineRule="auto"/>
              <w:ind w:firstLine="480" w:firstLineChars="200"/>
              <w:jc w:val="left"/>
              <w:rPr>
                <w:rFonts w:cs="Times New Roman"/>
              </w:rPr>
            </w:pPr>
            <w:r>
              <w:rPr>
                <w:rFonts w:cs="Times New Roman"/>
              </w:rPr>
              <w:t>6、总量控制指标</w:t>
            </w:r>
          </w:p>
          <w:p>
            <w:pPr>
              <w:pStyle w:val="25"/>
              <w:autoSpaceDE w:val="0"/>
              <w:autoSpaceDN w:val="0"/>
              <w:adjustRightInd w:val="0"/>
              <w:snapToGrid w:val="0"/>
              <w:ind w:firstLine="480" w:firstLineChars="200"/>
              <w:rPr>
                <w:rFonts w:cs="Times New Roman"/>
              </w:rPr>
            </w:pPr>
            <w:r>
              <w:rPr>
                <w:rFonts w:cs="Times New Roman"/>
                <w:b w:val="0"/>
              </w:rPr>
              <w:t>根据国家生态环境部关于总量控制的有关要求，结合项目污染物排放特点，建议本项目总量控制指标为</w:t>
            </w:r>
            <w:r>
              <w:rPr>
                <w:rFonts w:cs="Times New Roman"/>
                <w:b w:val="0"/>
                <w:bCs/>
                <w:caps w:val="0"/>
              </w:rPr>
              <w:t>COD：2.19t/a、NH</w:t>
            </w:r>
            <w:r>
              <w:rPr>
                <w:rFonts w:cs="Times New Roman"/>
                <w:b w:val="0"/>
                <w:bCs/>
                <w:caps w:val="0"/>
                <w:vertAlign w:val="subscript"/>
              </w:rPr>
              <w:t>3</w:t>
            </w:r>
            <w:r>
              <w:rPr>
                <w:rFonts w:cs="Times New Roman"/>
                <w:b w:val="0"/>
                <w:bCs/>
                <w:caps w:val="0"/>
              </w:rPr>
              <w:t>-N：0.292 t/a、TP：0.05475t/a、TN：0.730t/a。</w:t>
            </w:r>
          </w:p>
          <w:p>
            <w:pPr>
              <w:pStyle w:val="25"/>
              <w:adjustRightInd w:val="0"/>
              <w:snapToGrid w:val="0"/>
              <w:ind w:firstLine="480"/>
              <w:rPr>
                <w:rFonts w:cs="Times New Roman"/>
                <w:b w:val="0"/>
              </w:rPr>
            </w:pPr>
            <w:r>
              <w:rPr>
                <w:rFonts w:cs="Times New Roman"/>
                <w:b w:val="0"/>
              </w:rPr>
              <w:t>7、环境正效益分析</w:t>
            </w:r>
          </w:p>
          <w:p>
            <w:pPr>
              <w:pStyle w:val="25"/>
              <w:adjustRightInd w:val="0"/>
              <w:snapToGrid w:val="0"/>
              <w:ind w:firstLine="480"/>
              <w:rPr>
                <w:rFonts w:cs="Times New Roman"/>
                <w:b w:val="0"/>
              </w:rPr>
            </w:pPr>
            <w:r>
              <w:rPr>
                <w:rFonts w:cs="Times New Roman"/>
                <w:b w:val="0"/>
              </w:rPr>
              <w:t>项目的实施</w:t>
            </w:r>
            <w:r>
              <w:rPr>
                <w:rFonts w:hint="eastAsia" w:cs="Times New Roman"/>
                <w:b w:val="0"/>
              </w:rPr>
              <w:t>提高了</w:t>
            </w:r>
            <w:r>
              <w:rPr>
                <w:rFonts w:hint="eastAsia" w:cs="Times New Roman"/>
                <w:b w:val="0"/>
                <w:bCs/>
                <w:szCs w:val="24"/>
              </w:rPr>
              <w:t>峨边彝族自治县老人民医院片区居民生活污水的收集率，改变了经营所片区</w:t>
            </w:r>
            <w:r>
              <w:rPr>
                <w:rFonts w:hint="eastAsia" w:cs="Times New Roman"/>
                <w:b w:val="0"/>
                <w:szCs w:val="24"/>
              </w:rPr>
              <w:t>未进行雨污分流，大量雨水进入污水管网、马嘶溪火车站片区居民生活污水未经处理直接排入周边地表水的现状。</w:t>
            </w:r>
            <w:r>
              <w:rPr>
                <w:rFonts w:cs="Times New Roman"/>
                <w:b w:val="0"/>
              </w:rPr>
              <w:t>有助于改善大渡河水体环境，具有明显的环境正效应，对保护大渡河水体环境起到积极作用。</w:t>
            </w:r>
          </w:p>
          <w:p>
            <w:pPr>
              <w:adjustRightInd w:val="0"/>
              <w:snapToGrid w:val="0"/>
              <w:spacing w:line="360" w:lineRule="auto"/>
              <w:ind w:firstLine="480" w:firstLineChars="200"/>
              <w:rPr>
                <w:rFonts w:ascii="宋体" w:hAnsi="宋体"/>
              </w:rPr>
            </w:pPr>
            <w:r>
              <w:t>8</w:t>
            </w:r>
            <w:r>
              <w:rPr>
                <w:rFonts w:ascii="宋体" w:hAnsi="宋体"/>
              </w:rPr>
              <w:t>、</w:t>
            </w:r>
            <w:r>
              <w:rPr>
                <w:rFonts w:hint="eastAsia" w:ascii="宋体" w:hAnsi="宋体"/>
              </w:rPr>
              <w:t>建设项目环保可行性结论</w:t>
            </w:r>
          </w:p>
          <w:p>
            <w:pPr>
              <w:adjustRightInd w:val="0"/>
              <w:snapToGrid w:val="0"/>
              <w:spacing w:line="360" w:lineRule="auto"/>
              <w:ind w:firstLine="480" w:firstLineChars="200"/>
            </w:pPr>
            <w:r>
              <w:rPr>
                <w:rFonts w:ascii="宋体" w:hAnsi="宋体"/>
              </w:rPr>
              <w:t>综上所述，本项目符合国家产业政策</w:t>
            </w:r>
            <w:r>
              <w:rPr>
                <w:rFonts w:hint="eastAsia" w:ascii="宋体" w:hAnsi="宋体"/>
              </w:rPr>
              <w:t>，</w:t>
            </w:r>
            <w:r>
              <w:rPr>
                <w:rFonts w:ascii="宋体" w:hAnsi="宋体"/>
              </w:rPr>
              <w:t>污染物能够实现达标排放以及综合利用，重点污染物排放能满足总量控制要求，环境风险可控，符合</w:t>
            </w:r>
            <w:r>
              <w:rPr>
                <w:rFonts w:hint="eastAsia" w:ascii="宋体" w:hAnsi="宋体"/>
              </w:rPr>
              <w:t>环境保护</w:t>
            </w:r>
            <w:r>
              <w:rPr>
                <w:rFonts w:ascii="宋体" w:hAnsi="宋体"/>
              </w:rPr>
              <w:t>要求</w:t>
            </w:r>
            <w:r>
              <w:rPr>
                <w:rFonts w:hint="eastAsia" w:ascii="宋体" w:hAnsi="宋体"/>
              </w:rPr>
              <w:t>。</w:t>
            </w:r>
            <w:r>
              <w:rPr>
                <w:rFonts w:ascii="宋体" w:hAnsi="宋体"/>
              </w:rPr>
              <w:t>项目在严格落实本评价提出的废气、废水、固废等污染防治措施后，本项目产生的污染物达标排放。在保证环境保护措施的有效运行的情况下，本项目具有良好的环境正效益。</w:t>
            </w:r>
            <w:r>
              <w:rPr>
                <w:rFonts w:ascii="宋体" w:hAnsi="宋体"/>
                <w:b/>
              </w:rPr>
              <w:t>因此，</w:t>
            </w:r>
            <w:r>
              <w:rPr>
                <w:rFonts w:hint="eastAsia" w:ascii="宋体" w:hAnsi="宋体"/>
                <w:b/>
              </w:rPr>
              <w:t>本项目从环境保护的角度可行</w:t>
            </w:r>
            <w:r>
              <w:rPr>
                <w:rFonts w:cs="Times New Roman"/>
                <w:b/>
              </w:rPr>
              <w:t>。</w:t>
            </w:r>
          </w:p>
          <w:p>
            <w:pPr>
              <w:spacing w:line="360" w:lineRule="auto"/>
              <w:rPr>
                <w:rFonts w:cs="Times New Roman"/>
                <w:b/>
                <w:sz w:val="28"/>
                <w:szCs w:val="28"/>
              </w:rPr>
            </w:pPr>
            <w:r>
              <w:rPr>
                <w:rFonts w:cs="Times New Roman"/>
                <w:b/>
                <w:sz w:val="28"/>
                <w:szCs w:val="28"/>
              </w:rPr>
              <w:t>二、建议</w:t>
            </w:r>
          </w:p>
          <w:p>
            <w:pPr>
              <w:adjustRightInd w:val="0"/>
              <w:snapToGrid w:val="0"/>
              <w:spacing w:line="360" w:lineRule="auto"/>
              <w:ind w:firstLine="480" w:firstLineChars="200"/>
            </w:pPr>
            <w:r>
              <w:rPr>
                <w:rFonts w:ascii="宋体" w:hAnsi="宋体"/>
              </w:rPr>
              <w:t>建设单位在项目实施过程中，除必须认真落实和执行本评价在报告表中提出的各项环保对策外，评价强调以下几点：</w:t>
            </w:r>
          </w:p>
          <w:p>
            <w:pPr>
              <w:adjustRightInd w:val="0"/>
              <w:snapToGrid w:val="0"/>
              <w:spacing w:line="360" w:lineRule="auto"/>
              <w:ind w:firstLine="480" w:firstLineChars="200"/>
            </w:pPr>
            <w:r>
              <w:t>1</w:t>
            </w:r>
            <w:r>
              <w:rPr>
                <w:rFonts w:ascii="宋体" w:hAnsi="宋体"/>
              </w:rPr>
              <w:t>、杜绝生产过程中的跑、冒、滴、漏。建立健全的生产环保规章制度，严格在岗人员操作管理，操作人员须通过培训和定期考核，方可上岗，与此同时，加强设备、管道、各项治污措施的定期检修和维护工作。</w:t>
            </w:r>
          </w:p>
          <w:p>
            <w:pPr>
              <w:adjustRightInd w:val="0"/>
              <w:snapToGrid w:val="0"/>
              <w:spacing w:line="360" w:lineRule="auto"/>
              <w:ind w:firstLine="480" w:firstLineChars="200"/>
              <w:rPr>
                <w:rFonts w:cs="Times New Roman"/>
              </w:rPr>
            </w:pPr>
            <w:r>
              <w:t>2</w:t>
            </w:r>
            <w:r>
              <w:rPr>
                <w:rFonts w:ascii="宋体" w:hAnsi="宋体"/>
              </w:rPr>
              <w:t>、厂区内尽可能进行灌乔木立体绿化，既美化环境，又净化空气，同时吸声</w:t>
            </w:r>
            <w:r>
              <w:rPr>
                <w:rFonts w:cs="Times New Roman"/>
              </w:rPr>
              <w:t>、屏噪、阻隔恶臭扩散。</w:t>
            </w:r>
          </w:p>
          <w:p>
            <w:pPr>
              <w:adjustRightInd w:val="0"/>
              <w:snapToGrid w:val="0"/>
              <w:spacing w:line="360" w:lineRule="auto"/>
              <w:ind w:firstLine="480" w:firstLineChars="200"/>
              <w:rPr>
                <w:rFonts w:cs="Times New Roman"/>
              </w:rPr>
            </w:pPr>
            <w:r>
              <w:rPr>
                <w:rFonts w:cs="Times New Roman"/>
              </w:rPr>
              <w:t>3、按《建设项目环境保护</w:t>
            </w:r>
            <w:r>
              <w:rPr>
                <w:rFonts w:hint="eastAsia" w:cs="Times New Roman"/>
              </w:rPr>
              <w:t>管理</w:t>
            </w:r>
            <w:r>
              <w:rPr>
                <w:rFonts w:cs="Times New Roman"/>
              </w:rPr>
              <w:t>条例》（中华人民共和国国务院令第682号）的规定，项目试运营后及时自行组织项目竣工环保验收，验收通过后方向进行正式运行。环保竣工验收资料及时报送生态环境主管部门备案并公示。</w:t>
            </w:r>
          </w:p>
          <w:p>
            <w:pPr>
              <w:adjustRightInd w:val="0"/>
              <w:snapToGrid w:val="0"/>
              <w:spacing w:line="360" w:lineRule="auto"/>
              <w:ind w:firstLine="480" w:firstLineChars="200"/>
              <w:rPr>
                <w:rFonts w:cs="Times New Roman"/>
              </w:rPr>
            </w:pPr>
          </w:p>
          <w:p>
            <w:pPr>
              <w:adjustRightInd w:val="0"/>
              <w:snapToGrid w:val="0"/>
              <w:spacing w:line="360" w:lineRule="auto"/>
              <w:ind w:firstLine="480" w:firstLineChars="200"/>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1" w:type="dxa"/>
          <w:cantSplit/>
          <w:trHeight w:val="12893" w:hRule="atLeast"/>
          <w:jc w:val="center"/>
        </w:trPr>
        <w:tc>
          <w:tcPr>
            <w:tcW w:w="8926" w:type="dxa"/>
            <w:vAlign w:val="center"/>
          </w:tcPr>
          <w:p>
            <w:pPr>
              <w:spacing w:line="400" w:lineRule="exact"/>
              <w:jc w:val="center"/>
              <w:rPr>
                <w:rFonts w:cs="Times New Roman"/>
                <w:b/>
                <w:sz w:val="30"/>
              </w:rPr>
            </w:pPr>
            <w:r>
              <w:rPr>
                <w:rFonts w:cs="Times New Roman"/>
                <w:b/>
                <w:sz w:val="30"/>
                <w:szCs w:val="30"/>
              </w:rPr>
              <w:t>注释</w:t>
            </w:r>
          </w:p>
          <w:p>
            <w:pPr>
              <w:spacing w:line="400" w:lineRule="exact"/>
              <w:ind w:firstLine="480" w:firstLineChars="200"/>
              <w:jc w:val="left"/>
              <w:rPr>
                <w:rFonts w:cs="Times New Roman"/>
              </w:rPr>
            </w:pPr>
            <w:r>
              <w:rPr>
                <w:rFonts w:cs="Times New Roman"/>
              </w:rPr>
              <w:t>一、本报告表应附以下附件、附图</w:t>
            </w:r>
            <w:r>
              <w:rPr>
                <w:rFonts w:hint="eastAsia" w:cs="Times New Roman"/>
              </w:rPr>
              <w:t>、</w:t>
            </w:r>
            <w:r>
              <w:rPr>
                <w:rFonts w:cs="Times New Roman"/>
              </w:rPr>
              <w:t>附表：</w:t>
            </w:r>
          </w:p>
          <w:p>
            <w:pPr>
              <w:spacing w:line="400" w:lineRule="exact"/>
              <w:ind w:firstLine="482" w:firstLineChars="200"/>
              <w:rPr>
                <w:rFonts w:cs="Times New Roman"/>
                <w:b/>
                <w:szCs w:val="21"/>
              </w:rPr>
            </w:pPr>
            <w:r>
              <w:rPr>
                <w:rFonts w:cs="Times New Roman"/>
                <w:b/>
                <w:szCs w:val="21"/>
              </w:rPr>
              <w:t>附件：</w:t>
            </w:r>
          </w:p>
          <w:p>
            <w:pPr>
              <w:spacing w:line="400" w:lineRule="exact"/>
              <w:ind w:firstLine="480" w:firstLineChars="200"/>
              <w:rPr>
                <w:rFonts w:cs="Times New Roman"/>
                <w:szCs w:val="21"/>
              </w:rPr>
            </w:pPr>
            <w:r>
              <w:rPr>
                <w:rFonts w:cs="Times New Roman"/>
                <w:szCs w:val="21"/>
              </w:rPr>
              <w:t>附件1：委托书</w:t>
            </w:r>
          </w:p>
          <w:p>
            <w:pPr>
              <w:spacing w:line="400" w:lineRule="exact"/>
              <w:ind w:firstLine="480" w:firstLineChars="200"/>
              <w:rPr>
                <w:rFonts w:cs="Times New Roman"/>
                <w:szCs w:val="21"/>
              </w:rPr>
            </w:pPr>
            <w:r>
              <w:rPr>
                <w:rFonts w:cs="Times New Roman"/>
                <w:szCs w:val="21"/>
              </w:rPr>
              <w:t>附件2：</w:t>
            </w:r>
            <w:r>
              <w:rPr>
                <w:rFonts w:hint="eastAsia" w:cs="Times New Roman"/>
                <w:szCs w:val="21"/>
              </w:rPr>
              <w:t>可研批复</w:t>
            </w:r>
          </w:p>
          <w:p>
            <w:pPr>
              <w:spacing w:line="400" w:lineRule="exact"/>
              <w:ind w:firstLine="480" w:firstLineChars="200"/>
              <w:rPr>
                <w:rFonts w:cs="Times New Roman"/>
                <w:szCs w:val="21"/>
              </w:rPr>
            </w:pPr>
            <w:r>
              <w:rPr>
                <w:rFonts w:cs="Times New Roman"/>
                <w:szCs w:val="21"/>
              </w:rPr>
              <w:t>附件3：</w:t>
            </w:r>
            <w:r>
              <w:rPr>
                <w:rFonts w:hint="eastAsia" w:cs="Times New Roman"/>
                <w:szCs w:val="21"/>
              </w:rPr>
              <w:t>选址意见书</w:t>
            </w:r>
          </w:p>
          <w:p>
            <w:pPr>
              <w:spacing w:line="400" w:lineRule="exact"/>
              <w:ind w:firstLine="480" w:firstLineChars="200"/>
              <w:rPr>
                <w:rFonts w:cs="Times New Roman"/>
                <w:szCs w:val="21"/>
              </w:rPr>
            </w:pPr>
            <w:r>
              <w:rPr>
                <w:rFonts w:cs="Times New Roman"/>
                <w:szCs w:val="21"/>
              </w:rPr>
              <w:t>附件4：监测报告</w:t>
            </w:r>
          </w:p>
          <w:p>
            <w:pPr>
              <w:spacing w:line="400" w:lineRule="exact"/>
              <w:ind w:firstLine="482" w:firstLineChars="200"/>
              <w:rPr>
                <w:rFonts w:cs="Times New Roman"/>
                <w:b/>
                <w:szCs w:val="21"/>
              </w:rPr>
            </w:pPr>
            <w:r>
              <w:rPr>
                <w:rFonts w:cs="Times New Roman"/>
                <w:b/>
                <w:szCs w:val="21"/>
              </w:rPr>
              <w:t>附图：</w:t>
            </w:r>
          </w:p>
          <w:p>
            <w:pPr>
              <w:spacing w:line="400" w:lineRule="exact"/>
              <w:ind w:firstLine="480" w:firstLineChars="200"/>
              <w:rPr>
                <w:rFonts w:cs="Times New Roman"/>
                <w:szCs w:val="21"/>
              </w:rPr>
            </w:pPr>
            <w:r>
              <w:rPr>
                <w:rFonts w:cs="Times New Roman"/>
                <w:szCs w:val="21"/>
              </w:rPr>
              <w:t>附图1：项目地理位置图</w:t>
            </w:r>
          </w:p>
          <w:p>
            <w:pPr>
              <w:spacing w:line="400" w:lineRule="exact"/>
              <w:ind w:firstLine="480" w:firstLineChars="200"/>
              <w:rPr>
                <w:rFonts w:cs="Times New Roman"/>
                <w:szCs w:val="21"/>
              </w:rPr>
            </w:pPr>
            <w:r>
              <w:rPr>
                <w:rFonts w:cs="Times New Roman"/>
                <w:szCs w:val="21"/>
              </w:rPr>
              <w:t>附图2：项目</w:t>
            </w:r>
            <w:r>
              <w:rPr>
                <w:rFonts w:hint="eastAsia" w:cs="Times New Roman"/>
                <w:szCs w:val="21"/>
              </w:rPr>
              <w:t>污水处理站</w:t>
            </w:r>
            <w:r>
              <w:rPr>
                <w:rFonts w:cs="Times New Roman"/>
                <w:szCs w:val="21"/>
              </w:rPr>
              <w:t>平面布置</w:t>
            </w:r>
            <w:r>
              <w:rPr>
                <w:rFonts w:hint="eastAsia" w:cs="Times New Roman"/>
                <w:szCs w:val="21"/>
              </w:rPr>
              <w:t>及防渗</w:t>
            </w:r>
            <w:r>
              <w:rPr>
                <w:rFonts w:cs="Times New Roman"/>
                <w:szCs w:val="21"/>
              </w:rPr>
              <w:t>示意图</w:t>
            </w:r>
          </w:p>
          <w:p>
            <w:pPr>
              <w:spacing w:line="400" w:lineRule="exact"/>
              <w:ind w:firstLine="480" w:firstLineChars="200"/>
              <w:rPr>
                <w:rFonts w:cs="Times New Roman"/>
                <w:szCs w:val="21"/>
              </w:rPr>
            </w:pPr>
            <w:r>
              <w:rPr>
                <w:rFonts w:cs="Times New Roman"/>
                <w:szCs w:val="21"/>
              </w:rPr>
              <w:t>附图3：项目</w:t>
            </w:r>
            <w:r>
              <w:rPr>
                <w:rFonts w:hint="eastAsia" w:cs="Times New Roman"/>
                <w:szCs w:val="21"/>
              </w:rPr>
              <w:t>管网走向示意</w:t>
            </w:r>
            <w:r>
              <w:rPr>
                <w:rFonts w:cs="Times New Roman"/>
                <w:szCs w:val="21"/>
              </w:rPr>
              <w:t>图</w:t>
            </w:r>
          </w:p>
          <w:p>
            <w:pPr>
              <w:spacing w:line="400" w:lineRule="exact"/>
              <w:ind w:firstLine="480" w:firstLineChars="200"/>
              <w:rPr>
                <w:rFonts w:cs="Times New Roman"/>
                <w:szCs w:val="21"/>
              </w:rPr>
            </w:pPr>
            <w:r>
              <w:rPr>
                <w:rFonts w:cs="Times New Roman"/>
                <w:szCs w:val="21"/>
              </w:rPr>
              <w:t>附图4：项目外环境关系</w:t>
            </w:r>
            <w:r>
              <w:rPr>
                <w:rFonts w:hint="eastAsia" w:cs="Times New Roman"/>
                <w:szCs w:val="21"/>
              </w:rPr>
              <w:t>图</w:t>
            </w:r>
          </w:p>
          <w:p>
            <w:pPr>
              <w:spacing w:line="400" w:lineRule="exact"/>
              <w:ind w:firstLine="480" w:firstLineChars="200"/>
              <w:rPr>
                <w:rFonts w:cs="Times New Roman"/>
                <w:szCs w:val="21"/>
              </w:rPr>
            </w:pPr>
            <w:r>
              <w:rPr>
                <w:rFonts w:hint="eastAsia" w:cs="Times New Roman"/>
                <w:szCs w:val="21"/>
              </w:rPr>
              <w:t>附图</w:t>
            </w:r>
            <w:r>
              <w:rPr>
                <w:rFonts w:cs="Times New Roman"/>
                <w:szCs w:val="21"/>
              </w:rPr>
              <w:t>5</w:t>
            </w:r>
            <w:r>
              <w:rPr>
                <w:rFonts w:hint="eastAsia" w:cs="Times New Roman"/>
                <w:szCs w:val="21"/>
              </w:rPr>
              <w:t>：</w:t>
            </w:r>
            <w:r>
              <w:rPr>
                <w:rFonts w:cs="Times New Roman"/>
                <w:szCs w:val="21"/>
              </w:rPr>
              <w:t>项目监测布点图</w:t>
            </w:r>
          </w:p>
          <w:p>
            <w:pPr>
              <w:spacing w:line="400" w:lineRule="exact"/>
              <w:ind w:firstLine="482" w:firstLineChars="200"/>
              <w:rPr>
                <w:rFonts w:cs="Times New Roman"/>
                <w:b/>
                <w:szCs w:val="21"/>
              </w:rPr>
            </w:pPr>
            <w:r>
              <w:rPr>
                <w:rFonts w:hint="eastAsia" w:cs="Times New Roman"/>
                <w:b/>
                <w:szCs w:val="21"/>
              </w:rPr>
              <w:t>附表</w:t>
            </w:r>
            <w:r>
              <w:rPr>
                <w:rFonts w:cs="Times New Roman"/>
                <w:b/>
                <w:szCs w:val="21"/>
              </w:rPr>
              <w:t>：</w:t>
            </w:r>
          </w:p>
          <w:p>
            <w:pPr>
              <w:spacing w:line="400" w:lineRule="exact"/>
              <w:ind w:firstLine="480" w:firstLineChars="200"/>
              <w:rPr>
                <w:rFonts w:cs="Times New Roman"/>
                <w:szCs w:val="21"/>
              </w:rPr>
            </w:pPr>
            <w:r>
              <w:rPr>
                <w:rFonts w:cs="Times New Roman"/>
                <w:szCs w:val="21"/>
              </w:rPr>
              <w:t>附表1 建设项目地表水环境影响评价自查表</w:t>
            </w:r>
          </w:p>
          <w:p>
            <w:pPr>
              <w:spacing w:line="400" w:lineRule="exact"/>
              <w:ind w:firstLine="480" w:firstLineChars="200"/>
              <w:rPr>
                <w:rFonts w:cs="Times New Roman"/>
                <w:szCs w:val="21"/>
              </w:rPr>
            </w:pPr>
            <w:r>
              <w:rPr>
                <w:rFonts w:cs="Times New Roman"/>
                <w:szCs w:val="21"/>
              </w:rPr>
              <w:t>附表2 建设项目大气环境影响评价自查表</w:t>
            </w:r>
          </w:p>
          <w:p>
            <w:pPr>
              <w:spacing w:line="400" w:lineRule="exact"/>
              <w:ind w:firstLine="480" w:firstLineChars="200"/>
              <w:rPr>
                <w:rFonts w:cs="Times New Roman"/>
                <w:szCs w:val="21"/>
              </w:rPr>
            </w:pPr>
            <w:r>
              <w:rPr>
                <w:rFonts w:cs="Times New Roman"/>
                <w:szCs w:val="21"/>
              </w:rPr>
              <w:t>附表3 建设项目土壤环境影响评价自查表</w:t>
            </w:r>
          </w:p>
          <w:p>
            <w:pPr>
              <w:spacing w:line="400" w:lineRule="exact"/>
              <w:ind w:firstLine="480" w:firstLineChars="200"/>
              <w:rPr>
                <w:rFonts w:cs="Times New Roman"/>
                <w:szCs w:val="21"/>
              </w:rPr>
            </w:pPr>
            <w:r>
              <w:rPr>
                <w:rFonts w:cs="Times New Roman"/>
                <w:szCs w:val="21"/>
              </w:rPr>
              <w:t>附表4 环境风险评价自查表</w:t>
            </w:r>
          </w:p>
          <w:p>
            <w:pPr>
              <w:spacing w:line="400" w:lineRule="exact"/>
              <w:ind w:firstLine="480" w:firstLineChars="200"/>
              <w:rPr>
                <w:rFonts w:cs="Times New Roman"/>
                <w:szCs w:val="21"/>
              </w:rPr>
            </w:pPr>
            <w:r>
              <w:rPr>
                <w:rFonts w:cs="Times New Roman"/>
              </w:rPr>
              <w:t>二、如果本报告表不能说明项目产生的污染对环境造成的影响，应进行专项评价。根据建设项目的特点和当地环境特征，应选下列1-2项进行专项评价。</w:t>
            </w:r>
          </w:p>
          <w:p>
            <w:pPr>
              <w:spacing w:line="400" w:lineRule="exact"/>
              <w:ind w:firstLine="480" w:firstLineChars="200"/>
              <w:rPr>
                <w:rFonts w:cs="Times New Roman"/>
                <w:szCs w:val="21"/>
              </w:rPr>
            </w:pPr>
            <w:r>
              <w:rPr>
                <w:rFonts w:cs="Times New Roman"/>
                <w:szCs w:val="21"/>
              </w:rPr>
              <w:t>1、大气环境影响专项评价</w:t>
            </w:r>
          </w:p>
          <w:p>
            <w:pPr>
              <w:spacing w:line="400" w:lineRule="exact"/>
              <w:ind w:firstLine="480" w:firstLineChars="200"/>
              <w:rPr>
                <w:rFonts w:cs="Times New Roman"/>
                <w:szCs w:val="21"/>
              </w:rPr>
            </w:pPr>
            <w:r>
              <w:rPr>
                <w:rFonts w:cs="Times New Roman"/>
                <w:szCs w:val="21"/>
              </w:rPr>
              <w:t>2、水环境影响专项评价（包括地表水和地下水）</w:t>
            </w:r>
          </w:p>
          <w:p>
            <w:pPr>
              <w:spacing w:line="400" w:lineRule="exact"/>
              <w:ind w:firstLine="480" w:firstLineChars="200"/>
              <w:rPr>
                <w:rFonts w:cs="Times New Roman"/>
                <w:szCs w:val="21"/>
              </w:rPr>
            </w:pPr>
            <w:r>
              <w:rPr>
                <w:rFonts w:cs="Times New Roman"/>
                <w:szCs w:val="21"/>
              </w:rPr>
              <w:t>3、生态环境影响专项评价</w:t>
            </w:r>
          </w:p>
          <w:p>
            <w:pPr>
              <w:spacing w:line="400" w:lineRule="exact"/>
              <w:ind w:firstLine="480" w:firstLineChars="200"/>
              <w:rPr>
                <w:rFonts w:cs="Times New Roman"/>
                <w:szCs w:val="21"/>
              </w:rPr>
            </w:pPr>
            <w:r>
              <w:rPr>
                <w:rFonts w:cs="Times New Roman"/>
                <w:szCs w:val="21"/>
              </w:rPr>
              <w:t>4、声环境影响专项评价</w:t>
            </w:r>
          </w:p>
          <w:p>
            <w:pPr>
              <w:spacing w:line="400" w:lineRule="exact"/>
              <w:ind w:firstLine="480" w:firstLineChars="200"/>
              <w:rPr>
                <w:rFonts w:cs="Times New Roman"/>
                <w:szCs w:val="21"/>
              </w:rPr>
            </w:pPr>
            <w:r>
              <w:rPr>
                <w:rFonts w:cs="Times New Roman"/>
                <w:szCs w:val="21"/>
              </w:rPr>
              <w:t>5、土壤环境影响专项评价</w:t>
            </w:r>
          </w:p>
          <w:p>
            <w:pPr>
              <w:spacing w:line="400" w:lineRule="exact"/>
              <w:ind w:firstLine="480" w:firstLineChars="200"/>
              <w:rPr>
                <w:rFonts w:cs="Times New Roman"/>
                <w:szCs w:val="21"/>
              </w:rPr>
            </w:pPr>
            <w:r>
              <w:rPr>
                <w:rFonts w:cs="Times New Roman"/>
                <w:szCs w:val="21"/>
              </w:rPr>
              <w:t>6、固体废弃物影响专项评价</w:t>
            </w:r>
          </w:p>
          <w:p>
            <w:pPr>
              <w:spacing w:line="400" w:lineRule="exact"/>
              <w:ind w:firstLine="480" w:firstLineChars="200"/>
              <w:jc w:val="left"/>
              <w:rPr>
                <w:rFonts w:cs="Times New Roman"/>
              </w:rPr>
            </w:pPr>
            <w:r>
              <w:rPr>
                <w:rFonts w:cs="Times New Roman"/>
              </w:rPr>
              <w:t>以上专项评价未包括的可另列专项，专项评价按照《环境影响评价技术导则》中的要求进行。</w:t>
            </w:r>
          </w:p>
        </w:tc>
      </w:tr>
    </w:tbl>
    <w:p>
      <w:pPr>
        <w:spacing w:line="360" w:lineRule="auto"/>
        <w:jc w:val="center"/>
        <w:rPr>
          <w:rFonts w:cs="Times New Roman"/>
          <w:sz w:val="18"/>
          <w:szCs w:val="18"/>
        </w:rPr>
      </w:pPr>
    </w:p>
    <w:sectPr>
      <w:pgSz w:w="11906" w:h="16838"/>
      <w:pgMar w:top="1814" w:right="1673" w:bottom="1814" w:left="1673" w:header="851" w:footer="958"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永中宋体">
    <w:altName w:val="宋体"/>
    <w:panose1 w:val="00000000000000000000"/>
    <w:charset w:val="86"/>
    <w:family w:val="auto"/>
    <w:pitch w:val="default"/>
    <w:sig w:usb0="00000000" w:usb1="00000000" w:usb2="00000010" w:usb3="00000000" w:csb0="00040001" w:csb1="00000000"/>
  </w:font>
  <w:font w:name="Yu Mincho Light">
    <w:altName w:val="MS Mincho"/>
    <w:panose1 w:val="00000000000000000000"/>
    <w:charset w:val="80"/>
    <w:family w:val="roman"/>
    <w:pitch w:val="default"/>
    <w:sig w:usb0="00000000" w:usb1="00000000" w:usb2="00000012" w:usb3="00000000" w:csb0="0002009F" w:csb1="0000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Cambria Math">
    <w:panose1 w:val="02040503050406030204"/>
    <w:charset w:val="00"/>
    <w:family w:val="roman"/>
    <w:pitch w:val="default"/>
    <w:sig w:usb0="E00002FF" w:usb1="420024FF" w:usb2="00000000" w:usb3="00000000" w:csb0="2000019F" w:csb1="00000000"/>
  </w:font>
  <w:font w:name="MS Mincho">
    <w:panose1 w:val="020206090402050803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TimesNewRoman">
    <w:altName w:val="Times New Roman"/>
    <w:panose1 w:val="00000000000000000000"/>
    <w:charset w:val="00"/>
    <w:family w:val="roman"/>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36"/>
      </w:rPr>
    </w:pPr>
    <w:r>
      <w:fldChar w:fldCharType="begin"/>
    </w:r>
    <w:r>
      <w:rPr>
        <w:rStyle w:val="36"/>
      </w:rPr>
      <w:instrText xml:space="preserve">PAGE  </w:instrText>
    </w:r>
    <w:r>
      <w:fldChar w:fldCharType="end"/>
    </w:r>
  </w:p>
  <w:p>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t>56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spacing w:line="10" w:lineRule="atLeast"/>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tentative="0">
      <w:start w:val="1"/>
      <w:numFmt w:val="chineseCountingThousand"/>
      <w:pStyle w:val="113"/>
      <w:suff w:val="nothing"/>
      <w:lvlText w:val="第%1章"/>
      <w:lvlJc w:val="left"/>
      <w:rPr>
        <w:rFonts w:hint="eastAsia" w:cs="Arial Unicode MS"/>
      </w:rPr>
    </w:lvl>
    <w:lvl w:ilvl="1" w:tentative="0">
      <w:start w:val="1"/>
      <w:numFmt w:val="none"/>
      <w:suff w:val="nothing"/>
      <w:lvlText w:val=""/>
      <w:lvlJc w:val="left"/>
      <w:rPr>
        <w:rFonts w:hint="eastAsia" w:cs="Arial Unicode MS"/>
      </w:rPr>
    </w:lvl>
    <w:lvl w:ilvl="2" w:tentative="0">
      <w:start w:val="1"/>
      <w:numFmt w:val="none"/>
      <w:suff w:val="nothing"/>
      <w:lvlText w:val=""/>
      <w:lvlJc w:val="left"/>
      <w:rPr>
        <w:rFonts w:hint="eastAsia" w:cs="Arial Unicode MS"/>
      </w:rPr>
    </w:lvl>
    <w:lvl w:ilvl="3" w:tentative="0">
      <w:start w:val="1"/>
      <w:numFmt w:val="none"/>
      <w:suff w:val="nothing"/>
      <w:lvlText w:val=""/>
      <w:lvlJc w:val="left"/>
      <w:rPr>
        <w:rFonts w:hint="eastAsia" w:cs="Arial Unicode MS"/>
      </w:rPr>
    </w:lvl>
    <w:lvl w:ilvl="4" w:tentative="0">
      <w:start w:val="1"/>
      <w:numFmt w:val="none"/>
      <w:suff w:val="nothing"/>
      <w:lvlText w:val=""/>
      <w:lvlJc w:val="left"/>
      <w:rPr>
        <w:rFonts w:hint="eastAsia" w:cs="Arial Unicode MS"/>
      </w:rPr>
    </w:lvl>
    <w:lvl w:ilvl="5" w:tentative="0">
      <w:start w:val="1"/>
      <w:numFmt w:val="none"/>
      <w:suff w:val="nothing"/>
      <w:lvlText w:val=""/>
      <w:lvlJc w:val="left"/>
      <w:rPr>
        <w:rFonts w:hint="eastAsia" w:cs="Arial Unicode MS"/>
      </w:rPr>
    </w:lvl>
    <w:lvl w:ilvl="6" w:tentative="0">
      <w:start w:val="1"/>
      <w:numFmt w:val="none"/>
      <w:suff w:val="nothing"/>
      <w:lvlText w:val=""/>
      <w:lvlJc w:val="left"/>
      <w:rPr>
        <w:rFonts w:hint="eastAsia" w:cs="Arial Unicode MS"/>
      </w:rPr>
    </w:lvl>
    <w:lvl w:ilvl="7" w:tentative="0">
      <w:start w:val="1"/>
      <w:numFmt w:val="none"/>
      <w:suff w:val="nothing"/>
      <w:lvlText w:val=""/>
      <w:lvlJc w:val="left"/>
      <w:rPr>
        <w:rFonts w:hint="eastAsia" w:cs="Arial Unicode MS"/>
      </w:rPr>
    </w:lvl>
    <w:lvl w:ilvl="8" w:tentative="0">
      <w:start w:val="1"/>
      <w:numFmt w:val="none"/>
      <w:suff w:val="nothing"/>
      <w:lvlText w:val=""/>
      <w:lvlJc w:val="left"/>
      <w:rPr>
        <w:rFonts w:hint="eastAsia" w:cs="Arial Unicode MS"/>
      </w:rPr>
    </w:lvl>
  </w:abstractNum>
  <w:abstractNum w:abstractNumId="1">
    <w:nsid w:val="269154A6"/>
    <w:multiLevelType w:val="multilevel"/>
    <w:tmpl w:val="269154A6"/>
    <w:lvl w:ilvl="0" w:tentative="0">
      <w:start w:val="1"/>
      <w:numFmt w:val="decimalEnclosedCircle"/>
      <w:lvlText w:val="%1"/>
      <w:lvlJc w:val="left"/>
      <w:pPr>
        <w:ind w:left="840" w:hanging="360"/>
      </w:pPr>
      <w:rPr>
        <w:rFonts w:hint="default" w:ascii="宋体" w:hAnsi="宋体" w:cs="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59DE1C65"/>
    <w:multiLevelType w:val="singleLevel"/>
    <w:tmpl w:val="59DE1C65"/>
    <w:lvl w:ilvl="0" w:tentative="0">
      <w:start w:val="1"/>
      <w:numFmt w:val="decimal"/>
      <w:suff w:val="nothing"/>
      <w:lvlText w:val="（%1）"/>
      <w:lvlJc w:val="left"/>
    </w:lvl>
  </w:abstractNum>
  <w:abstractNum w:abstractNumId="3">
    <w:nsid w:val="6896167B"/>
    <w:multiLevelType w:val="multilevel"/>
    <w:tmpl w:val="6896167B"/>
    <w:lvl w:ilvl="0" w:tentative="0">
      <w:start w:val="1"/>
      <w:numFmt w:val="decimalEnclosedCircle"/>
      <w:lvlText w:val="%1"/>
      <w:lvlJc w:val="left"/>
      <w:pPr>
        <w:ind w:left="840" w:hanging="360"/>
      </w:pPr>
      <w:rPr>
        <w:rFonts w:hint="default" w:ascii="宋体" w:hAnsi="宋体" w:cs="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77194F42"/>
    <w:multiLevelType w:val="multilevel"/>
    <w:tmpl w:val="77194F42"/>
    <w:lvl w:ilvl="0" w:tentative="0">
      <w:start w:val="1"/>
      <w:numFmt w:val="decimalEnclosedCircle"/>
      <w:lvlText w:val="%1"/>
      <w:lvlJc w:val="left"/>
      <w:pPr>
        <w:ind w:left="928" w:hanging="360"/>
      </w:pPr>
      <w:rPr>
        <w:rFonts w:hint="default" w:ascii="宋体" w:hAnsi="宋体" w:cs="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8"/>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56"/>
    <w:rsid w:val="00000D40"/>
    <w:rsid w:val="000010A8"/>
    <w:rsid w:val="00001193"/>
    <w:rsid w:val="000012FD"/>
    <w:rsid w:val="0000189A"/>
    <w:rsid w:val="00001E9D"/>
    <w:rsid w:val="000022EF"/>
    <w:rsid w:val="000025BD"/>
    <w:rsid w:val="0000296D"/>
    <w:rsid w:val="000029A8"/>
    <w:rsid w:val="00003436"/>
    <w:rsid w:val="00003A3C"/>
    <w:rsid w:val="000054F4"/>
    <w:rsid w:val="0000551C"/>
    <w:rsid w:val="000057EA"/>
    <w:rsid w:val="00005934"/>
    <w:rsid w:val="00006269"/>
    <w:rsid w:val="000063E0"/>
    <w:rsid w:val="000065A1"/>
    <w:rsid w:val="00006E9C"/>
    <w:rsid w:val="00007032"/>
    <w:rsid w:val="000070F9"/>
    <w:rsid w:val="00007190"/>
    <w:rsid w:val="000073D1"/>
    <w:rsid w:val="00007494"/>
    <w:rsid w:val="000079B0"/>
    <w:rsid w:val="00007CDA"/>
    <w:rsid w:val="00007F0C"/>
    <w:rsid w:val="00010585"/>
    <w:rsid w:val="00010C66"/>
    <w:rsid w:val="00010FC8"/>
    <w:rsid w:val="00011901"/>
    <w:rsid w:val="00011B36"/>
    <w:rsid w:val="0001204D"/>
    <w:rsid w:val="000120C1"/>
    <w:rsid w:val="00012138"/>
    <w:rsid w:val="00012178"/>
    <w:rsid w:val="000125B0"/>
    <w:rsid w:val="000125ED"/>
    <w:rsid w:val="000126EC"/>
    <w:rsid w:val="0001335D"/>
    <w:rsid w:val="0001336C"/>
    <w:rsid w:val="000136C1"/>
    <w:rsid w:val="000138C3"/>
    <w:rsid w:val="00013927"/>
    <w:rsid w:val="00013A7B"/>
    <w:rsid w:val="00014321"/>
    <w:rsid w:val="00014A56"/>
    <w:rsid w:val="00014A9B"/>
    <w:rsid w:val="00014BFC"/>
    <w:rsid w:val="00014FC2"/>
    <w:rsid w:val="00016586"/>
    <w:rsid w:val="00016D12"/>
    <w:rsid w:val="00016DF0"/>
    <w:rsid w:val="00016EB1"/>
    <w:rsid w:val="00017EE2"/>
    <w:rsid w:val="00020D17"/>
    <w:rsid w:val="00021340"/>
    <w:rsid w:val="000215AF"/>
    <w:rsid w:val="00021703"/>
    <w:rsid w:val="00021E28"/>
    <w:rsid w:val="00021F9C"/>
    <w:rsid w:val="00021FE5"/>
    <w:rsid w:val="0002275F"/>
    <w:rsid w:val="000227C3"/>
    <w:rsid w:val="0002292E"/>
    <w:rsid w:val="00023921"/>
    <w:rsid w:val="0002397E"/>
    <w:rsid w:val="000239E2"/>
    <w:rsid w:val="00023BAA"/>
    <w:rsid w:val="00023CF3"/>
    <w:rsid w:val="000240D2"/>
    <w:rsid w:val="000245DF"/>
    <w:rsid w:val="00024C1E"/>
    <w:rsid w:val="00025464"/>
    <w:rsid w:val="00025615"/>
    <w:rsid w:val="000258A3"/>
    <w:rsid w:val="00025D22"/>
    <w:rsid w:val="000260DA"/>
    <w:rsid w:val="000262FE"/>
    <w:rsid w:val="00026319"/>
    <w:rsid w:val="00026BEE"/>
    <w:rsid w:val="00026E15"/>
    <w:rsid w:val="00026E59"/>
    <w:rsid w:val="00027DCF"/>
    <w:rsid w:val="00030169"/>
    <w:rsid w:val="000306C9"/>
    <w:rsid w:val="00030A9E"/>
    <w:rsid w:val="00030B2B"/>
    <w:rsid w:val="00030F12"/>
    <w:rsid w:val="000310B7"/>
    <w:rsid w:val="000313D4"/>
    <w:rsid w:val="00031B76"/>
    <w:rsid w:val="00031DBA"/>
    <w:rsid w:val="000320CC"/>
    <w:rsid w:val="000323D6"/>
    <w:rsid w:val="0003267C"/>
    <w:rsid w:val="00032860"/>
    <w:rsid w:val="00033331"/>
    <w:rsid w:val="000333A9"/>
    <w:rsid w:val="00033626"/>
    <w:rsid w:val="000336D0"/>
    <w:rsid w:val="00033B67"/>
    <w:rsid w:val="00033BCA"/>
    <w:rsid w:val="00033E0D"/>
    <w:rsid w:val="00033F58"/>
    <w:rsid w:val="000349B8"/>
    <w:rsid w:val="00034AA5"/>
    <w:rsid w:val="00035670"/>
    <w:rsid w:val="00036504"/>
    <w:rsid w:val="00036505"/>
    <w:rsid w:val="00036BCE"/>
    <w:rsid w:val="00036E89"/>
    <w:rsid w:val="00036FB2"/>
    <w:rsid w:val="0003718B"/>
    <w:rsid w:val="00037291"/>
    <w:rsid w:val="00040AE1"/>
    <w:rsid w:val="00040FD0"/>
    <w:rsid w:val="000412E7"/>
    <w:rsid w:val="00041336"/>
    <w:rsid w:val="00041827"/>
    <w:rsid w:val="000418B1"/>
    <w:rsid w:val="00041AEC"/>
    <w:rsid w:val="00041CA5"/>
    <w:rsid w:val="00041FF7"/>
    <w:rsid w:val="000420AF"/>
    <w:rsid w:val="000422E7"/>
    <w:rsid w:val="00042390"/>
    <w:rsid w:val="00042AF8"/>
    <w:rsid w:val="0004375E"/>
    <w:rsid w:val="000438AF"/>
    <w:rsid w:val="00043E3D"/>
    <w:rsid w:val="0004410B"/>
    <w:rsid w:val="000443EF"/>
    <w:rsid w:val="00044DB1"/>
    <w:rsid w:val="00044EEA"/>
    <w:rsid w:val="00045292"/>
    <w:rsid w:val="00045817"/>
    <w:rsid w:val="000459B9"/>
    <w:rsid w:val="000474C0"/>
    <w:rsid w:val="0004750B"/>
    <w:rsid w:val="00047AA6"/>
    <w:rsid w:val="000501DB"/>
    <w:rsid w:val="00050297"/>
    <w:rsid w:val="00050870"/>
    <w:rsid w:val="000508BE"/>
    <w:rsid w:val="000509A4"/>
    <w:rsid w:val="00051537"/>
    <w:rsid w:val="00051FC8"/>
    <w:rsid w:val="000522B4"/>
    <w:rsid w:val="00052B9B"/>
    <w:rsid w:val="00052BB2"/>
    <w:rsid w:val="00052F67"/>
    <w:rsid w:val="00054309"/>
    <w:rsid w:val="00054473"/>
    <w:rsid w:val="00054C3F"/>
    <w:rsid w:val="00055298"/>
    <w:rsid w:val="0005534F"/>
    <w:rsid w:val="00055858"/>
    <w:rsid w:val="000559DD"/>
    <w:rsid w:val="00055C1B"/>
    <w:rsid w:val="00055E59"/>
    <w:rsid w:val="00056314"/>
    <w:rsid w:val="00056B48"/>
    <w:rsid w:val="00060041"/>
    <w:rsid w:val="00060430"/>
    <w:rsid w:val="000606AE"/>
    <w:rsid w:val="00060E8A"/>
    <w:rsid w:val="00060F6A"/>
    <w:rsid w:val="00061013"/>
    <w:rsid w:val="0006110E"/>
    <w:rsid w:val="00061151"/>
    <w:rsid w:val="00061D18"/>
    <w:rsid w:val="0006234F"/>
    <w:rsid w:val="0006266E"/>
    <w:rsid w:val="00062C54"/>
    <w:rsid w:val="000633B7"/>
    <w:rsid w:val="000635DD"/>
    <w:rsid w:val="00063740"/>
    <w:rsid w:val="000637F0"/>
    <w:rsid w:val="00063D80"/>
    <w:rsid w:val="00064151"/>
    <w:rsid w:val="00064444"/>
    <w:rsid w:val="000649D1"/>
    <w:rsid w:val="00064C51"/>
    <w:rsid w:val="00064F2D"/>
    <w:rsid w:val="00065790"/>
    <w:rsid w:val="00065799"/>
    <w:rsid w:val="00065855"/>
    <w:rsid w:val="0006587F"/>
    <w:rsid w:val="00065B3F"/>
    <w:rsid w:val="00065BC8"/>
    <w:rsid w:val="000661AD"/>
    <w:rsid w:val="000663B5"/>
    <w:rsid w:val="000664EE"/>
    <w:rsid w:val="000666C1"/>
    <w:rsid w:val="00066B8B"/>
    <w:rsid w:val="00066DE6"/>
    <w:rsid w:val="00067299"/>
    <w:rsid w:val="00067AA0"/>
    <w:rsid w:val="00067E14"/>
    <w:rsid w:val="0007013D"/>
    <w:rsid w:val="000701A3"/>
    <w:rsid w:val="000705BF"/>
    <w:rsid w:val="0007071C"/>
    <w:rsid w:val="000707FC"/>
    <w:rsid w:val="000708AB"/>
    <w:rsid w:val="0007097E"/>
    <w:rsid w:val="0007177C"/>
    <w:rsid w:val="00071B04"/>
    <w:rsid w:val="00071DE0"/>
    <w:rsid w:val="00071E6A"/>
    <w:rsid w:val="000720A9"/>
    <w:rsid w:val="000725C5"/>
    <w:rsid w:val="00072D53"/>
    <w:rsid w:val="00073276"/>
    <w:rsid w:val="00073EF6"/>
    <w:rsid w:val="0007465A"/>
    <w:rsid w:val="00075117"/>
    <w:rsid w:val="00075227"/>
    <w:rsid w:val="000758FD"/>
    <w:rsid w:val="00075F39"/>
    <w:rsid w:val="000764C1"/>
    <w:rsid w:val="000764E5"/>
    <w:rsid w:val="00076647"/>
    <w:rsid w:val="000770A3"/>
    <w:rsid w:val="0007722C"/>
    <w:rsid w:val="00077E30"/>
    <w:rsid w:val="0008176D"/>
    <w:rsid w:val="000819EE"/>
    <w:rsid w:val="00081D15"/>
    <w:rsid w:val="000824C9"/>
    <w:rsid w:val="00082532"/>
    <w:rsid w:val="0008278E"/>
    <w:rsid w:val="00082CB1"/>
    <w:rsid w:val="000835EC"/>
    <w:rsid w:val="000837FD"/>
    <w:rsid w:val="0008385F"/>
    <w:rsid w:val="00083C27"/>
    <w:rsid w:val="00083E71"/>
    <w:rsid w:val="000843C5"/>
    <w:rsid w:val="00084712"/>
    <w:rsid w:val="0008476A"/>
    <w:rsid w:val="0008496E"/>
    <w:rsid w:val="00084B1E"/>
    <w:rsid w:val="00084E7A"/>
    <w:rsid w:val="00084EAF"/>
    <w:rsid w:val="00085E25"/>
    <w:rsid w:val="000862F0"/>
    <w:rsid w:val="00086620"/>
    <w:rsid w:val="0008670A"/>
    <w:rsid w:val="0008687B"/>
    <w:rsid w:val="0008687D"/>
    <w:rsid w:val="000868EB"/>
    <w:rsid w:val="0008691A"/>
    <w:rsid w:val="00087299"/>
    <w:rsid w:val="000875F4"/>
    <w:rsid w:val="0008789E"/>
    <w:rsid w:val="00087A9D"/>
    <w:rsid w:val="00087C70"/>
    <w:rsid w:val="00087D8B"/>
    <w:rsid w:val="0009037D"/>
    <w:rsid w:val="00090806"/>
    <w:rsid w:val="00090AB6"/>
    <w:rsid w:val="00090AC0"/>
    <w:rsid w:val="00090CEC"/>
    <w:rsid w:val="00090E84"/>
    <w:rsid w:val="00091138"/>
    <w:rsid w:val="00091B13"/>
    <w:rsid w:val="00091D1A"/>
    <w:rsid w:val="000920D4"/>
    <w:rsid w:val="0009223D"/>
    <w:rsid w:val="0009243D"/>
    <w:rsid w:val="00092A63"/>
    <w:rsid w:val="00092E55"/>
    <w:rsid w:val="00093474"/>
    <w:rsid w:val="00095282"/>
    <w:rsid w:val="00095D76"/>
    <w:rsid w:val="00095FD4"/>
    <w:rsid w:val="00096381"/>
    <w:rsid w:val="0009647D"/>
    <w:rsid w:val="0009718D"/>
    <w:rsid w:val="000971D5"/>
    <w:rsid w:val="00097CD2"/>
    <w:rsid w:val="00097DE9"/>
    <w:rsid w:val="00097E13"/>
    <w:rsid w:val="00097F25"/>
    <w:rsid w:val="000A0426"/>
    <w:rsid w:val="000A0759"/>
    <w:rsid w:val="000A0C25"/>
    <w:rsid w:val="000A0E49"/>
    <w:rsid w:val="000A0F99"/>
    <w:rsid w:val="000A1493"/>
    <w:rsid w:val="000A17F1"/>
    <w:rsid w:val="000A1ECB"/>
    <w:rsid w:val="000A22E7"/>
    <w:rsid w:val="000A2307"/>
    <w:rsid w:val="000A24A9"/>
    <w:rsid w:val="000A25D3"/>
    <w:rsid w:val="000A2A44"/>
    <w:rsid w:val="000A2A59"/>
    <w:rsid w:val="000A2B13"/>
    <w:rsid w:val="000A3CC6"/>
    <w:rsid w:val="000A3D3A"/>
    <w:rsid w:val="000A3E25"/>
    <w:rsid w:val="000A3EA6"/>
    <w:rsid w:val="000A418C"/>
    <w:rsid w:val="000A4214"/>
    <w:rsid w:val="000A4A63"/>
    <w:rsid w:val="000A4AEA"/>
    <w:rsid w:val="000A5036"/>
    <w:rsid w:val="000A513D"/>
    <w:rsid w:val="000A61F6"/>
    <w:rsid w:val="000A6414"/>
    <w:rsid w:val="000A697E"/>
    <w:rsid w:val="000A6BC5"/>
    <w:rsid w:val="000A6F4B"/>
    <w:rsid w:val="000A71D5"/>
    <w:rsid w:val="000A7779"/>
    <w:rsid w:val="000A7977"/>
    <w:rsid w:val="000B044E"/>
    <w:rsid w:val="000B0B21"/>
    <w:rsid w:val="000B0E67"/>
    <w:rsid w:val="000B10EA"/>
    <w:rsid w:val="000B1E1B"/>
    <w:rsid w:val="000B22CE"/>
    <w:rsid w:val="000B2639"/>
    <w:rsid w:val="000B291E"/>
    <w:rsid w:val="000B2C00"/>
    <w:rsid w:val="000B2D06"/>
    <w:rsid w:val="000B36E6"/>
    <w:rsid w:val="000B3D32"/>
    <w:rsid w:val="000B43D0"/>
    <w:rsid w:val="000B4C8D"/>
    <w:rsid w:val="000B53DF"/>
    <w:rsid w:val="000B54FD"/>
    <w:rsid w:val="000B57D3"/>
    <w:rsid w:val="000B5A2F"/>
    <w:rsid w:val="000B60FF"/>
    <w:rsid w:val="000B6691"/>
    <w:rsid w:val="000B6816"/>
    <w:rsid w:val="000B68DF"/>
    <w:rsid w:val="000B6DB8"/>
    <w:rsid w:val="000B6FE9"/>
    <w:rsid w:val="000B780A"/>
    <w:rsid w:val="000B7B6D"/>
    <w:rsid w:val="000B7BAD"/>
    <w:rsid w:val="000B7ED9"/>
    <w:rsid w:val="000C01F8"/>
    <w:rsid w:val="000C034E"/>
    <w:rsid w:val="000C090C"/>
    <w:rsid w:val="000C0D64"/>
    <w:rsid w:val="000C1047"/>
    <w:rsid w:val="000C12D8"/>
    <w:rsid w:val="000C1776"/>
    <w:rsid w:val="000C22A6"/>
    <w:rsid w:val="000C25C2"/>
    <w:rsid w:val="000C2858"/>
    <w:rsid w:val="000C2CCC"/>
    <w:rsid w:val="000C2D86"/>
    <w:rsid w:val="000C34EF"/>
    <w:rsid w:val="000C35BA"/>
    <w:rsid w:val="000C3621"/>
    <w:rsid w:val="000C3C2A"/>
    <w:rsid w:val="000C3CC8"/>
    <w:rsid w:val="000C3E14"/>
    <w:rsid w:val="000C4EBF"/>
    <w:rsid w:val="000C5692"/>
    <w:rsid w:val="000C63E7"/>
    <w:rsid w:val="000C67D1"/>
    <w:rsid w:val="000C6A99"/>
    <w:rsid w:val="000C7A8F"/>
    <w:rsid w:val="000C7CD4"/>
    <w:rsid w:val="000D0228"/>
    <w:rsid w:val="000D065C"/>
    <w:rsid w:val="000D1677"/>
    <w:rsid w:val="000D2033"/>
    <w:rsid w:val="000D2036"/>
    <w:rsid w:val="000D2287"/>
    <w:rsid w:val="000D2993"/>
    <w:rsid w:val="000D2A5C"/>
    <w:rsid w:val="000D2B51"/>
    <w:rsid w:val="000D2C00"/>
    <w:rsid w:val="000D36A8"/>
    <w:rsid w:val="000D3898"/>
    <w:rsid w:val="000D3B49"/>
    <w:rsid w:val="000D40A6"/>
    <w:rsid w:val="000D4638"/>
    <w:rsid w:val="000D479F"/>
    <w:rsid w:val="000D52E5"/>
    <w:rsid w:val="000D56DA"/>
    <w:rsid w:val="000D5BFA"/>
    <w:rsid w:val="000D6262"/>
    <w:rsid w:val="000D6425"/>
    <w:rsid w:val="000D64A0"/>
    <w:rsid w:val="000D66A0"/>
    <w:rsid w:val="000D68E3"/>
    <w:rsid w:val="000D6B0B"/>
    <w:rsid w:val="000D7150"/>
    <w:rsid w:val="000D7539"/>
    <w:rsid w:val="000D79FF"/>
    <w:rsid w:val="000E0114"/>
    <w:rsid w:val="000E04A0"/>
    <w:rsid w:val="000E0502"/>
    <w:rsid w:val="000E062B"/>
    <w:rsid w:val="000E0AED"/>
    <w:rsid w:val="000E0CB7"/>
    <w:rsid w:val="000E0DC9"/>
    <w:rsid w:val="000E1195"/>
    <w:rsid w:val="000E13FF"/>
    <w:rsid w:val="000E14B0"/>
    <w:rsid w:val="000E19A7"/>
    <w:rsid w:val="000E19FB"/>
    <w:rsid w:val="000E292B"/>
    <w:rsid w:val="000E2A6B"/>
    <w:rsid w:val="000E3396"/>
    <w:rsid w:val="000E3846"/>
    <w:rsid w:val="000E3DB0"/>
    <w:rsid w:val="000E3FA9"/>
    <w:rsid w:val="000E4231"/>
    <w:rsid w:val="000E4254"/>
    <w:rsid w:val="000E501F"/>
    <w:rsid w:val="000E52D0"/>
    <w:rsid w:val="000E5404"/>
    <w:rsid w:val="000E5722"/>
    <w:rsid w:val="000E5E44"/>
    <w:rsid w:val="000E612B"/>
    <w:rsid w:val="000E6172"/>
    <w:rsid w:val="000E68C1"/>
    <w:rsid w:val="000E69DC"/>
    <w:rsid w:val="000E6C50"/>
    <w:rsid w:val="000E7187"/>
    <w:rsid w:val="000E728D"/>
    <w:rsid w:val="000E75A6"/>
    <w:rsid w:val="000E7713"/>
    <w:rsid w:val="000E77AF"/>
    <w:rsid w:val="000E7C4E"/>
    <w:rsid w:val="000E7FAF"/>
    <w:rsid w:val="000F08C1"/>
    <w:rsid w:val="000F0DDC"/>
    <w:rsid w:val="000F1340"/>
    <w:rsid w:val="000F196F"/>
    <w:rsid w:val="000F1AC7"/>
    <w:rsid w:val="000F2340"/>
    <w:rsid w:val="000F2AD1"/>
    <w:rsid w:val="000F2C94"/>
    <w:rsid w:val="000F2E98"/>
    <w:rsid w:val="000F3582"/>
    <w:rsid w:val="000F37E5"/>
    <w:rsid w:val="000F4182"/>
    <w:rsid w:val="000F4BE6"/>
    <w:rsid w:val="000F4E36"/>
    <w:rsid w:val="000F50A2"/>
    <w:rsid w:val="000F5514"/>
    <w:rsid w:val="000F5A69"/>
    <w:rsid w:val="000F5F31"/>
    <w:rsid w:val="000F6C01"/>
    <w:rsid w:val="000F6EC7"/>
    <w:rsid w:val="000F7E07"/>
    <w:rsid w:val="00100561"/>
    <w:rsid w:val="00100577"/>
    <w:rsid w:val="0010094B"/>
    <w:rsid w:val="00100994"/>
    <w:rsid w:val="00101243"/>
    <w:rsid w:val="001014DF"/>
    <w:rsid w:val="00101773"/>
    <w:rsid w:val="00101875"/>
    <w:rsid w:val="00101A31"/>
    <w:rsid w:val="00101F76"/>
    <w:rsid w:val="00102149"/>
    <w:rsid w:val="001021C1"/>
    <w:rsid w:val="001022A9"/>
    <w:rsid w:val="00103620"/>
    <w:rsid w:val="001036AB"/>
    <w:rsid w:val="001038F9"/>
    <w:rsid w:val="00103FB7"/>
    <w:rsid w:val="001043AF"/>
    <w:rsid w:val="001043D6"/>
    <w:rsid w:val="001051A9"/>
    <w:rsid w:val="00105328"/>
    <w:rsid w:val="00105530"/>
    <w:rsid w:val="0010560D"/>
    <w:rsid w:val="001059D8"/>
    <w:rsid w:val="00105AA9"/>
    <w:rsid w:val="001060DB"/>
    <w:rsid w:val="0010620B"/>
    <w:rsid w:val="001067AF"/>
    <w:rsid w:val="00106BCB"/>
    <w:rsid w:val="00106FA2"/>
    <w:rsid w:val="00107193"/>
    <w:rsid w:val="00107276"/>
    <w:rsid w:val="00107455"/>
    <w:rsid w:val="00107F71"/>
    <w:rsid w:val="00107FD3"/>
    <w:rsid w:val="00110271"/>
    <w:rsid w:val="00110749"/>
    <w:rsid w:val="00110804"/>
    <w:rsid w:val="0011083C"/>
    <w:rsid w:val="00110B61"/>
    <w:rsid w:val="00110CD8"/>
    <w:rsid w:val="00110D4A"/>
    <w:rsid w:val="00110D81"/>
    <w:rsid w:val="00111CBC"/>
    <w:rsid w:val="00111F3B"/>
    <w:rsid w:val="00112857"/>
    <w:rsid w:val="001128A6"/>
    <w:rsid w:val="00112F42"/>
    <w:rsid w:val="0011303E"/>
    <w:rsid w:val="001139A6"/>
    <w:rsid w:val="00113CB1"/>
    <w:rsid w:val="00113EA9"/>
    <w:rsid w:val="0011463F"/>
    <w:rsid w:val="001146D5"/>
    <w:rsid w:val="00114B25"/>
    <w:rsid w:val="00115DBC"/>
    <w:rsid w:val="00115E9D"/>
    <w:rsid w:val="00117B5F"/>
    <w:rsid w:val="00117F6E"/>
    <w:rsid w:val="0012017F"/>
    <w:rsid w:val="00120629"/>
    <w:rsid w:val="0012095F"/>
    <w:rsid w:val="00120FC0"/>
    <w:rsid w:val="00121025"/>
    <w:rsid w:val="0012177A"/>
    <w:rsid w:val="001217FC"/>
    <w:rsid w:val="00121A0E"/>
    <w:rsid w:val="00121C8A"/>
    <w:rsid w:val="001225CE"/>
    <w:rsid w:val="001227C1"/>
    <w:rsid w:val="00122FD1"/>
    <w:rsid w:val="001246A0"/>
    <w:rsid w:val="001252E2"/>
    <w:rsid w:val="001253BA"/>
    <w:rsid w:val="00125781"/>
    <w:rsid w:val="00125B86"/>
    <w:rsid w:val="00125E7B"/>
    <w:rsid w:val="001266C6"/>
    <w:rsid w:val="00127015"/>
    <w:rsid w:val="001272BD"/>
    <w:rsid w:val="00127629"/>
    <w:rsid w:val="0013000F"/>
    <w:rsid w:val="00130521"/>
    <w:rsid w:val="0013052B"/>
    <w:rsid w:val="001306A8"/>
    <w:rsid w:val="001307C9"/>
    <w:rsid w:val="00130B1A"/>
    <w:rsid w:val="00130D2D"/>
    <w:rsid w:val="001311D3"/>
    <w:rsid w:val="001319B6"/>
    <w:rsid w:val="001321BE"/>
    <w:rsid w:val="001321CE"/>
    <w:rsid w:val="0013222C"/>
    <w:rsid w:val="00132679"/>
    <w:rsid w:val="0013331E"/>
    <w:rsid w:val="0013334C"/>
    <w:rsid w:val="00133433"/>
    <w:rsid w:val="001336F3"/>
    <w:rsid w:val="00134EF4"/>
    <w:rsid w:val="00134F81"/>
    <w:rsid w:val="001351F8"/>
    <w:rsid w:val="001358F1"/>
    <w:rsid w:val="00135D76"/>
    <w:rsid w:val="00136062"/>
    <w:rsid w:val="00136568"/>
    <w:rsid w:val="00137E05"/>
    <w:rsid w:val="00137E88"/>
    <w:rsid w:val="00137EF8"/>
    <w:rsid w:val="0014007A"/>
    <w:rsid w:val="00140815"/>
    <w:rsid w:val="00140B2A"/>
    <w:rsid w:val="00141D36"/>
    <w:rsid w:val="00141D90"/>
    <w:rsid w:val="00142046"/>
    <w:rsid w:val="001426A2"/>
    <w:rsid w:val="00142CD9"/>
    <w:rsid w:val="00142EFF"/>
    <w:rsid w:val="001431EF"/>
    <w:rsid w:val="001431F5"/>
    <w:rsid w:val="00143279"/>
    <w:rsid w:val="00144051"/>
    <w:rsid w:val="001440CE"/>
    <w:rsid w:val="00144ADA"/>
    <w:rsid w:val="00144F91"/>
    <w:rsid w:val="0014590E"/>
    <w:rsid w:val="00145F94"/>
    <w:rsid w:val="00146020"/>
    <w:rsid w:val="0014683B"/>
    <w:rsid w:val="00146AE9"/>
    <w:rsid w:val="0014710A"/>
    <w:rsid w:val="001471D9"/>
    <w:rsid w:val="001475F9"/>
    <w:rsid w:val="001476E5"/>
    <w:rsid w:val="0014771C"/>
    <w:rsid w:val="00147F4C"/>
    <w:rsid w:val="00150069"/>
    <w:rsid w:val="00150246"/>
    <w:rsid w:val="00150426"/>
    <w:rsid w:val="0015054D"/>
    <w:rsid w:val="00150838"/>
    <w:rsid w:val="00150E87"/>
    <w:rsid w:val="001510A4"/>
    <w:rsid w:val="00151211"/>
    <w:rsid w:val="001514D4"/>
    <w:rsid w:val="00151517"/>
    <w:rsid w:val="00151EF8"/>
    <w:rsid w:val="00152829"/>
    <w:rsid w:val="00152B61"/>
    <w:rsid w:val="00152E60"/>
    <w:rsid w:val="00153423"/>
    <w:rsid w:val="001539E8"/>
    <w:rsid w:val="00153B3E"/>
    <w:rsid w:val="00153C9E"/>
    <w:rsid w:val="00154262"/>
    <w:rsid w:val="00154544"/>
    <w:rsid w:val="00154BFB"/>
    <w:rsid w:val="00154D7F"/>
    <w:rsid w:val="001551AB"/>
    <w:rsid w:val="00155214"/>
    <w:rsid w:val="00155A3B"/>
    <w:rsid w:val="001560DF"/>
    <w:rsid w:val="00156454"/>
    <w:rsid w:val="00156C48"/>
    <w:rsid w:val="00156C8C"/>
    <w:rsid w:val="001570F6"/>
    <w:rsid w:val="00157339"/>
    <w:rsid w:val="0015746A"/>
    <w:rsid w:val="0015779A"/>
    <w:rsid w:val="00160000"/>
    <w:rsid w:val="00160723"/>
    <w:rsid w:val="0016080B"/>
    <w:rsid w:val="00160A62"/>
    <w:rsid w:val="00160B42"/>
    <w:rsid w:val="00160C19"/>
    <w:rsid w:val="00160C9A"/>
    <w:rsid w:val="0016117E"/>
    <w:rsid w:val="0016176A"/>
    <w:rsid w:val="001619A0"/>
    <w:rsid w:val="001619EA"/>
    <w:rsid w:val="00161CBD"/>
    <w:rsid w:val="001628C3"/>
    <w:rsid w:val="00162A6C"/>
    <w:rsid w:val="00163050"/>
    <w:rsid w:val="00163251"/>
    <w:rsid w:val="00163684"/>
    <w:rsid w:val="0016404C"/>
    <w:rsid w:val="001643F1"/>
    <w:rsid w:val="00164C02"/>
    <w:rsid w:val="00164F2F"/>
    <w:rsid w:val="00165182"/>
    <w:rsid w:val="001653AD"/>
    <w:rsid w:val="00165D55"/>
    <w:rsid w:val="001662A0"/>
    <w:rsid w:val="0016650D"/>
    <w:rsid w:val="001666E1"/>
    <w:rsid w:val="00166D97"/>
    <w:rsid w:val="00167514"/>
    <w:rsid w:val="00167EF5"/>
    <w:rsid w:val="001700A2"/>
    <w:rsid w:val="001700CC"/>
    <w:rsid w:val="001700DF"/>
    <w:rsid w:val="00170525"/>
    <w:rsid w:val="0017062F"/>
    <w:rsid w:val="0017066F"/>
    <w:rsid w:val="00170AE9"/>
    <w:rsid w:val="0017116B"/>
    <w:rsid w:val="00171805"/>
    <w:rsid w:val="00171B7F"/>
    <w:rsid w:val="00172126"/>
    <w:rsid w:val="001725E0"/>
    <w:rsid w:val="001726D2"/>
    <w:rsid w:val="00172A27"/>
    <w:rsid w:val="00172B3A"/>
    <w:rsid w:val="00173607"/>
    <w:rsid w:val="00173C22"/>
    <w:rsid w:val="001744B5"/>
    <w:rsid w:val="00174816"/>
    <w:rsid w:val="0017559F"/>
    <w:rsid w:val="00175611"/>
    <w:rsid w:val="0017643F"/>
    <w:rsid w:val="001765B9"/>
    <w:rsid w:val="00176642"/>
    <w:rsid w:val="001768E3"/>
    <w:rsid w:val="00176B70"/>
    <w:rsid w:val="00176EB4"/>
    <w:rsid w:val="00176FA0"/>
    <w:rsid w:val="0017712F"/>
    <w:rsid w:val="00177224"/>
    <w:rsid w:val="001772DF"/>
    <w:rsid w:val="0017735D"/>
    <w:rsid w:val="001774BF"/>
    <w:rsid w:val="00177B0A"/>
    <w:rsid w:val="00177BCF"/>
    <w:rsid w:val="00177D37"/>
    <w:rsid w:val="001806B0"/>
    <w:rsid w:val="00180EBD"/>
    <w:rsid w:val="0018198E"/>
    <w:rsid w:val="00181BD4"/>
    <w:rsid w:val="001826E4"/>
    <w:rsid w:val="00182EA1"/>
    <w:rsid w:val="00182F13"/>
    <w:rsid w:val="00183056"/>
    <w:rsid w:val="0018306D"/>
    <w:rsid w:val="00183332"/>
    <w:rsid w:val="00184434"/>
    <w:rsid w:val="001849E9"/>
    <w:rsid w:val="00185373"/>
    <w:rsid w:val="00185792"/>
    <w:rsid w:val="00185FDA"/>
    <w:rsid w:val="00186471"/>
    <w:rsid w:val="00186636"/>
    <w:rsid w:val="001867FC"/>
    <w:rsid w:val="001868C3"/>
    <w:rsid w:val="00186939"/>
    <w:rsid w:val="001876A8"/>
    <w:rsid w:val="00190936"/>
    <w:rsid w:val="00190E17"/>
    <w:rsid w:val="001914B2"/>
    <w:rsid w:val="00192411"/>
    <w:rsid w:val="001926DD"/>
    <w:rsid w:val="00192DD6"/>
    <w:rsid w:val="001930E5"/>
    <w:rsid w:val="00193499"/>
    <w:rsid w:val="001936DF"/>
    <w:rsid w:val="001941E3"/>
    <w:rsid w:val="0019432F"/>
    <w:rsid w:val="001949DD"/>
    <w:rsid w:val="00194B41"/>
    <w:rsid w:val="00194D7A"/>
    <w:rsid w:val="0019577A"/>
    <w:rsid w:val="001958A5"/>
    <w:rsid w:val="00195DCE"/>
    <w:rsid w:val="00196406"/>
    <w:rsid w:val="00196934"/>
    <w:rsid w:val="001969AC"/>
    <w:rsid w:val="00197044"/>
    <w:rsid w:val="00197444"/>
    <w:rsid w:val="001978D8"/>
    <w:rsid w:val="00197DB0"/>
    <w:rsid w:val="00197ED5"/>
    <w:rsid w:val="001A029F"/>
    <w:rsid w:val="001A281E"/>
    <w:rsid w:val="001A2C52"/>
    <w:rsid w:val="001A3586"/>
    <w:rsid w:val="001A37F7"/>
    <w:rsid w:val="001A3996"/>
    <w:rsid w:val="001A3D63"/>
    <w:rsid w:val="001A3FA1"/>
    <w:rsid w:val="001A401D"/>
    <w:rsid w:val="001A465E"/>
    <w:rsid w:val="001A492B"/>
    <w:rsid w:val="001A4B83"/>
    <w:rsid w:val="001A4E6C"/>
    <w:rsid w:val="001A54BC"/>
    <w:rsid w:val="001A5507"/>
    <w:rsid w:val="001A5A3E"/>
    <w:rsid w:val="001A5CE1"/>
    <w:rsid w:val="001A5F36"/>
    <w:rsid w:val="001A5F65"/>
    <w:rsid w:val="001A5FC9"/>
    <w:rsid w:val="001A6570"/>
    <w:rsid w:val="001A6A07"/>
    <w:rsid w:val="001A6FB5"/>
    <w:rsid w:val="001B0053"/>
    <w:rsid w:val="001B057E"/>
    <w:rsid w:val="001B062C"/>
    <w:rsid w:val="001B091B"/>
    <w:rsid w:val="001B1464"/>
    <w:rsid w:val="001B210F"/>
    <w:rsid w:val="001B26AE"/>
    <w:rsid w:val="001B3516"/>
    <w:rsid w:val="001B3584"/>
    <w:rsid w:val="001B3999"/>
    <w:rsid w:val="001B3A27"/>
    <w:rsid w:val="001B3B45"/>
    <w:rsid w:val="001B3DFA"/>
    <w:rsid w:val="001B4213"/>
    <w:rsid w:val="001B46B7"/>
    <w:rsid w:val="001B48F2"/>
    <w:rsid w:val="001B4942"/>
    <w:rsid w:val="001B4AED"/>
    <w:rsid w:val="001B5316"/>
    <w:rsid w:val="001B5516"/>
    <w:rsid w:val="001B5A8E"/>
    <w:rsid w:val="001B5FE7"/>
    <w:rsid w:val="001B6829"/>
    <w:rsid w:val="001B7368"/>
    <w:rsid w:val="001C00F8"/>
    <w:rsid w:val="001C03EA"/>
    <w:rsid w:val="001C058B"/>
    <w:rsid w:val="001C074D"/>
    <w:rsid w:val="001C0785"/>
    <w:rsid w:val="001C07E0"/>
    <w:rsid w:val="001C13A9"/>
    <w:rsid w:val="001C16C1"/>
    <w:rsid w:val="001C1D86"/>
    <w:rsid w:val="001C264F"/>
    <w:rsid w:val="001C28A7"/>
    <w:rsid w:val="001C2AA7"/>
    <w:rsid w:val="001C2F27"/>
    <w:rsid w:val="001C3676"/>
    <w:rsid w:val="001C36CA"/>
    <w:rsid w:val="001C3746"/>
    <w:rsid w:val="001C3F12"/>
    <w:rsid w:val="001C40A7"/>
    <w:rsid w:val="001C4695"/>
    <w:rsid w:val="001C476F"/>
    <w:rsid w:val="001C4B7C"/>
    <w:rsid w:val="001C4FD6"/>
    <w:rsid w:val="001C51EB"/>
    <w:rsid w:val="001C541F"/>
    <w:rsid w:val="001C571C"/>
    <w:rsid w:val="001C5BBA"/>
    <w:rsid w:val="001C60D2"/>
    <w:rsid w:val="001C6183"/>
    <w:rsid w:val="001C6723"/>
    <w:rsid w:val="001C74FA"/>
    <w:rsid w:val="001D091B"/>
    <w:rsid w:val="001D0AF1"/>
    <w:rsid w:val="001D0AF4"/>
    <w:rsid w:val="001D0BC8"/>
    <w:rsid w:val="001D118C"/>
    <w:rsid w:val="001D11BB"/>
    <w:rsid w:val="001D1210"/>
    <w:rsid w:val="001D16AF"/>
    <w:rsid w:val="001D1957"/>
    <w:rsid w:val="001D2688"/>
    <w:rsid w:val="001D2C1A"/>
    <w:rsid w:val="001D34A6"/>
    <w:rsid w:val="001D35AC"/>
    <w:rsid w:val="001D3C40"/>
    <w:rsid w:val="001D491F"/>
    <w:rsid w:val="001D5261"/>
    <w:rsid w:val="001D526C"/>
    <w:rsid w:val="001D5527"/>
    <w:rsid w:val="001D585E"/>
    <w:rsid w:val="001D59FA"/>
    <w:rsid w:val="001D5E09"/>
    <w:rsid w:val="001D5FE4"/>
    <w:rsid w:val="001D6E00"/>
    <w:rsid w:val="001D72E8"/>
    <w:rsid w:val="001D7421"/>
    <w:rsid w:val="001D777E"/>
    <w:rsid w:val="001E076F"/>
    <w:rsid w:val="001E1120"/>
    <w:rsid w:val="001E1DF3"/>
    <w:rsid w:val="001E2232"/>
    <w:rsid w:val="001E27B9"/>
    <w:rsid w:val="001E2D3B"/>
    <w:rsid w:val="001E2FB3"/>
    <w:rsid w:val="001E38F1"/>
    <w:rsid w:val="001E3DC0"/>
    <w:rsid w:val="001E4E51"/>
    <w:rsid w:val="001E4E61"/>
    <w:rsid w:val="001E5037"/>
    <w:rsid w:val="001E5246"/>
    <w:rsid w:val="001E53EC"/>
    <w:rsid w:val="001E562F"/>
    <w:rsid w:val="001E57DD"/>
    <w:rsid w:val="001E5D61"/>
    <w:rsid w:val="001E5E35"/>
    <w:rsid w:val="001E610D"/>
    <w:rsid w:val="001E6437"/>
    <w:rsid w:val="001E651E"/>
    <w:rsid w:val="001E682D"/>
    <w:rsid w:val="001E6834"/>
    <w:rsid w:val="001E6918"/>
    <w:rsid w:val="001E7362"/>
    <w:rsid w:val="001E7861"/>
    <w:rsid w:val="001E7863"/>
    <w:rsid w:val="001E7AD2"/>
    <w:rsid w:val="001E7DD1"/>
    <w:rsid w:val="001F1476"/>
    <w:rsid w:val="001F1648"/>
    <w:rsid w:val="001F165D"/>
    <w:rsid w:val="001F1759"/>
    <w:rsid w:val="001F177F"/>
    <w:rsid w:val="001F1B0D"/>
    <w:rsid w:val="001F1C50"/>
    <w:rsid w:val="001F1D49"/>
    <w:rsid w:val="001F21E9"/>
    <w:rsid w:val="001F242E"/>
    <w:rsid w:val="001F2780"/>
    <w:rsid w:val="001F34AA"/>
    <w:rsid w:val="001F373C"/>
    <w:rsid w:val="001F3E56"/>
    <w:rsid w:val="001F3F2A"/>
    <w:rsid w:val="001F42EA"/>
    <w:rsid w:val="001F441E"/>
    <w:rsid w:val="001F5079"/>
    <w:rsid w:val="001F5586"/>
    <w:rsid w:val="001F574F"/>
    <w:rsid w:val="001F5868"/>
    <w:rsid w:val="001F5B3A"/>
    <w:rsid w:val="001F6921"/>
    <w:rsid w:val="001F6DA3"/>
    <w:rsid w:val="001F7126"/>
    <w:rsid w:val="001F75F3"/>
    <w:rsid w:val="001F761D"/>
    <w:rsid w:val="001F7ADF"/>
    <w:rsid w:val="002004A1"/>
    <w:rsid w:val="00200528"/>
    <w:rsid w:val="00200C3A"/>
    <w:rsid w:val="0020148B"/>
    <w:rsid w:val="00202973"/>
    <w:rsid w:val="00202F3B"/>
    <w:rsid w:val="00203302"/>
    <w:rsid w:val="0020361F"/>
    <w:rsid w:val="00203763"/>
    <w:rsid w:val="00203F29"/>
    <w:rsid w:val="002041E4"/>
    <w:rsid w:val="00204843"/>
    <w:rsid w:val="00204AEF"/>
    <w:rsid w:val="0020537B"/>
    <w:rsid w:val="0020538D"/>
    <w:rsid w:val="00205A41"/>
    <w:rsid w:val="00205F4F"/>
    <w:rsid w:val="0020627B"/>
    <w:rsid w:val="002066A7"/>
    <w:rsid w:val="00206DC6"/>
    <w:rsid w:val="00206FE7"/>
    <w:rsid w:val="00207026"/>
    <w:rsid w:val="00207653"/>
    <w:rsid w:val="00207BB0"/>
    <w:rsid w:val="00210226"/>
    <w:rsid w:val="0021052E"/>
    <w:rsid w:val="0021068C"/>
    <w:rsid w:val="00211399"/>
    <w:rsid w:val="00211577"/>
    <w:rsid w:val="00211D46"/>
    <w:rsid w:val="00211FAA"/>
    <w:rsid w:val="00212776"/>
    <w:rsid w:val="00212C43"/>
    <w:rsid w:val="00212C69"/>
    <w:rsid w:val="00213430"/>
    <w:rsid w:val="0021358B"/>
    <w:rsid w:val="00213591"/>
    <w:rsid w:val="00213ADE"/>
    <w:rsid w:val="00213BF3"/>
    <w:rsid w:val="00213DF6"/>
    <w:rsid w:val="00214574"/>
    <w:rsid w:val="002147ED"/>
    <w:rsid w:val="00214AD3"/>
    <w:rsid w:val="00214E5F"/>
    <w:rsid w:val="00215034"/>
    <w:rsid w:val="00215AA5"/>
    <w:rsid w:val="00215CE9"/>
    <w:rsid w:val="002160D2"/>
    <w:rsid w:val="00216520"/>
    <w:rsid w:val="0021685F"/>
    <w:rsid w:val="00216BA9"/>
    <w:rsid w:val="00216BD4"/>
    <w:rsid w:val="002170D1"/>
    <w:rsid w:val="00217147"/>
    <w:rsid w:val="0021756E"/>
    <w:rsid w:val="00217F19"/>
    <w:rsid w:val="002200F6"/>
    <w:rsid w:val="00220185"/>
    <w:rsid w:val="0022035C"/>
    <w:rsid w:val="00220701"/>
    <w:rsid w:val="002212D2"/>
    <w:rsid w:val="00221D75"/>
    <w:rsid w:val="00223D63"/>
    <w:rsid w:val="00224544"/>
    <w:rsid w:val="002247BC"/>
    <w:rsid w:val="002250B3"/>
    <w:rsid w:val="002256C6"/>
    <w:rsid w:val="002258C1"/>
    <w:rsid w:val="00225A30"/>
    <w:rsid w:val="00225AD2"/>
    <w:rsid w:val="00227217"/>
    <w:rsid w:val="002278CA"/>
    <w:rsid w:val="00227B4F"/>
    <w:rsid w:val="00227BF8"/>
    <w:rsid w:val="00227DC5"/>
    <w:rsid w:val="00227EED"/>
    <w:rsid w:val="002300CA"/>
    <w:rsid w:val="00230C8D"/>
    <w:rsid w:val="00230D2F"/>
    <w:rsid w:val="00230FA5"/>
    <w:rsid w:val="00231CF1"/>
    <w:rsid w:val="00231ED1"/>
    <w:rsid w:val="00232575"/>
    <w:rsid w:val="00232825"/>
    <w:rsid w:val="002328AE"/>
    <w:rsid w:val="00233DA4"/>
    <w:rsid w:val="00233DDD"/>
    <w:rsid w:val="00234296"/>
    <w:rsid w:val="00234AF4"/>
    <w:rsid w:val="00234C1E"/>
    <w:rsid w:val="00234DCE"/>
    <w:rsid w:val="0023602D"/>
    <w:rsid w:val="00236073"/>
    <w:rsid w:val="0023699C"/>
    <w:rsid w:val="00236E27"/>
    <w:rsid w:val="0023740F"/>
    <w:rsid w:val="002376E8"/>
    <w:rsid w:val="0023776F"/>
    <w:rsid w:val="00237885"/>
    <w:rsid w:val="002379DF"/>
    <w:rsid w:val="00237B1A"/>
    <w:rsid w:val="00237FE4"/>
    <w:rsid w:val="002403A1"/>
    <w:rsid w:val="0024057A"/>
    <w:rsid w:val="00240702"/>
    <w:rsid w:val="0024084E"/>
    <w:rsid w:val="00240A51"/>
    <w:rsid w:val="00240F44"/>
    <w:rsid w:val="002410A2"/>
    <w:rsid w:val="002411EB"/>
    <w:rsid w:val="002416AE"/>
    <w:rsid w:val="002419BE"/>
    <w:rsid w:val="00241DB7"/>
    <w:rsid w:val="0024368B"/>
    <w:rsid w:val="00243DFC"/>
    <w:rsid w:val="00243E04"/>
    <w:rsid w:val="002440D6"/>
    <w:rsid w:val="00244208"/>
    <w:rsid w:val="00244F3D"/>
    <w:rsid w:val="00244F6C"/>
    <w:rsid w:val="00245368"/>
    <w:rsid w:val="0024555A"/>
    <w:rsid w:val="00245993"/>
    <w:rsid w:val="00245F26"/>
    <w:rsid w:val="00245F98"/>
    <w:rsid w:val="00246639"/>
    <w:rsid w:val="002473BD"/>
    <w:rsid w:val="00247416"/>
    <w:rsid w:val="00247809"/>
    <w:rsid w:val="0024793C"/>
    <w:rsid w:val="00247B33"/>
    <w:rsid w:val="00247F18"/>
    <w:rsid w:val="0025057A"/>
    <w:rsid w:val="002509A1"/>
    <w:rsid w:val="00251546"/>
    <w:rsid w:val="002519CF"/>
    <w:rsid w:val="00251E33"/>
    <w:rsid w:val="00251E92"/>
    <w:rsid w:val="00252428"/>
    <w:rsid w:val="00252917"/>
    <w:rsid w:val="00253364"/>
    <w:rsid w:val="002535FE"/>
    <w:rsid w:val="00253726"/>
    <w:rsid w:val="00253B4E"/>
    <w:rsid w:val="002540A7"/>
    <w:rsid w:val="0025461C"/>
    <w:rsid w:val="00254ECE"/>
    <w:rsid w:val="00254F1E"/>
    <w:rsid w:val="00254F20"/>
    <w:rsid w:val="00255114"/>
    <w:rsid w:val="00255947"/>
    <w:rsid w:val="00255A3C"/>
    <w:rsid w:val="00256499"/>
    <w:rsid w:val="002568AE"/>
    <w:rsid w:val="00256907"/>
    <w:rsid w:val="00256F7C"/>
    <w:rsid w:val="00257192"/>
    <w:rsid w:val="0025759B"/>
    <w:rsid w:val="002575C3"/>
    <w:rsid w:val="00257B5E"/>
    <w:rsid w:val="0026030D"/>
    <w:rsid w:val="002603D8"/>
    <w:rsid w:val="00260417"/>
    <w:rsid w:val="002604FC"/>
    <w:rsid w:val="00260552"/>
    <w:rsid w:val="00261175"/>
    <w:rsid w:val="00261869"/>
    <w:rsid w:val="00261A33"/>
    <w:rsid w:val="00261BD4"/>
    <w:rsid w:val="0026231A"/>
    <w:rsid w:val="0026238E"/>
    <w:rsid w:val="00262396"/>
    <w:rsid w:val="002623A1"/>
    <w:rsid w:val="0026257C"/>
    <w:rsid w:val="002625A9"/>
    <w:rsid w:val="0026261D"/>
    <w:rsid w:val="00262740"/>
    <w:rsid w:val="00262DE3"/>
    <w:rsid w:val="00262FD8"/>
    <w:rsid w:val="00263111"/>
    <w:rsid w:val="002632DC"/>
    <w:rsid w:val="0026359D"/>
    <w:rsid w:val="00263F0F"/>
    <w:rsid w:val="002643CA"/>
    <w:rsid w:val="0026498B"/>
    <w:rsid w:val="00264A1D"/>
    <w:rsid w:val="00264AE8"/>
    <w:rsid w:val="0026555E"/>
    <w:rsid w:val="00265BC8"/>
    <w:rsid w:val="00265E1E"/>
    <w:rsid w:val="0026637F"/>
    <w:rsid w:val="0026651C"/>
    <w:rsid w:val="00266914"/>
    <w:rsid w:val="002679D4"/>
    <w:rsid w:val="00267BEB"/>
    <w:rsid w:val="00267ED6"/>
    <w:rsid w:val="002700C1"/>
    <w:rsid w:val="00270196"/>
    <w:rsid w:val="002704E1"/>
    <w:rsid w:val="00270F58"/>
    <w:rsid w:val="00271D41"/>
    <w:rsid w:val="00271DBD"/>
    <w:rsid w:val="00271E50"/>
    <w:rsid w:val="00272073"/>
    <w:rsid w:val="00272287"/>
    <w:rsid w:val="002726C9"/>
    <w:rsid w:val="00272FA5"/>
    <w:rsid w:val="002734B0"/>
    <w:rsid w:val="0027393F"/>
    <w:rsid w:val="002739A8"/>
    <w:rsid w:val="002740E8"/>
    <w:rsid w:val="00274155"/>
    <w:rsid w:val="002745AC"/>
    <w:rsid w:val="00274A56"/>
    <w:rsid w:val="002750E8"/>
    <w:rsid w:val="00275241"/>
    <w:rsid w:val="002756ED"/>
    <w:rsid w:val="002764AD"/>
    <w:rsid w:val="00276B0E"/>
    <w:rsid w:val="00276B26"/>
    <w:rsid w:val="00276DA5"/>
    <w:rsid w:val="00276F26"/>
    <w:rsid w:val="002776EA"/>
    <w:rsid w:val="002777F9"/>
    <w:rsid w:val="002779B3"/>
    <w:rsid w:val="00277AB2"/>
    <w:rsid w:val="00277D51"/>
    <w:rsid w:val="002807FD"/>
    <w:rsid w:val="00280A79"/>
    <w:rsid w:val="00280ED3"/>
    <w:rsid w:val="00280EEF"/>
    <w:rsid w:val="002811E9"/>
    <w:rsid w:val="0028162B"/>
    <w:rsid w:val="00281947"/>
    <w:rsid w:val="002820AA"/>
    <w:rsid w:val="00282ABE"/>
    <w:rsid w:val="00282B79"/>
    <w:rsid w:val="00282C23"/>
    <w:rsid w:val="00283049"/>
    <w:rsid w:val="00284AA9"/>
    <w:rsid w:val="00284E37"/>
    <w:rsid w:val="00284FC0"/>
    <w:rsid w:val="002855A4"/>
    <w:rsid w:val="00285CAE"/>
    <w:rsid w:val="00286116"/>
    <w:rsid w:val="002865FB"/>
    <w:rsid w:val="00286CEA"/>
    <w:rsid w:val="00286E59"/>
    <w:rsid w:val="002872FD"/>
    <w:rsid w:val="00287861"/>
    <w:rsid w:val="002879D3"/>
    <w:rsid w:val="00287C81"/>
    <w:rsid w:val="00290D2A"/>
    <w:rsid w:val="00291117"/>
    <w:rsid w:val="002911FC"/>
    <w:rsid w:val="002913BA"/>
    <w:rsid w:val="002915AD"/>
    <w:rsid w:val="002917E8"/>
    <w:rsid w:val="00291A2D"/>
    <w:rsid w:val="00291AC4"/>
    <w:rsid w:val="00291B47"/>
    <w:rsid w:val="00291E70"/>
    <w:rsid w:val="0029254C"/>
    <w:rsid w:val="002927AC"/>
    <w:rsid w:val="002928C2"/>
    <w:rsid w:val="00292B24"/>
    <w:rsid w:val="00293147"/>
    <w:rsid w:val="002933BF"/>
    <w:rsid w:val="0029351F"/>
    <w:rsid w:val="002937C0"/>
    <w:rsid w:val="00293880"/>
    <w:rsid w:val="00293F16"/>
    <w:rsid w:val="002943EB"/>
    <w:rsid w:val="00294CEF"/>
    <w:rsid w:val="00295251"/>
    <w:rsid w:val="00295B57"/>
    <w:rsid w:val="00295C16"/>
    <w:rsid w:val="00295EDC"/>
    <w:rsid w:val="0029608F"/>
    <w:rsid w:val="00296697"/>
    <w:rsid w:val="00296907"/>
    <w:rsid w:val="002979AD"/>
    <w:rsid w:val="002979B6"/>
    <w:rsid w:val="00297A6D"/>
    <w:rsid w:val="00297ABA"/>
    <w:rsid w:val="002A0397"/>
    <w:rsid w:val="002A1058"/>
    <w:rsid w:val="002A15A4"/>
    <w:rsid w:val="002A1830"/>
    <w:rsid w:val="002A18D6"/>
    <w:rsid w:val="002A1C31"/>
    <w:rsid w:val="002A1CD0"/>
    <w:rsid w:val="002A1EF3"/>
    <w:rsid w:val="002A1F76"/>
    <w:rsid w:val="002A221A"/>
    <w:rsid w:val="002A2352"/>
    <w:rsid w:val="002A24CD"/>
    <w:rsid w:val="002A2620"/>
    <w:rsid w:val="002A2880"/>
    <w:rsid w:val="002A2883"/>
    <w:rsid w:val="002A2B03"/>
    <w:rsid w:val="002A2D79"/>
    <w:rsid w:val="002A32A7"/>
    <w:rsid w:val="002A374D"/>
    <w:rsid w:val="002A4C88"/>
    <w:rsid w:val="002A5173"/>
    <w:rsid w:val="002A51AD"/>
    <w:rsid w:val="002A5307"/>
    <w:rsid w:val="002A5679"/>
    <w:rsid w:val="002A56E1"/>
    <w:rsid w:val="002A5BD8"/>
    <w:rsid w:val="002A5DFC"/>
    <w:rsid w:val="002A5E58"/>
    <w:rsid w:val="002A5EE7"/>
    <w:rsid w:val="002A64E9"/>
    <w:rsid w:val="002A725D"/>
    <w:rsid w:val="002A72E5"/>
    <w:rsid w:val="002A75CE"/>
    <w:rsid w:val="002A77B1"/>
    <w:rsid w:val="002B062A"/>
    <w:rsid w:val="002B0A17"/>
    <w:rsid w:val="002B0C23"/>
    <w:rsid w:val="002B0F8D"/>
    <w:rsid w:val="002B1359"/>
    <w:rsid w:val="002B17EF"/>
    <w:rsid w:val="002B1E20"/>
    <w:rsid w:val="002B2491"/>
    <w:rsid w:val="002B2C1F"/>
    <w:rsid w:val="002B2FD3"/>
    <w:rsid w:val="002B3026"/>
    <w:rsid w:val="002B31D1"/>
    <w:rsid w:val="002B3605"/>
    <w:rsid w:val="002B3777"/>
    <w:rsid w:val="002B386B"/>
    <w:rsid w:val="002B4EFC"/>
    <w:rsid w:val="002B51EB"/>
    <w:rsid w:val="002B5272"/>
    <w:rsid w:val="002B5BA8"/>
    <w:rsid w:val="002B615D"/>
    <w:rsid w:val="002B62A0"/>
    <w:rsid w:val="002B6F89"/>
    <w:rsid w:val="002B73C8"/>
    <w:rsid w:val="002B7FAA"/>
    <w:rsid w:val="002C0382"/>
    <w:rsid w:val="002C04C7"/>
    <w:rsid w:val="002C0578"/>
    <w:rsid w:val="002C06B3"/>
    <w:rsid w:val="002C0D7A"/>
    <w:rsid w:val="002C1592"/>
    <w:rsid w:val="002C1780"/>
    <w:rsid w:val="002C1961"/>
    <w:rsid w:val="002C209A"/>
    <w:rsid w:val="002C223D"/>
    <w:rsid w:val="002C2431"/>
    <w:rsid w:val="002C24AA"/>
    <w:rsid w:val="002C28E7"/>
    <w:rsid w:val="002C2E09"/>
    <w:rsid w:val="002C2FAA"/>
    <w:rsid w:val="002C3268"/>
    <w:rsid w:val="002C3317"/>
    <w:rsid w:val="002C3568"/>
    <w:rsid w:val="002C39BF"/>
    <w:rsid w:val="002C45AF"/>
    <w:rsid w:val="002C4B71"/>
    <w:rsid w:val="002C4C6B"/>
    <w:rsid w:val="002C4D82"/>
    <w:rsid w:val="002C4DC8"/>
    <w:rsid w:val="002C4F18"/>
    <w:rsid w:val="002C4F1F"/>
    <w:rsid w:val="002C5141"/>
    <w:rsid w:val="002C562C"/>
    <w:rsid w:val="002C605B"/>
    <w:rsid w:val="002C6460"/>
    <w:rsid w:val="002C7203"/>
    <w:rsid w:val="002C77E2"/>
    <w:rsid w:val="002C7A30"/>
    <w:rsid w:val="002C7A95"/>
    <w:rsid w:val="002D01A8"/>
    <w:rsid w:val="002D01A9"/>
    <w:rsid w:val="002D0400"/>
    <w:rsid w:val="002D06AF"/>
    <w:rsid w:val="002D0BF4"/>
    <w:rsid w:val="002D0D7C"/>
    <w:rsid w:val="002D0DB6"/>
    <w:rsid w:val="002D0E18"/>
    <w:rsid w:val="002D0FF7"/>
    <w:rsid w:val="002D12D5"/>
    <w:rsid w:val="002D1C37"/>
    <w:rsid w:val="002D20DD"/>
    <w:rsid w:val="002D23C0"/>
    <w:rsid w:val="002D2992"/>
    <w:rsid w:val="002D2D7C"/>
    <w:rsid w:val="002D3AB3"/>
    <w:rsid w:val="002D3FE0"/>
    <w:rsid w:val="002D4210"/>
    <w:rsid w:val="002D44A6"/>
    <w:rsid w:val="002D4911"/>
    <w:rsid w:val="002D5818"/>
    <w:rsid w:val="002D5A4B"/>
    <w:rsid w:val="002D66A3"/>
    <w:rsid w:val="002D6B3A"/>
    <w:rsid w:val="002D71AF"/>
    <w:rsid w:val="002D722F"/>
    <w:rsid w:val="002D7A1B"/>
    <w:rsid w:val="002D7C6C"/>
    <w:rsid w:val="002E0088"/>
    <w:rsid w:val="002E034A"/>
    <w:rsid w:val="002E0B38"/>
    <w:rsid w:val="002E143B"/>
    <w:rsid w:val="002E1557"/>
    <w:rsid w:val="002E1D79"/>
    <w:rsid w:val="002E1FB0"/>
    <w:rsid w:val="002E1FFA"/>
    <w:rsid w:val="002E2463"/>
    <w:rsid w:val="002E283B"/>
    <w:rsid w:val="002E2BC2"/>
    <w:rsid w:val="002E2EF6"/>
    <w:rsid w:val="002E3030"/>
    <w:rsid w:val="002E353D"/>
    <w:rsid w:val="002E3B51"/>
    <w:rsid w:val="002E47E0"/>
    <w:rsid w:val="002E4B41"/>
    <w:rsid w:val="002E4D18"/>
    <w:rsid w:val="002E50DB"/>
    <w:rsid w:val="002E5D80"/>
    <w:rsid w:val="002E5D87"/>
    <w:rsid w:val="002E5E52"/>
    <w:rsid w:val="002E6206"/>
    <w:rsid w:val="002E6223"/>
    <w:rsid w:val="002E6441"/>
    <w:rsid w:val="002E64E4"/>
    <w:rsid w:val="002E720C"/>
    <w:rsid w:val="002E732A"/>
    <w:rsid w:val="002E76A1"/>
    <w:rsid w:val="002E7A53"/>
    <w:rsid w:val="002E7D61"/>
    <w:rsid w:val="002E7DEF"/>
    <w:rsid w:val="002E7ECB"/>
    <w:rsid w:val="002F02A6"/>
    <w:rsid w:val="002F032A"/>
    <w:rsid w:val="002F0629"/>
    <w:rsid w:val="002F06D3"/>
    <w:rsid w:val="002F0D3B"/>
    <w:rsid w:val="002F12BF"/>
    <w:rsid w:val="002F163F"/>
    <w:rsid w:val="002F1FBC"/>
    <w:rsid w:val="002F2211"/>
    <w:rsid w:val="002F23BD"/>
    <w:rsid w:val="002F26B9"/>
    <w:rsid w:val="002F2C2E"/>
    <w:rsid w:val="002F2EA8"/>
    <w:rsid w:val="002F34DE"/>
    <w:rsid w:val="002F378C"/>
    <w:rsid w:val="002F3EAA"/>
    <w:rsid w:val="002F3ED9"/>
    <w:rsid w:val="002F4D59"/>
    <w:rsid w:val="002F5277"/>
    <w:rsid w:val="002F5495"/>
    <w:rsid w:val="002F5D31"/>
    <w:rsid w:val="002F5E51"/>
    <w:rsid w:val="002F5F2F"/>
    <w:rsid w:val="002F6085"/>
    <w:rsid w:val="002F60F6"/>
    <w:rsid w:val="002F705A"/>
    <w:rsid w:val="002F79BA"/>
    <w:rsid w:val="002F7ACC"/>
    <w:rsid w:val="002F7B53"/>
    <w:rsid w:val="002F7DBE"/>
    <w:rsid w:val="003006E6"/>
    <w:rsid w:val="0030077E"/>
    <w:rsid w:val="00300896"/>
    <w:rsid w:val="0030099C"/>
    <w:rsid w:val="00300DD8"/>
    <w:rsid w:val="0030108F"/>
    <w:rsid w:val="0030155A"/>
    <w:rsid w:val="00301D1A"/>
    <w:rsid w:val="003020C8"/>
    <w:rsid w:val="003021E9"/>
    <w:rsid w:val="003022F8"/>
    <w:rsid w:val="003023D9"/>
    <w:rsid w:val="00302647"/>
    <w:rsid w:val="0030264C"/>
    <w:rsid w:val="00303526"/>
    <w:rsid w:val="003035C1"/>
    <w:rsid w:val="00303689"/>
    <w:rsid w:val="0030382D"/>
    <w:rsid w:val="00303C88"/>
    <w:rsid w:val="00303E48"/>
    <w:rsid w:val="0030476B"/>
    <w:rsid w:val="00304ED8"/>
    <w:rsid w:val="00304F74"/>
    <w:rsid w:val="0030524D"/>
    <w:rsid w:val="003054AB"/>
    <w:rsid w:val="003058FD"/>
    <w:rsid w:val="00305A40"/>
    <w:rsid w:val="00305A5A"/>
    <w:rsid w:val="00305CF1"/>
    <w:rsid w:val="00306145"/>
    <w:rsid w:val="00306733"/>
    <w:rsid w:val="003068A7"/>
    <w:rsid w:val="00307227"/>
    <w:rsid w:val="00307B8B"/>
    <w:rsid w:val="00307BD9"/>
    <w:rsid w:val="00307D71"/>
    <w:rsid w:val="003100C3"/>
    <w:rsid w:val="00310462"/>
    <w:rsid w:val="003106D5"/>
    <w:rsid w:val="0031070A"/>
    <w:rsid w:val="0031077D"/>
    <w:rsid w:val="00310BDF"/>
    <w:rsid w:val="00310FF0"/>
    <w:rsid w:val="003115CA"/>
    <w:rsid w:val="00311BC5"/>
    <w:rsid w:val="00312952"/>
    <w:rsid w:val="00312E17"/>
    <w:rsid w:val="00312EFA"/>
    <w:rsid w:val="0031305F"/>
    <w:rsid w:val="003132E7"/>
    <w:rsid w:val="00313DE5"/>
    <w:rsid w:val="00314394"/>
    <w:rsid w:val="003146AB"/>
    <w:rsid w:val="003148A3"/>
    <w:rsid w:val="003159A9"/>
    <w:rsid w:val="00316092"/>
    <w:rsid w:val="00316D6E"/>
    <w:rsid w:val="00316D9A"/>
    <w:rsid w:val="00316F1D"/>
    <w:rsid w:val="00316F5C"/>
    <w:rsid w:val="00316F88"/>
    <w:rsid w:val="00317847"/>
    <w:rsid w:val="00317CB4"/>
    <w:rsid w:val="00321B46"/>
    <w:rsid w:val="00321FC8"/>
    <w:rsid w:val="003228E1"/>
    <w:rsid w:val="003229B5"/>
    <w:rsid w:val="00322F6C"/>
    <w:rsid w:val="003234A2"/>
    <w:rsid w:val="0032369C"/>
    <w:rsid w:val="00324D83"/>
    <w:rsid w:val="00325A72"/>
    <w:rsid w:val="00325FDC"/>
    <w:rsid w:val="003266EB"/>
    <w:rsid w:val="00326F9E"/>
    <w:rsid w:val="00327257"/>
    <w:rsid w:val="003275F6"/>
    <w:rsid w:val="00327CFC"/>
    <w:rsid w:val="0033079D"/>
    <w:rsid w:val="00330CBD"/>
    <w:rsid w:val="00330CC1"/>
    <w:rsid w:val="00330DE1"/>
    <w:rsid w:val="00330F72"/>
    <w:rsid w:val="003317F6"/>
    <w:rsid w:val="0033183C"/>
    <w:rsid w:val="00331D14"/>
    <w:rsid w:val="00331EAB"/>
    <w:rsid w:val="0033298B"/>
    <w:rsid w:val="00332A75"/>
    <w:rsid w:val="00332B03"/>
    <w:rsid w:val="00333030"/>
    <w:rsid w:val="003337CB"/>
    <w:rsid w:val="003338E4"/>
    <w:rsid w:val="00333A00"/>
    <w:rsid w:val="00333E70"/>
    <w:rsid w:val="00334D0B"/>
    <w:rsid w:val="00334D60"/>
    <w:rsid w:val="0033504B"/>
    <w:rsid w:val="00335068"/>
    <w:rsid w:val="003350FE"/>
    <w:rsid w:val="003353DA"/>
    <w:rsid w:val="00335585"/>
    <w:rsid w:val="00335FA8"/>
    <w:rsid w:val="00335FE0"/>
    <w:rsid w:val="00336240"/>
    <w:rsid w:val="003366A2"/>
    <w:rsid w:val="00336AD1"/>
    <w:rsid w:val="00336BEA"/>
    <w:rsid w:val="00336DD6"/>
    <w:rsid w:val="00336F39"/>
    <w:rsid w:val="003370B3"/>
    <w:rsid w:val="003371A7"/>
    <w:rsid w:val="003373B0"/>
    <w:rsid w:val="003373D1"/>
    <w:rsid w:val="0033749B"/>
    <w:rsid w:val="00337B34"/>
    <w:rsid w:val="00337DED"/>
    <w:rsid w:val="00337F48"/>
    <w:rsid w:val="00340704"/>
    <w:rsid w:val="003407AA"/>
    <w:rsid w:val="003408D3"/>
    <w:rsid w:val="00340F86"/>
    <w:rsid w:val="00341004"/>
    <w:rsid w:val="00341A17"/>
    <w:rsid w:val="00341C80"/>
    <w:rsid w:val="00341DE8"/>
    <w:rsid w:val="00342145"/>
    <w:rsid w:val="0034254A"/>
    <w:rsid w:val="003431C1"/>
    <w:rsid w:val="00343ADC"/>
    <w:rsid w:val="0034401A"/>
    <w:rsid w:val="00344C32"/>
    <w:rsid w:val="00344C69"/>
    <w:rsid w:val="003453BE"/>
    <w:rsid w:val="00345AAA"/>
    <w:rsid w:val="0034682C"/>
    <w:rsid w:val="00347642"/>
    <w:rsid w:val="00347C7E"/>
    <w:rsid w:val="00347C97"/>
    <w:rsid w:val="0035013C"/>
    <w:rsid w:val="003509E1"/>
    <w:rsid w:val="003515C6"/>
    <w:rsid w:val="0035173D"/>
    <w:rsid w:val="003517E8"/>
    <w:rsid w:val="003518BA"/>
    <w:rsid w:val="00351B20"/>
    <w:rsid w:val="00351E1C"/>
    <w:rsid w:val="003528D9"/>
    <w:rsid w:val="00352B47"/>
    <w:rsid w:val="00352D8F"/>
    <w:rsid w:val="00352FB0"/>
    <w:rsid w:val="0035332D"/>
    <w:rsid w:val="00353393"/>
    <w:rsid w:val="00353B1A"/>
    <w:rsid w:val="00354093"/>
    <w:rsid w:val="00354103"/>
    <w:rsid w:val="00354A60"/>
    <w:rsid w:val="00354EBA"/>
    <w:rsid w:val="00355247"/>
    <w:rsid w:val="003556A7"/>
    <w:rsid w:val="00356764"/>
    <w:rsid w:val="0035685F"/>
    <w:rsid w:val="00357414"/>
    <w:rsid w:val="00357A76"/>
    <w:rsid w:val="00360447"/>
    <w:rsid w:val="00360B3F"/>
    <w:rsid w:val="00360CCE"/>
    <w:rsid w:val="00360DAF"/>
    <w:rsid w:val="00361115"/>
    <w:rsid w:val="0036139D"/>
    <w:rsid w:val="00361640"/>
    <w:rsid w:val="00362194"/>
    <w:rsid w:val="0036233E"/>
    <w:rsid w:val="0036266A"/>
    <w:rsid w:val="00362775"/>
    <w:rsid w:val="00362FCA"/>
    <w:rsid w:val="003635D5"/>
    <w:rsid w:val="00363921"/>
    <w:rsid w:val="00363F8F"/>
    <w:rsid w:val="0036462C"/>
    <w:rsid w:val="00364764"/>
    <w:rsid w:val="00365120"/>
    <w:rsid w:val="00365232"/>
    <w:rsid w:val="00365676"/>
    <w:rsid w:val="00365857"/>
    <w:rsid w:val="00365D3B"/>
    <w:rsid w:val="003662BA"/>
    <w:rsid w:val="00366311"/>
    <w:rsid w:val="00366D0B"/>
    <w:rsid w:val="00367542"/>
    <w:rsid w:val="003703A5"/>
    <w:rsid w:val="003707CF"/>
    <w:rsid w:val="003709C3"/>
    <w:rsid w:val="00370B70"/>
    <w:rsid w:val="00370DB5"/>
    <w:rsid w:val="00371068"/>
    <w:rsid w:val="00371601"/>
    <w:rsid w:val="0037163F"/>
    <w:rsid w:val="00371649"/>
    <w:rsid w:val="00371C8E"/>
    <w:rsid w:val="003726C3"/>
    <w:rsid w:val="00372782"/>
    <w:rsid w:val="00372B9B"/>
    <w:rsid w:val="00373A97"/>
    <w:rsid w:val="00373C64"/>
    <w:rsid w:val="00373EFD"/>
    <w:rsid w:val="00373F4A"/>
    <w:rsid w:val="0037425E"/>
    <w:rsid w:val="00374689"/>
    <w:rsid w:val="00374A27"/>
    <w:rsid w:val="0037522F"/>
    <w:rsid w:val="00375D9C"/>
    <w:rsid w:val="003760E4"/>
    <w:rsid w:val="00376308"/>
    <w:rsid w:val="0037666D"/>
    <w:rsid w:val="00377220"/>
    <w:rsid w:val="003772D0"/>
    <w:rsid w:val="00377532"/>
    <w:rsid w:val="00377548"/>
    <w:rsid w:val="00377F6A"/>
    <w:rsid w:val="00380131"/>
    <w:rsid w:val="003803E5"/>
    <w:rsid w:val="00380430"/>
    <w:rsid w:val="003807C2"/>
    <w:rsid w:val="0038083D"/>
    <w:rsid w:val="003808C1"/>
    <w:rsid w:val="00380982"/>
    <w:rsid w:val="00380ADD"/>
    <w:rsid w:val="003816C7"/>
    <w:rsid w:val="00381D7E"/>
    <w:rsid w:val="0038268F"/>
    <w:rsid w:val="00382AB6"/>
    <w:rsid w:val="00382BAE"/>
    <w:rsid w:val="00383396"/>
    <w:rsid w:val="003833F1"/>
    <w:rsid w:val="00383411"/>
    <w:rsid w:val="00383657"/>
    <w:rsid w:val="00383723"/>
    <w:rsid w:val="00383804"/>
    <w:rsid w:val="00383927"/>
    <w:rsid w:val="00383F80"/>
    <w:rsid w:val="003845D1"/>
    <w:rsid w:val="00384C54"/>
    <w:rsid w:val="00384C7E"/>
    <w:rsid w:val="00384D1F"/>
    <w:rsid w:val="00385016"/>
    <w:rsid w:val="003851F4"/>
    <w:rsid w:val="00385641"/>
    <w:rsid w:val="003864B3"/>
    <w:rsid w:val="00386541"/>
    <w:rsid w:val="0038679A"/>
    <w:rsid w:val="00386A54"/>
    <w:rsid w:val="00386C4F"/>
    <w:rsid w:val="00386E48"/>
    <w:rsid w:val="00387262"/>
    <w:rsid w:val="003879B3"/>
    <w:rsid w:val="00390495"/>
    <w:rsid w:val="003904EE"/>
    <w:rsid w:val="00390B55"/>
    <w:rsid w:val="00390D1D"/>
    <w:rsid w:val="003912E9"/>
    <w:rsid w:val="0039137C"/>
    <w:rsid w:val="003923A4"/>
    <w:rsid w:val="003925B3"/>
    <w:rsid w:val="003925BB"/>
    <w:rsid w:val="003928EF"/>
    <w:rsid w:val="00392DA0"/>
    <w:rsid w:val="00392DE7"/>
    <w:rsid w:val="00392FA5"/>
    <w:rsid w:val="003935D2"/>
    <w:rsid w:val="003937FB"/>
    <w:rsid w:val="00393AB9"/>
    <w:rsid w:val="00393B26"/>
    <w:rsid w:val="00394288"/>
    <w:rsid w:val="003948CA"/>
    <w:rsid w:val="00394A5F"/>
    <w:rsid w:val="00394E66"/>
    <w:rsid w:val="00395056"/>
    <w:rsid w:val="003953CD"/>
    <w:rsid w:val="003953D5"/>
    <w:rsid w:val="003955F0"/>
    <w:rsid w:val="003956D6"/>
    <w:rsid w:val="00395BDE"/>
    <w:rsid w:val="00395C41"/>
    <w:rsid w:val="00396222"/>
    <w:rsid w:val="00396AC0"/>
    <w:rsid w:val="00396BAC"/>
    <w:rsid w:val="003976FD"/>
    <w:rsid w:val="003A058D"/>
    <w:rsid w:val="003A0893"/>
    <w:rsid w:val="003A091D"/>
    <w:rsid w:val="003A1156"/>
    <w:rsid w:val="003A144C"/>
    <w:rsid w:val="003A14A6"/>
    <w:rsid w:val="003A1C72"/>
    <w:rsid w:val="003A21A2"/>
    <w:rsid w:val="003A2334"/>
    <w:rsid w:val="003A2396"/>
    <w:rsid w:val="003A3403"/>
    <w:rsid w:val="003A3D02"/>
    <w:rsid w:val="003A4205"/>
    <w:rsid w:val="003A456F"/>
    <w:rsid w:val="003A5311"/>
    <w:rsid w:val="003A60B9"/>
    <w:rsid w:val="003A648C"/>
    <w:rsid w:val="003A7290"/>
    <w:rsid w:val="003A78BF"/>
    <w:rsid w:val="003A7ACF"/>
    <w:rsid w:val="003A7F2C"/>
    <w:rsid w:val="003B011D"/>
    <w:rsid w:val="003B0C6C"/>
    <w:rsid w:val="003B0E44"/>
    <w:rsid w:val="003B0E50"/>
    <w:rsid w:val="003B1018"/>
    <w:rsid w:val="003B1600"/>
    <w:rsid w:val="003B2168"/>
    <w:rsid w:val="003B273F"/>
    <w:rsid w:val="003B2821"/>
    <w:rsid w:val="003B3EB5"/>
    <w:rsid w:val="003B4068"/>
    <w:rsid w:val="003B4780"/>
    <w:rsid w:val="003B493A"/>
    <w:rsid w:val="003B4FA8"/>
    <w:rsid w:val="003B50F1"/>
    <w:rsid w:val="003B5C87"/>
    <w:rsid w:val="003B5CB9"/>
    <w:rsid w:val="003B65AF"/>
    <w:rsid w:val="003B6909"/>
    <w:rsid w:val="003B6B9D"/>
    <w:rsid w:val="003B6C5E"/>
    <w:rsid w:val="003B6F32"/>
    <w:rsid w:val="003B73AB"/>
    <w:rsid w:val="003B74C0"/>
    <w:rsid w:val="003B794D"/>
    <w:rsid w:val="003B7CCA"/>
    <w:rsid w:val="003B7D8F"/>
    <w:rsid w:val="003C00B9"/>
    <w:rsid w:val="003C0232"/>
    <w:rsid w:val="003C035A"/>
    <w:rsid w:val="003C07ED"/>
    <w:rsid w:val="003C0A9D"/>
    <w:rsid w:val="003C122E"/>
    <w:rsid w:val="003C137D"/>
    <w:rsid w:val="003C1854"/>
    <w:rsid w:val="003C1A12"/>
    <w:rsid w:val="003C2072"/>
    <w:rsid w:val="003C210F"/>
    <w:rsid w:val="003C222E"/>
    <w:rsid w:val="003C24C8"/>
    <w:rsid w:val="003C26FE"/>
    <w:rsid w:val="003C278F"/>
    <w:rsid w:val="003C29E2"/>
    <w:rsid w:val="003C2B01"/>
    <w:rsid w:val="003C2E80"/>
    <w:rsid w:val="003C387E"/>
    <w:rsid w:val="003C4996"/>
    <w:rsid w:val="003C5710"/>
    <w:rsid w:val="003C5721"/>
    <w:rsid w:val="003C5D71"/>
    <w:rsid w:val="003C6107"/>
    <w:rsid w:val="003C72AB"/>
    <w:rsid w:val="003C75CE"/>
    <w:rsid w:val="003C781F"/>
    <w:rsid w:val="003C7922"/>
    <w:rsid w:val="003C7C4F"/>
    <w:rsid w:val="003D0310"/>
    <w:rsid w:val="003D05F1"/>
    <w:rsid w:val="003D08BA"/>
    <w:rsid w:val="003D1160"/>
    <w:rsid w:val="003D2336"/>
    <w:rsid w:val="003D2763"/>
    <w:rsid w:val="003D290D"/>
    <w:rsid w:val="003D2BF3"/>
    <w:rsid w:val="003D3804"/>
    <w:rsid w:val="003D3A67"/>
    <w:rsid w:val="003D3DAB"/>
    <w:rsid w:val="003D4180"/>
    <w:rsid w:val="003D4565"/>
    <w:rsid w:val="003D46C0"/>
    <w:rsid w:val="003D4776"/>
    <w:rsid w:val="003D47C5"/>
    <w:rsid w:val="003D4A48"/>
    <w:rsid w:val="003D4E09"/>
    <w:rsid w:val="003D51D8"/>
    <w:rsid w:val="003D528C"/>
    <w:rsid w:val="003D52CF"/>
    <w:rsid w:val="003D5E84"/>
    <w:rsid w:val="003D647A"/>
    <w:rsid w:val="003D685E"/>
    <w:rsid w:val="003D6BE9"/>
    <w:rsid w:val="003D7847"/>
    <w:rsid w:val="003E043D"/>
    <w:rsid w:val="003E045A"/>
    <w:rsid w:val="003E0A8F"/>
    <w:rsid w:val="003E0B40"/>
    <w:rsid w:val="003E0BE0"/>
    <w:rsid w:val="003E0C8A"/>
    <w:rsid w:val="003E0F2C"/>
    <w:rsid w:val="003E1592"/>
    <w:rsid w:val="003E2267"/>
    <w:rsid w:val="003E2AA6"/>
    <w:rsid w:val="003E2E42"/>
    <w:rsid w:val="003E3703"/>
    <w:rsid w:val="003E38E5"/>
    <w:rsid w:val="003E3AC3"/>
    <w:rsid w:val="003E3BB6"/>
    <w:rsid w:val="003E3BFE"/>
    <w:rsid w:val="003E3E68"/>
    <w:rsid w:val="003E40FD"/>
    <w:rsid w:val="003E41FC"/>
    <w:rsid w:val="003E47DA"/>
    <w:rsid w:val="003E4AD0"/>
    <w:rsid w:val="003E5874"/>
    <w:rsid w:val="003E5D39"/>
    <w:rsid w:val="003E67D5"/>
    <w:rsid w:val="003E6D4C"/>
    <w:rsid w:val="003E6F5C"/>
    <w:rsid w:val="003F0256"/>
    <w:rsid w:val="003F0C63"/>
    <w:rsid w:val="003F0C77"/>
    <w:rsid w:val="003F142D"/>
    <w:rsid w:val="003F1E13"/>
    <w:rsid w:val="003F263B"/>
    <w:rsid w:val="003F357A"/>
    <w:rsid w:val="003F3D0B"/>
    <w:rsid w:val="003F3DDB"/>
    <w:rsid w:val="003F40A7"/>
    <w:rsid w:val="003F477C"/>
    <w:rsid w:val="003F47E8"/>
    <w:rsid w:val="003F5060"/>
    <w:rsid w:val="003F573C"/>
    <w:rsid w:val="003F63F8"/>
    <w:rsid w:val="003F661D"/>
    <w:rsid w:val="003F6C75"/>
    <w:rsid w:val="003F6C86"/>
    <w:rsid w:val="003F7E98"/>
    <w:rsid w:val="0040046C"/>
    <w:rsid w:val="0040059E"/>
    <w:rsid w:val="004007DE"/>
    <w:rsid w:val="0040096F"/>
    <w:rsid w:val="00400C7D"/>
    <w:rsid w:val="00400F71"/>
    <w:rsid w:val="00401186"/>
    <w:rsid w:val="004015AC"/>
    <w:rsid w:val="00401D39"/>
    <w:rsid w:val="004020A7"/>
    <w:rsid w:val="004029B1"/>
    <w:rsid w:val="00403032"/>
    <w:rsid w:val="004030FA"/>
    <w:rsid w:val="0040359E"/>
    <w:rsid w:val="004037D8"/>
    <w:rsid w:val="00403C60"/>
    <w:rsid w:val="00404277"/>
    <w:rsid w:val="00404405"/>
    <w:rsid w:val="004048D7"/>
    <w:rsid w:val="00404A8A"/>
    <w:rsid w:val="00404EB5"/>
    <w:rsid w:val="00405A02"/>
    <w:rsid w:val="00405A63"/>
    <w:rsid w:val="00405F24"/>
    <w:rsid w:val="004063B3"/>
    <w:rsid w:val="00406617"/>
    <w:rsid w:val="00406686"/>
    <w:rsid w:val="00406962"/>
    <w:rsid w:val="00406E6B"/>
    <w:rsid w:val="00407349"/>
    <w:rsid w:val="004079D8"/>
    <w:rsid w:val="00410085"/>
    <w:rsid w:val="004104CD"/>
    <w:rsid w:val="004108BB"/>
    <w:rsid w:val="00410984"/>
    <w:rsid w:val="00410C89"/>
    <w:rsid w:val="00410D0B"/>
    <w:rsid w:val="00410E1B"/>
    <w:rsid w:val="004114E8"/>
    <w:rsid w:val="00411558"/>
    <w:rsid w:val="00411A97"/>
    <w:rsid w:val="00411CBD"/>
    <w:rsid w:val="00411E72"/>
    <w:rsid w:val="00411FFE"/>
    <w:rsid w:val="00412085"/>
    <w:rsid w:val="004127A6"/>
    <w:rsid w:val="004130E6"/>
    <w:rsid w:val="00413121"/>
    <w:rsid w:val="00413460"/>
    <w:rsid w:val="00413697"/>
    <w:rsid w:val="00413730"/>
    <w:rsid w:val="004138E2"/>
    <w:rsid w:val="00413CD9"/>
    <w:rsid w:val="00413D27"/>
    <w:rsid w:val="004148DA"/>
    <w:rsid w:val="00414A23"/>
    <w:rsid w:val="00414ABC"/>
    <w:rsid w:val="00414D89"/>
    <w:rsid w:val="00415879"/>
    <w:rsid w:val="004164E4"/>
    <w:rsid w:val="00416CDB"/>
    <w:rsid w:val="00416DF2"/>
    <w:rsid w:val="00417674"/>
    <w:rsid w:val="00417B19"/>
    <w:rsid w:val="00420013"/>
    <w:rsid w:val="00420073"/>
    <w:rsid w:val="0042020F"/>
    <w:rsid w:val="0042037F"/>
    <w:rsid w:val="00420DFF"/>
    <w:rsid w:val="00420E5D"/>
    <w:rsid w:val="004210E8"/>
    <w:rsid w:val="004220E5"/>
    <w:rsid w:val="004227FA"/>
    <w:rsid w:val="0042297C"/>
    <w:rsid w:val="00422DD4"/>
    <w:rsid w:val="00422F6E"/>
    <w:rsid w:val="0042342D"/>
    <w:rsid w:val="004234E1"/>
    <w:rsid w:val="004236AC"/>
    <w:rsid w:val="00423B46"/>
    <w:rsid w:val="00423EF9"/>
    <w:rsid w:val="00423F1B"/>
    <w:rsid w:val="00424306"/>
    <w:rsid w:val="004243B4"/>
    <w:rsid w:val="00424654"/>
    <w:rsid w:val="00424832"/>
    <w:rsid w:val="00424833"/>
    <w:rsid w:val="00424DD0"/>
    <w:rsid w:val="004250DD"/>
    <w:rsid w:val="0042523C"/>
    <w:rsid w:val="00425838"/>
    <w:rsid w:val="004258D6"/>
    <w:rsid w:val="004259DA"/>
    <w:rsid w:val="00425FBE"/>
    <w:rsid w:val="004261B1"/>
    <w:rsid w:val="00426272"/>
    <w:rsid w:val="00426819"/>
    <w:rsid w:val="00426D0B"/>
    <w:rsid w:val="004271AF"/>
    <w:rsid w:val="00427AC1"/>
    <w:rsid w:val="00427C08"/>
    <w:rsid w:val="00427F02"/>
    <w:rsid w:val="00430819"/>
    <w:rsid w:val="00430BC5"/>
    <w:rsid w:val="00431723"/>
    <w:rsid w:val="00431C43"/>
    <w:rsid w:val="00431C4A"/>
    <w:rsid w:val="00431E17"/>
    <w:rsid w:val="00432807"/>
    <w:rsid w:val="0043295E"/>
    <w:rsid w:val="00432C05"/>
    <w:rsid w:val="00432EEE"/>
    <w:rsid w:val="004331BF"/>
    <w:rsid w:val="00433209"/>
    <w:rsid w:val="00433541"/>
    <w:rsid w:val="00433637"/>
    <w:rsid w:val="0043394F"/>
    <w:rsid w:val="00433D0A"/>
    <w:rsid w:val="00433D3F"/>
    <w:rsid w:val="00433EB1"/>
    <w:rsid w:val="00433F27"/>
    <w:rsid w:val="00434062"/>
    <w:rsid w:val="00434531"/>
    <w:rsid w:val="00434762"/>
    <w:rsid w:val="004359AA"/>
    <w:rsid w:val="00436486"/>
    <w:rsid w:val="00436533"/>
    <w:rsid w:val="00436721"/>
    <w:rsid w:val="00436727"/>
    <w:rsid w:val="00436A0C"/>
    <w:rsid w:val="00436B41"/>
    <w:rsid w:val="00436B6A"/>
    <w:rsid w:val="00436E6E"/>
    <w:rsid w:val="004378F9"/>
    <w:rsid w:val="00437C1A"/>
    <w:rsid w:val="00437CF6"/>
    <w:rsid w:val="00437D20"/>
    <w:rsid w:val="004407EF"/>
    <w:rsid w:val="00440938"/>
    <w:rsid w:val="00440F7D"/>
    <w:rsid w:val="004413AC"/>
    <w:rsid w:val="00441747"/>
    <w:rsid w:val="00441BA1"/>
    <w:rsid w:val="00441E2E"/>
    <w:rsid w:val="0044225A"/>
    <w:rsid w:val="004423CF"/>
    <w:rsid w:val="004423FC"/>
    <w:rsid w:val="00442B1E"/>
    <w:rsid w:val="00442CA7"/>
    <w:rsid w:val="00442D61"/>
    <w:rsid w:val="00442DD3"/>
    <w:rsid w:val="00443148"/>
    <w:rsid w:val="004431DA"/>
    <w:rsid w:val="00443DD6"/>
    <w:rsid w:val="00443E3B"/>
    <w:rsid w:val="004440FB"/>
    <w:rsid w:val="0044425F"/>
    <w:rsid w:val="0044464B"/>
    <w:rsid w:val="004446BB"/>
    <w:rsid w:val="00445D0D"/>
    <w:rsid w:val="00446AD5"/>
    <w:rsid w:val="00446AE7"/>
    <w:rsid w:val="00447A17"/>
    <w:rsid w:val="004502BE"/>
    <w:rsid w:val="00450341"/>
    <w:rsid w:val="00450C73"/>
    <w:rsid w:val="00450CEE"/>
    <w:rsid w:val="00450E0A"/>
    <w:rsid w:val="00450FC4"/>
    <w:rsid w:val="00451B03"/>
    <w:rsid w:val="00451B55"/>
    <w:rsid w:val="00452867"/>
    <w:rsid w:val="004528DB"/>
    <w:rsid w:val="00453202"/>
    <w:rsid w:val="00453A6B"/>
    <w:rsid w:val="00453BBF"/>
    <w:rsid w:val="00454105"/>
    <w:rsid w:val="004545E7"/>
    <w:rsid w:val="004548F9"/>
    <w:rsid w:val="00454C98"/>
    <w:rsid w:val="00454CFC"/>
    <w:rsid w:val="00454D27"/>
    <w:rsid w:val="00454DD6"/>
    <w:rsid w:val="00455608"/>
    <w:rsid w:val="00456478"/>
    <w:rsid w:val="004564D9"/>
    <w:rsid w:val="0045657C"/>
    <w:rsid w:val="00457701"/>
    <w:rsid w:val="0045773F"/>
    <w:rsid w:val="00457E4D"/>
    <w:rsid w:val="004605B4"/>
    <w:rsid w:val="0046115D"/>
    <w:rsid w:val="00461366"/>
    <w:rsid w:val="0046174A"/>
    <w:rsid w:val="00461841"/>
    <w:rsid w:val="0046193F"/>
    <w:rsid w:val="00461E82"/>
    <w:rsid w:val="00461FA7"/>
    <w:rsid w:val="004621B5"/>
    <w:rsid w:val="0046284C"/>
    <w:rsid w:val="00462BCF"/>
    <w:rsid w:val="00462C79"/>
    <w:rsid w:val="00462E45"/>
    <w:rsid w:val="00462EC8"/>
    <w:rsid w:val="00463185"/>
    <w:rsid w:val="004632D0"/>
    <w:rsid w:val="00463341"/>
    <w:rsid w:val="00463777"/>
    <w:rsid w:val="00463AE7"/>
    <w:rsid w:val="00463E1F"/>
    <w:rsid w:val="00464BDF"/>
    <w:rsid w:val="00465008"/>
    <w:rsid w:val="0046500D"/>
    <w:rsid w:val="00465A8B"/>
    <w:rsid w:val="00465D5A"/>
    <w:rsid w:val="004663A0"/>
    <w:rsid w:val="00466845"/>
    <w:rsid w:val="004668CD"/>
    <w:rsid w:val="00466974"/>
    <w:rsid w:val="00466B72"/>
    <w:rsid w:val="004672E8"/>
    <w:rsid w:val="004675AE"/>
    <w:rsid w:val="00467912"/>
    <w:rsid w:val="00467A81"/>
    <w:rsid w:val="004702DA"/>
    <w:rsid w:val="00470507"/>
    <w:rsid w:val="004705F9"/>
    <w:rsid w:val="00470751"/>
    <w:rsid w:val="00470868"/>
    <w:rsid w:val="00470BD0"/>
    <w:rsid w:val="00470C39"/>
    <w:rsid w:val="00470FB2"/>
    <w:rsid w:val="00470FCA"/>
    <w:rsid w:val="0047199A"/>
    <w:rsid w:val="004726EE"/>
    <w:rsid w:val="004726FB"/>
    <w:rsid w:val="004727F6"/>
    <w:rsid w:val="00472F2D"/>
    <w:rsid w:val="004731CA"/>
    <w:rsid w:val="004731FA"/>
    <w:rsid w:val="0047356A"/>
    <w:rsid w:val="004737A7"/>
    <w:rsid w:val="00474048"/>
    <w:rsid w:val="00474273"/>
    <w:rsid w:val="00474497"/>
    <w:rsid w:val="004744CB"/>
    <w:rsid w:val="00474BD1"/>
    <w:rsid w:val="00475043"/>
    <w:rsid w:val="00475060"/>
    <w:rsid w:val="00475295"/>
    <w:rsid w:val="00475D99"/>
    <w:rsid w:val="00475E36"/>
    <w:rsid w:val="00476DB4"/>
    <w:rsid w:val="00477103"/>
    <w:rsid w:val="004771E8"/>
    <w:rsid w:val="004777F6"/>
    <w:rsid w:val="00477A93"/>
    <w:rsid w:val="00477FA0"/>
    <w:rsid w:val="00480270"/>
    <w:rsid w:val="00480A63"/>
    <w:rsid w:val="00480B89"/>
    <w:rsid w:val="00481107"/>
    <w:rsid w:val="00481468"/>
    <w:rsid w:val="004817A8"/>
    <w:rsid w:val="00481926"/>
    <w:rsid w:val="00481B96"/>
    <w:rsid w:val="00482026"/>
    <w:rsid w:val="00482037"/>
    <w:rsid w:val="0048204B"/>
    <w:rsid w:val="00482519"/>
    <w:rsid w:val="004827D3"/>
    <w:rsid w:val="0048367F"/>
    <w:rsid w:val="004837D5"/>
    <w:rsid w:val="00483A27"/>
    <w:rsid w:val="00483D24"/>
    <w:rsid w:val="00483D43"/>
    <w:rsid w:val="00484FEC"/>
    <w:rsid w:val="0048592A"/>
    <w:rsid w:val="00485A2E"/>
    <w:rsid w:val="00485C2D"/>
    <w:rsid w:val="00485E9E"/>
    <w:rsid w:val="00485FFC"/>
    <w:rsid w:val="00486476"/>
    <w:rsid w:val="00486DFB"/>
    <w:rsid w:val="00487A2B"/>
    <w:rsid w:val="00487AD4"/>
    <w:rsid w:val="004901EE"/>
    <w:rsid w:val="00490A38"/>
    <w:rsid w:val="004913C3"/>
    <w:rsid w:val="00492022"/>
    <w:rsid w:val="004925DC"/>
    <w:rsid w:val="00492B1E"/>
    <w:rsid w:val="00493174"/>
    <w:rsid w:val="00493CFD"/>
    <w:rsid w:val="00493F53"/>
    <w:rsid w:val="004941ED"/>
    <w:rsid w:val="004941F3"/>
    <w:rsid w:val="00494280"/>
    <w:rsid w:val="0049452B"/>
    <w:rsid w:val="00494540"/>
    <w:rsid w:val="0049596C"/>
    <w:rsid w:val="00495EB1"/>
    <w:rsid w:val="00496457"/>
    <w:rsid w:val="0049668A"/>
    <w:rsid w:val="00496775"/>
    <w:rsid w:val="004967CB"/>
    <w:rsid w:val="00497F95"/>
    <w:rsid w:val="004A07FC"/>
    <w:rsid w:val="004A09CD"/>
    <w:rsid w:val="004A0CA7"/>
    <w:rsid w:val="004A0EF3"/>
    <w:rsid w:val="004A125E"/>
    <w:rsid w:val="004A13B1"/>
    <w:rsid w:val="004A1BA9"/>
    <w:rsid w:val="004A1E0E"/>
    <w:rsid w:val="004A1E13"/>
    <w:rsid w:val="004A1E67"/>
    <w:rsid w:val="004A212C"/>
    <w:rsid w:val="004A2235"/>
    <w:rsid w:val="004A2A56"/>
    <w:rsid w:val="004A2B4F"/>
    <w:rsid w:val="004A308C"/>
    <w:rsid w:val="004A30F7"/>
    <w:rsid w:val="004A3636"/>
    <w:rsid w:val="004A369D"/>
    <w:rsid w:val="004A497C"/>
    <w:rsid w:val="004A4D4D"/>
    <w:rsid w:val="004A503C"/>
    <w:rsid w:val="004A6111"/>
    <w:rsid w:val="004A6119"/>
    <w:rsid w:val="004A6E42"/>
    <w:rsid w:val="004A7070"/>
    <w:rsid w:val="004A7BAB"/>
    <w:rsid w:val="004B0258"/>
    <w:rsid w:val="004B1D01"/>
    <w:rsid w:val="004B1E04"/>
    <w:rsid w:val="004B1E19"/>
    <w:rsid w:val="004B2305"/>
    <w:rsid w:val="004B24C6"/>
    <w:rsid w:val="004B3725"/>
    <w:rsid w:val="004B3DB4"/>
    <w:rsid w:val="004B4526"/>
    <w:rsid w:val="004B53B9"/>
    <w:rsid w:val="004B548D"/>
    <w:rsid w:val="004B54E9"/>
    <w:rsid w:val="004B5676"/>
    <w:rsid w:val="004B5777"/>
    <w:rsid w:val="004B5C18"/>
    <w:rsid w:val="004B6121"/>
    <w:rsid w:val="004B65A4"/>
    <w:rsid w:val="004B6AFE"/>
    <w:rsid w:val="004B7C64"/>
    <w:rsid w:val="004C025E"/>
    <w:rsid w:val="004C02A1"/>
    <w:rsid w:val="004C04E7"/>
    <w:rsid w:val="004C0973"/>
    <w:rsid w:val="004C1334"/>
    <w:rsid w:val="004C15A7"/>
    <w:rsid w:val="004C2B5B"/>
    <w:rsid w:val="004C31D6"/>
    <w:rsid w:val="004C3832"/>
    <w:rsid w:val="004C3A72"/>
    <w:rsid w:val="004C497F"/>
    <w:rsid w:val="004C4A36"/>
    <w:rsid w:val="004C582D"/>
    <w:rsid w:val="004C597B"/>
    <w:rsid w:val="004C5A39"/>
    <w:rsid w:val="004C5EA2"/>
    <w:rsid w:val="004C653A"/>
    <w:rsid w:val="004C71A9"/>
    <w:rsid w:val="004C73FD"/>
    <w:rsid w:val="004C7630"/>
    <w:rsid w:val="004C775B"/>
    <w:rsid w:val="004D02F5"/>
    <w:rsid w:val="004D035B"/>
    <w:rsid w:val="004D0362"/>
    <w:rsid w:val="004D05B3"/>
    <w:rsid w:val="004D07B0"/>
    <w:rsid w:val="004D0B57"/>
    <w:rsid w:val="004D0D7B"/>
    <w:rsid w:val="004D0E18"/>
    <w:rsid w:val="004D136F"/>
    <w:rsid w:val="004D1814"/>
    <w:rsid w:val="004D195D"/>
    <w:rsid w:val="004D1AB9"/>
    <w:rsid w:val="004D1CC5"/>
    <w:rsid w:val="004D1CDB"/>
    <w:rsid w:val="004D1EDC"/>
    <w:rsid w:val="004D2247"/>
    <w:rsid w:val="004D273F"/>
    <w:rsid w:val="004D2DF1"/>
    <w:rsid w:val="004D3425"/>
    <w:rsid w:val="004D366B"/>
    <w:rsid w:val="004D39B2"/>
    <w:rsid w:val="004D41BB"/>
    <w:rsid w:val="004D4598"/>
    <w:rsid w:val="004D4F9C"/>
    <w:rsid w:val="004D5304"/>
    <w:rsid w:val="004D5426"/>
    <w:rsid w:val="004D579C"/>
    <w:rsid w:val="004D6B5D"/>
    <w:rsid w:val="004D75D3"/>
    <w:rsid w:val="004D768B"/>
    <w:rsid w:val="004D7F45"/>
    <w:rsid w:val="004E017E"/>
    <w:rsid w:val="004E0C8C"/>
    <w:rsid w:val="004E117E"/>
    <w:rsid w:val="004E1471"/>
    <w:rsid w:val="004E157C"/>
    <w:rsid w:val="004E1605"/>
    <w:rsid w:val="004E16B6"/>
    <w:rsid w:val="004E185A"/>
    <w:rsid w:val="004E1C8E"/>
    <w:rsid w:val="004E256C"/>
    <w:rsid w:val="004E2785"/>
    <w:rsid w:val="004E33A2"/>
    <w:rsid w:val="004E393A"/>
    <w:rsid w:val="004E4460"/>
    <w:rsid w:val="004E5437"/>
    <w:rsid w:val="004E58DA"/>
    <w:rsid w:val="004E6277"/>
    <w:rsid w:val="004E64DC"/>
    <w:rsid w:val="004E65E8"/>
    <w:rsid w:val="004E6999"/>
    <w:rsid w:val="004E76FF"/>
    <w:rsid w:val="004E793A"/>
    <w:rsid w:val="004E7969"/>
    <w:rsid w:val="004E7D5A"/>
    <w:rsid w:val="004E7D8A"/>
    <w:rsid w:val="004E7E30"/>
    <w:rsid w:val="004F0644"/>
    <w:rsid w:val="004F0902"/>
    <w:rsid w:val="004F0AC2"/>
    <w:rsid w:val="004F0E2F"/>
    <w:rsid w:val="004F0FFB"/>
    <w:rsid w:val="004F13D6"/>
    <w:rsid w:val="004F1944"/>
    <w:rsid w:val="004F21CB"/>
    <w:rsid w:val="004F2279"/>
    <w:rsid w:val="004F3015"/>
    <w:rsid w:val="004F30BB"/>
    <w:rsid w:val="004F35B3"/>
    <w:rsid w:val="004F3E10"/>
    <w:rsid w:val="004F4127"/>
    <w:rsid w:val="004F4191"/>
    <w:rsid w:val="004F4B88"/>
    <w:rsid w:val="004F4DA9"/>
    <w:rsid w:val="004F55AE"/>
    <w:rsid w:val="004F5AB4"/>
    <w:rsid w:val="004F64E2"/>
    <w:rsid w:val="004F6DED"/>
    <w:rsid w:val="004F6F30"/>
    <w:rsid w:val="004F7CBD"/>
    <w:rsid w:val="004F7D8A"/>
    <w:rsid w:val="004F7EA0"/>
    <w:rsid w:val="004F7F08"/>
    <w:rsid w:val="00500175"/>
    <w:rsid w:val="005004A8"/>
    <w:rsid w:val="005004B6"/>
    <w:rsid w:val="00500917"/>
    <w:rsid w:val="0050117E"/>
    <w:rsid w:val="00501599"/>
    <w:rsid w:val="00501CCF"/>
    <w:rsid w:val="005024A1"/>
    <w:rsid w:val="00503825"/>
    <w:rsid w:val="00504205"/>
    <w:rsid w:val="00504EA2"/>
    <w:rsid w:val="00504FD3"/>
    <w:rsid w:val="005051C5"/>
    <w:rsid w:val="005054E0"/>
    <w:rsid w:val="005066D6"/>
    <w:rsid w:val="00506773"/>
    <w:rsid w:val="00506835"/>
    <w:rsid w:val="00506BA6"/>
    <w:rsid w:val="00506BE7"/>
    <w:rsid w:val="00506C54"/>
    <w:rsid w:val="00506D99"/>
    <w:rsid w:val="0050728B"/>
    <w:rsid w:val="00507391"/>
    <w:rsid w:val="005074EA"/>
    <w:rsid w:val="0050765B"/>
    <w:rsid w:val="005077C5"/>
    <w:rsid w:val="005079CE"/>
    <w:rsid w:val="00507AD3"/>
    <w:rsid w:val="00510430"/>
    <w:rsid w:val="00510606"/>
    <w:rsid w:val="00510B2D"/>
    <w:rsid w:val="005111C0"/>
    <w:rsid w:val="0051191E"/>
    <w:rsid w:val="0051313B"/>
    <w:rsid w:val="00513201"/>
    <w:rsid w:val="0051323D"/>
    <w:rsid w:val="005139C3"/>
    <w:rsid w:val="00513F9F"/>
    <w:rsid w:val="005140EB"/>
    <w:rsid w:val="005143E6"/>
    <w:rsid w:val="00514A89"/>
    <w:rsid w:val="00514C0C"/>
    <w:rsid w:val="00514C7C"/>
    <w:rsid w:val="00515137"/>
    <w:rsid w:val="005158C4"/>
    <w:rsid w:val="00515D1F"/>
    <w:rsid w:val="0051603B"/>
    <w:rsid w:val="0051615E"/>
    <w:rsid w:val="005162A1"/>
    <w:rsid w:val="005167DF"/>
    <w:rsid w:val="00516900"/>
    <w:rsid w:val="005177B2"/>
    <w:rsid w:val="005202A2"/>
    <w:rsid w:val="0052054E"/>
    <w:rsid w:val="0052056F"/>
    <w:rsid w:val="0052084A"/>
    <w:rsid w:val="00520AD9"/>
    <w:rsid w:val="00520B30"/>
    <w:rsid w:val="00520FAF"/>
    <w:rsid w:val="00521168"/>
    <w:rsid w:val="005216D9"/>
    <w:rsid w:val="005217EA"/>
    <w:rsid w:val="00522A01"/>
    <w:rsid w:val="005230E6"/>
    <w:rsid w:val="00523208"/>
    <w:rsid w:val="005237C2"/>
    <w:rsid w:val="00523920"/>
    <w:rsid w:val="00523CE6"/>
    <w:rsid w:val="00524460"/>
    <w:rsid w:val="0052462B"/>
    <w:rsid w:val="00524A35"/>
    <w:rsid w:val="00524C29"/>
    <w:rsid w:val="0052544C"/>
    <w:rsid w:val="00525731"/>
    <w:rsid w:val="00525CE8"/>
    <w:rsid w:val="005266A2"/>
    <w:rsid w:val="00526ECB"/>
    <w:rsid w:val="005278AA"/>
    <w:rsid w:val="00527C06"/>
    <w:rsid w:val="005303B0"/>
    <w:rsid w:val="0053074F"/>
    <w:rsid w:val="005308EC"/>
    <w:rsid w:val="00530AD9"/>
    <w:rsid w:val="00530E28"/>
    <w:rsid w:val="00532A55"/>
    <w:rsid w:val="0053321B"/>
    <w:rsid w:val="005334CA"/>
    <w:rsid w:val="00533F21"/>
    <w:rsid w:val="00534461"/>
    <w:rsid w:val="0053472B"/>
    <w:rsid w:val="00534CCD"/>
    <w:rsid w:val="005351ED"/>
    <w:rsid w:val="00535C85"/>
    <w:rsid w:val="00536C2D"/>
    <w:rsid w:val="00536F00"/>
    <w:rsid w:val="0053736A"/>
    <w:rsid w:val="005379FE"/>
    <w:rsid w:val="00537D6D"/>
    <w:rsid w:val="00537FFB"/>
    <w:rsid w:val="005400BD"/>
    <w:rsid w:val="00540FD4"/>
    <w:rsid w:val="00541425"/>
    <w:rsid w:val="00541671"/>
    <w:rsid w:val="00541777"/>
    <w:rsid w:val="00541A38"/>
    <w:rsid w:val="00541EC1"/>
    <w:rsid w:val="00542241"/>
    <w:rsid w:val="005427CF"/>
    <w:rsid w:val="00542869"/>
    <w:rsid w:val="00542D66"/>
    <w:rsid w:val="00542E78"/>
    <w:rsid w:val="0054319A"/>
    <w:rsid w:val="005431E5"/>
    <w:rsid w:val="005436DD"/>
    <w:rsid w:val="0054373B"/>
    <w:rsid w:val="00543787"/>
    <w:rsid w:val="00543799"/>
    <w:rsid w:val="00543934"/>
    <w:rsid w:val="00543A77"/>
    <w:rsid w:val="00543E52"/>
    <w:rsid w:val="00543E67"/>
    <w:rsid w:val="00543F8E"/>
    <w:rsid w:val="00544B64"/>
    <w:rsid w:val="00544F21"/>
    <w:rsid w:val="005456CB"/>
    <w:rsid w:val="00545805"/>
    <w:rsid w:val="005459A2"/>
    <w:rsid w:val="00546895"/>
    <w:rsid w:val="005469EB"/>
    <w:rsid w:val="005469F9"/>
    <w:rsid w:val="00546A6B"/>
    <w:rsid w:val="00546CF0"/>
    <w:rsid w:val="005473DD"/>
    <w:rsid w:val="0054798B"/>
    <w:rsid w:val="005502B0"/>
    <w:rsid w:val="005502BB"/>
    <w:rsid w:val="0055070D"/>
    <w:rsid w:val="00550C7A"/>
    <w:rsid w:val="00550E2A"/>
    <w:rsid w:val="00550E70"/>
    <w:rsid w:val="00551202"/>
    <w:rsid w:val="005517B7"/>
    <w:rsid w:val="00551DC6"/>
    <w:rsid w:val="005523A1"/>
    <w:rsid w:val="00552451"/>
    <w:rsid w:val="00552A75"/>
    <w:rsid w:val="00552AE1"/>
    <w:rsid w:val="005530A1"/>
    <w:rsid w:val="005531DA"/>
    <w:rsid w:val="00553572"/>
    <w:rsid w:val="005535CD"/>
    <w:rsid w:val="0055372B"/>
    <w:rsid w:val="00553782"/>
    <w:rsid w:val="00553B9E"/>
    <w:rsid w:val="00553F8A"/>
    <w:rsid w:val="005555CF"/>
    <w:rsid w:val="00555E0E"/>
    <w:rsid w:val="0055625B"/>
    <w:rsid w:val="00556308"/>
    <w:rsid w:val="00556E20"/>
    <w:rsid w:val="00557199"/>
    <w:rsid w:val="0055751C"/>
    <w:rsid w:val="00557A8E"/>
    <w:rsid w:val="00560655"/>
    <w:rsid w:val="0056140A"/>
    <w:rsid w:val="0056164E"/>
    <w:rsid w:val="00561702"/>
    <w:rsid w:val="00562514"/>
    <w:rsid w:val="00562F55"/>
    <w:rsid w:val="00563228"/>
    <w:rsid w:val="0056394F"/>
    <w:rsid w:val="0056481E"/>
    <w:rsid w:val="00564B28"/>
    <w:rsid w:val="0056507E"/>
    <w:rsid w:val="0056563B"/>
    <w:rsid w:val="00565680"/>
    <w:rsid w:val="00565903"/>
    <w:rsid w:val="005659D0"/>
    <w:rsid w:val="00565C5D"/>
    <w:rsid w:val="00565C7B"/>
    <w:rsid w:val="00565E2A"/>
    <w:rsid w:val="005663FD"/>
    <w:rsid w:val="005668EA"/>
    <w:rsid w:val="005670E3"/>
    <w:rsid w:val="0056742A"/>
    <w:rsid w:val="00567459"/>
    <w:rsid w:val="005676BB"/>
    <w:rsid w:val="005679F7"/>
    <w:rsid w:val="00567A7C"/>
    <w:rsid w:val="00567F05"/>
    <w:rsid w:val="00567F98"/>
    <w:rsid w:val="0057055C"/>
    <w:rsid w:val="00570678"/>
    <w:rsid w:val="00570993"/>
    <w:rsid w:val="00570C9A"/>
    <w:rsid w:val="00570DA5"/>
    <w:rsid w:val="005723EC"/>
    <w:rsid w:val="00572854"/>
    <w:rsid w:val="005729E9"/>
    <w:rsid w:val="00573328"/>
    <w:rsid w:val="00573753"/>
    <w:rsid w:val="00573F33"/>
    <w:rsid w:val="00574090"/>
    <w:rsid w:val="0057457E"/>
    <w:rsid w:val="00574FFD"/>
    <w:rsid w:val="005752C4"/>
    <w:rsid w:val="00575409"/>
    <w:rsid w:val="00575482"/>
    <w:rsid w:val="0057549E"/>
    <w:rsid w:val="005755E3"/>
    <w:rsid w:val="005757AF"/>
    <w:rsid w:val="00575F3D"/>
    <w:rsid w:val="005761C1"/>
    <w:rsid w:val="005765CE"/>
    <w:rsid w:val="00577086"/>
    <w:rsid w:val="00577300"/>
    <w:rsid w:val="00577450"/>
    <w:rsid w:val="005779A7"/>
    <w:rsid w:val="00577FDE"/>
    <w:rsid w:val="00577FFE"/>
    <w:rsid w:val="005801DF"/>
    <w:rsid w:val="00580237"/>
    <w:rsid w:val="00580662"/>
    <w:rsid w:val="005807C1"/>
    <w:rsid w:val="005808AE"/>
    <w:rsid w:val="00580C8B"/>
    <w:rsid w:val="00581126"/>
    <w:rsid w:val="00581382"/>
    <w:rsid w:val="00581673"/>
    <w:rsid w:val="005818A7"/>
    <w:rsid w:val="00581B5A"/>
    <w:rsid w:val="00581C90"/>
    <w:rsid w:val="00581DBA"/>
    <w:rsid w:val="005822B9"/>
    <w:rsid w:val="00582354"/>
    <w:rsid w:val="005824F5"/>
    <w:rsid w:val="00582BEC"/>
    <w:rsid w:val="00582D72"/>
    <w:rsid w:val="0058320D"/>
    <w:rsid w:val="00583718"/>
    <w:rsid w:val="00583915"/>
    <w:rsid w:val="00583A37"/>
    <w:rsid w:val="00583A4C"/>
    <w:rsid w:val="00583B5D"/>
    <w:rsid w:val="00584B49"/>
    <w:rsid w:val="00584C1F"/>
    <w:rsid w:val="00585233"/>
    <w:rsid w:val="005856C4"/>
    <w:rsid w:val="005859E2"/>
    <w:rsid w:val="00585A07"/>
    <w:rsid w:val="005860CA"/>
    <w:rsid w:val="00587606"/>
    <w:rsid w:val="00587D8B"/>
    <w:rsid w:val="00587FFE"/>
    <w:rsid w:val="00590762"/>
    <w:rsid w:val="00590DDF"/>
    <w:rsid w:val="00591028"/>
    <w:rsid w:val="005910D0"/>
    <w:rsid w:val="0059174B"/>
    <w:rsid w:val="00592003"/>
    <w:rsid w:val="00592283"/>
    <w:rsid w:val="00592AFC"/>
    <w:rsid w:val="00592E00"/>
    <w:rsid w:val="00593670"/>
    <w:rsid w:val="005938F8"/>
    <w:rsid w:val="00593CD0"/>
    <w:rsid w:val="00593CE8"/>
    <w:rsid w:val="00593D98"/>
    <w:rsid w:val="00594069"/>
    <w:rsid w:val="00594240"/>
    <w:rsid w:val="00594EEA"/>
    <w:rsid w:val="0059513B"/>
    <w:rsid w:val="005952E7"/>
    <w:rsid w:val="00595323"/>
    <w:rsid w:val="00595507"/>
    <w:rsid w:val="0059594A"/>
    <w:rsid w:val="00595C27"/>
    <w:rsid w:val="00595D92"/>
    <w:rsid w:val="00596657"/>
    <w:rsid w:val="00596985"/>
    <w:rsid w:val="00596FED"/>
    <w:rsid w:val="00597148"/>
    <w:rsid w:val="00597337"/>
    <w:rsid w:val="005976F4"/>
    <w:rsid w:val="00597728"/>
    <w:rsid w:val="005A04F0"/>
    <w:rsid w:val="005A07D4"/>
    <w:rsid w:val="005A0DD4"/>
    <w:rsid w:val="005A1206"/>
    <w:rsid w:val="005A1551"/>
    <w:rsid w:val="005A17C2"/>
    <w:rsid w:val="005A1909"/>
    <w:rsid w:val="005A1997"/>
    <w:rsid w:val="005A1C2B"/>
    <w:rsid w:val="005A1F58"/>
    <w:rsid w:val="005A228C"/>
    <w:rsid w:val="005A242E"/>
    <w:rsid w:val="005A26B8"/>
    <w:rsid w:val="005A2981"/>
    <w:rsid w:val="005A2D87"/>
    <w:rsid w:val="005A368E"/>
    <w:rsid w:val="005A38B3"/>
    <w:rsid w:val="005A38FF"/>
    <w:rsid w:val="005A3AF8"/>
    <w:rsid w:val="005A3C28"/>
    <w:rsid w:val="005A43FF"/>
    <w:rsid w:val="005A48BE"/>
    <w:rsid w:val="005A4D88"/>
    <w:rsid w:val="005A5231"/>
    <w:rsid w:val="005A54DA"/>
    <w:rsid w:val="005A5520"/>
    <w:rsid w:val="005A5D60"/>
    <w:rsid w:val="005A5F42"/>
    <w:rsid w:val="005A6280"/>
    <w:rsid w:val="005A64EC"/>
    <w:rsid w:val="005A6B5C"/>
    <w:rsid w:val="005A6CC8"/>
    <w:rsid w:val="005A700C"/>
    <w:rsid w:val="005A7073"/>
    <w:rsid w:val="005A7C37"/>
    <w:rsid w:val="005B03BD"/>
    <w:rsid w:val="005B132D"/>
    <w:rsid w:val="005B16BC"/>
    <w:rsid w:val="005B17D6"/>
    <w:rsid w:val="005B180C"/>
    <w:rsid w:val="005B1B01"/>
    <w:rsid w:val="005B1ECD"/>
    <w:rsid w:val="005B2681"/>
    <w:rsid w:val="005B2765"/>
    <w:rsid w:val="005B28C1"/>
    <w:rsid w:val="005B2A83"/>
    <w:rsid w:val="005B2AE9"/>
    <w:rsid w:val="005B32BE"/>
    <w:rsid w:val="005B42D7"/>
    <w:rsid w:val="005B43FA"/>
    <w:rsid w:val="005B4755"/>
    <w:rsid w:val="005B48CC"/>
    <w:rsid w:val="005B4A1D"/>
    <w:rsid w:val="005B4EC1"/>
    <w:rsid w:val="005B507B"/>
    <w:rsid w:val="005B52BA"/>
    <w:rsid w:val="005B52E9"/>
    <w:rsid w:val="005B5492"/>
    <w:rsid w:val="005B5920"/>
    <w:rsid w:val="005B5BD4"/>
    <w:rsid w:val="005B63DF"/>
    <w:rsid w:val="005B6955"/>
    <w:rsid w:val="005B6C37"/>
    <w:rsid w:val="005B7249"/>
    <w:rsid w:val="005B765C"/>
    <w:rsid w:val="005B7A2A"/>
    <w:rsid w:val="005C025F"/>
    <w:rsid w:val="005C06CB"/>
    <w:rsid w:val="005C06D6"/>
    <w:rsid w:val="005C07BA"/>
    <w:rsid w:val="005C091E"/>
    <w:rsid w:val="005C0A2F"/>
    <w:rsid w:val="005C0C64"/>
    <w:rsid w:val="005C0DF1"/>
    <w:rsid w:val="005C152B"/>
    <w:rsid w:val="005C1D4B"/>
    <w:rsid w:val="005C2B6E"/>
    <w:rsid w:val="005C3811"/>
    <w:rsid w:val="005C3A0A"/>
    <w:rsid w:val="005C3AB5"/>
    <w:rsid w:val="005C426B"/>
    <w:rsid w:val="005C44ED"/>
    <w:rsid w:val="005C4A30"/>
    <w:rsid w:val="005C4BAC"/>
    <w:rsid w:val="005C4C94"/>
    <w:rsid w:val="005C4CB7"/>
    <w:rsid w:val="005C4F4B"/>
    <w:rsid w:val="005C4F7F"/>
    <w:rsid w:val="005C50B8"/>
    <w:rsid w:val="005C51EB"/>
    <w:rsid w:val="005C51FD"/>
    <w:rsid w:val="005C5293"/>
    <w:rsid w:val="005C5402"/>
    <w:rsid w:val="005C5682"/>
    <w:rsid w:val="005C5DC4"/>
    <w:rsid w:val="005C5E4B"/>
    <w:rsid w:val="005C5F01"/>
    <w:rsid w:val="005C61C3"/>
    <w:rsid w:val="005C6616"/>
    <w:rsid w:val="005C6BC0"/>
    <w:rsid w:val="005C72AC"/>
    <w:rsid w:val="005C773D"/>
    <w:rsid w:val="005C78D3"/>
    <w:rsid w:val="005D05DE"/>
    <w:rsid w:val="005D0ADC"/>
    <w:rsid w:val="005D0CD9"/>
    <w:rsid w:val="005D0E2F"/>
    <w:rsid w:val="005D112E"/>
    <w:rsid w:val="005D15F9"/>
    <w:rsid w:val="005D17F2"/>
    <w:rsid w:val="005D18A5"/>
    <w:rsid w:val="005D1948"/>
    <w:rsid w:val="005D20FA"/>
    <w:rsid w:val="005D26AB"/>
    <w:rsid w:val="005D2ACB"/>
    <w:rsid w:val="005D2AF4"/>
    <w:rsid w:val="005D2BA3"/>
    <w:rsid w:val="005D3AE6"/>
    <w:rsid w:val="005D3BFA"/>
    <w:rsid w:val="005D3D66"/>
    <w:rsid w:val="005D3DE7"/>
    <w:rsid w:val="005D3DF3"/>
    <w:rsid w:val="005D470E"/>
    <w:rsid w:val="005D48CB"/>
    <w:rsid w:val="005D4902"/>
    <w:rsid w:val="005D5247"/>
    <w:rsid w:val="005D533E"/>
    <w:rsid w:val="005D5681"/>
    <w:rsid w:val="005D604D"/>
    <w:rsid w:val="005D61E0"/>
    <w:rsid w:val="005D6D02"/>
    <w:rsid w:val="005D6DE1"/>
    <w:rsid w:val="005D6EC4"/>
    <w:rsid w:val="005D7114"/>
    <w:rsid w:val="005D7B04"/>
    <w:rsid w:val="005E0628"/>
    <w:rsid w:val="005E12B6"/>
    <w:rsid w:val="005E1438"/>
    <w:rsid w:val="005E2815"/>
    <w:rsid w:val="005E2A0C"/>
    <w:rsid w:val="005E2BF5"/>
    <w:rsid w:val="005E309E"/>
    <w:rsid w:val="005E3325"/>
    <w:rsid w:val="005E335E"/>
    <w:rsid w:val="005E3F0B"/>
    <w:rsid w:val="005E4F7C"/>
    <w:rsid w:val="005E52D3"/>
    <w:rsid w:val="005E56FC"/>
    <w:rsid w:val="005E64F0"/>
    <w:rsid w:val="005E6931"/>
    <w:rsid w:val="005E7A9F"/>
    <w:rsid w:val="005E7CE4"/>
    <w:rsid w:val="005E7E7C"/>
    <w:rsid w:val="005E7EBC"/>
    <w:rsid w:val="005F0A13"/>
    <w:rsid w:val="005F19E5"/>
    <w:rsid w:val="005F1FB6"/>
    <w:rsid w:val="005F227B"/>
    <w:rsid w:val="005F240F"/>
    <w:rsid w:val="005F2490"/>
    <w:rsid w:val="005F2673"/>
    <w:rsid w:val="005F2AA5"/>
    <w:rsid w:val="005F2B90"/>
    <w:rsid w:val="005F374E"/>
    <w:rsid w:val="005F37EF"/>
    <w:rsid w:val="005F411A"/>
    <w:rsid w:val="005F43EA"/>
    <w:rsid w:val="005F4438"/>
    <w:rsid w:val="005F4B8B"/>
    <w:rsid w:val="005F52B0"/>
    <w:rsid w:val="005F5683"/>
    <w:rsid w:val="005F56F1"/>
    <w:rsid w:val="005F584D"/>
    <w:rsid w:val="005F58CF"/>
    <w:rsid w:val="005F5903"/>
    <w:rsid w:val="005F5A25"/>
    <w:rsid w:val="005F5AFA"/>
    <w:rsid w:val="005F63EE"/>
    <w:rsid w:val="005F6A15"/>
    <w:rsid w:val="005F6A27"/>
    <w:rsid w:val="005F72FE"/>
    <w:rsid w:val="005F761B"/>
    <w:rsid w:val="005F76AB"/>
    <w:rsid w:val="006001DB"/>
    <w:rsid w:val="00600216"/>
    <w:rsid w:val="006008E6"/>
    <w:rsid w:val="00600DD2"/>
    <w:rsid w:val="006011CC"/>
    <w:rsid w:val="00601E94"/>
    <w:rsid w:val="006022B5"/>
    <w:rsid w:val="006026A3"/>
    <w:rsid w:val="006027CB"/>
    <w:rsid w:val="00602BEA"/>
    <w:rsid w:val="00602CBE"/>
    <w:rsid w:val="0060364D"/>
    <w:rsid w:val="00603B6A"/>
    <w:rsid w:val="00603BE9"/>
    <w:rsid w:val="006040CC"/>
    <w:rsid w:val="006047B3"/>
    <w:rsid w:val="00604880"/>
    <w:rsid w:val="00604AD8"/>
    <w:rsid w:val="00604C5F"/>
    <w:rsid w:val="0060505A"/>
    <w:rsid w:val="0060567A"/>
    <w:rsid w:val="006058B8"/>
    <w:rsid w:val="00605B88"/>
    <w:rsid w:val="00606084"/>
    <w:rsid w:val="00606289"/>
    <w:rsid w:val="00606810"/>
    <w:rsid w:val="00606A14"/>
    <w:rsid w:val="00606AF2"/>
    <w:rsid w:val="00606D5C"/>
    <w:rsid w:val="00606D7E"/>
    <w:rsid w:val="00607B09"/>
    <w:rsid w:val="00607E2D"/>
    <w:rsid w:val="0061065F"/>
    <w:rsid w:val="0061078F"/>
    <w:rsid w:val="0061097C"/>
    <w:rsid w:val="00611361"/>
    <w:rsid w:val="006117CC"/>
    <w:rsid w:val="00611A13"/>
    <w:rsid w:val="00611AC1"/>
    <w:rsid w:val="0061215E"/>
    <w:rsid w:val="00612465"/>
    <w:rsid w:val="0061255B"/>
    <w:rsid w:val="00612711"/>
    <w:rsid w:val="00612C9B"/>
    <w:rsid w:val="006134AC"/>
    <w:rsid w:val="00613877"/>
    <w:rsid w:val="00613EC5"/>
    <w:rsid w:val="0061408F"/>
    <w:rsid w:val="006140FC"/>
    <w:rsid w:val="006142DC"/>
    <w:rsid w:val="00614590"/>
    <w:rsid w:val="006147FA"/>
    <w:rsid w:val="00614A87"/>
    <w:rsid w:val="00614BB0"/>
    <w:rsid w:val="00615780"/>
    <w:rsid w:val="0061579D"/>
    <w:rsid w:val="00615D17"/>
    <w:rsid w:val="00615F11"/>
    <w:rsid w:val="00616316"/>
    <w:rsid w:val="00616383"/>
    <w:rsid w:val="0061654B"/>
    <w:rsid w:val="00616B6C"/>
    <w:rsid w:val="00616E86"/>
    <w:rsid w:val="006173D7"/>
    <w:rsid w:val="0061791F"/>
    <w:rsid w:val="00617D9F"/>
    <w:rsid w:val="00620034"/>
    <w:rsid w:val="00620A6A"/>
    <w:rsid w:val="00620EE7"/>
    <w:rsid w:val="00621963"/>
    <w:rsid w:val="006219C5"/>
    <w:rsid w:val="00621B3F"/>
    <w:rsid w:val="00621B5E"/>
    <w:rsid w:val="0062224E"/>
    <w:rsid w:val="00622331"/>
    <w:rsid w:val="00622ECE"/>
    <w:rsid w:val="006230EE"/>
    <w:rsid w:val="00623316"/>
    <w:rsid w:val="00623515"/>
    <w:rsid w:val="00623723"/>
    <w:rsid w:val="006238A9"/>
    <w:rsid w:val="006239EA"/>
    <w:rsid w:val="00623C4A"/>
    <w:rsid w:val="00623CDB"/>
    <w:rsid w:val="00623E70"/>
    <w:rsid w:val="0062404E"/>
    <w:rsid w:val="006257A6"/>
    <w:rsid w:val="006258C2"/>
    <w:rsid w:val="00625AF1"/>
    <w:rsid w:val="00625C65"/>
    <w:rsid w:val="0062616F"/>
    <w:rsid w:val="006264F0"/>
    <w:rsid w:val="006267AD"/>
    <w:rsid w:val="006271A0"/>
    <w:rsid w:val="0062749D"/>
    <w:rsid w:val="006278DF"/>
    <w:rsid w:val="00627AA6"/>
    <w:rsid w:val="00627DB2"/>
    <w:rsid w:val="00630300"/>
    <w:rsid w:val="00630427"/>
    <w:rsid w:val="006307ED"/>
    <w:rsid w:val="00630A16"/>
    <w:rsid w:val="00630C67"/>
    <w:rsid w:val="00630D65"/>
    <w:rsid w:val="00631170"/>
    <w:rsid w:val="00631699"/>
    <w:rsid w:val="006319C3"/>
    <w:rsid w:val="006320D6"/>
    <w:rsid w:val="00632A2A"/>
    <w:rsid w:val="00632C63"/>
    <w:rsid w:val="006349EC"/>
    <w:rsid w:val="00635204"/>
    <w:rsid w:val="0063549A"/>
    <w:rsid w:val="006357B5"/>
    <w:rsid w:val="00635D9B"/>
    <w:rsid w:val="00635FD0"/>
    <w:rsid w:val="00636701"/>
    <w:rsid w:val="00636980"/>
    <w:rsid w:val="00636CC9"/>
    <w:rsid w:val="006372ED"/>
    <w:rsid w:val="006373D3"/>
    <w:rsid w:val="006379C2"/>
    <w:rsid w:val="00637CD3"/>
    <w:rsid w:val="00640031"/>
    <w:rsid w:val="006408BE"/>
    <w:rsid w:val="0064092D"/>
    <w:rsid w:val="00640D6C"/>
    <w:rsid w:val="00640D90"/>
    <w:rsid w:val="0064105E"/>
    <w:rsid w:val="00641276"/>
    <w:rsid w:val="00641583"/>
    <w:rsid w:val="00641F0E"/>
    <w:rsid w:val="00643E29"/>
    <w:rsid w:val="0064480D"/>
    <w:rsid w:val="00644C64"/>
    <w:rsid w:val="006454E7"/>
    <w:rsid w:val="0064560F"/>
    <w:rsid w:val="00645664"/>
    <w:rsid w:val="006456E9"/>
    <w:rsid w:val="00645C0D"/>
    <w:rsid w:val="00646E6B"/>
    <w:rsid w:val="006473B5"/>
    <w:rsid w:val="006474E6"/>
    <w:rsid w:val="00647503"/>
    <w:rsid w:val="0064762C"/>
    <w:rsid w:val="006477CC"/>
    <w:rsid w:val="00647805"/>
    <w:rsid w:val="0064798B"/>
    <w:rsid w:val="00647DA8"/>
    <w:rsid w:val="006501B4"/>
    <w:rsid w:val="00651070"/>
    <w:rsid w:val="00651A52"/>
    <w:rsid w:val="00651A9B"/>
    <w:rsid w:val="00651E97"/>
    <w:rsid w:val="00652C73"/>
    <w:rsid w:val="00653621"/>
    <w:rsid w:val="006539AF"/>
    <w:rsid w:val="006539B5"/>
    <w:rsid w:val="00653E7B"/>
    <w:rsid w:val="00653F7E"/>
    <w:rsid w:val="006547F9"/>
    <w:rsid w:val="00654858"/>
    <w:rsid w:val="0065489D"/>
    <w:rsid w:val="006548C9"/>
    <w:rsid w:val="00654AAD"/>
    <w:rsid w:val="00654D30"/>
    <w:rsid w:val="00654D91"/>
    <w:rsid w:val="0065543D"/>
    <w:rsid w:val="00655518"/>
    <w:rsid w:val="006559A5"/>
    <w:rsid w:val="006559C9"/>
    <w:rsid w:val="00656272"/>
    <w:rsid w:val="0065683B"/>
    <w:rsid w:val="00656BAB"/>
    <w:rsid w:val="00657171"/>
    <w:rsid w:val="00657E2A"/>
    <w:rsid w:val="006605DD"/>
    <w:rsid w:val="00660711"/>
    <w:rsid w:val="00660870"/>
    <w:rsid w:val="00660D65"/>
    <w:rsid w:val="00660E84"/>
    <w:rsid w:val="006610FB"/>
    <w:rsid w:val="006614E1"/>
    <w:rsid w:val="006615AD"/>
    <w:rsid w:val="00661D7C"/>
    <w:rsid w:val="0066223A"/>
    <w:rsid w:val="006622BE"/>
    <w:rsid w:val="00662678"/>
    <w:rsid w:val="00662DBA"/>
    <w:rsid w:val="00663970"/>
    <w:rsid w:val="0066426D"/>
    <w:rsid w:val="006643CE"/>
    <w:rsid w:val="006645B0"/>
    <w:rsid w:val="00664DD0"/>
    <w:rsid w:val="00664E1E"/>
    <w:rsid w:val="00664E44"/>
    <w:rsid w:val="00667F9C"/>
    <w:rsid w:val="006701FE"/>
    <w:rsid w:val="006712E5"/>
    <w:rsid w:val="006715B8"/>
    <w:rsid w:val="006717C3"/>
    <w:rsid w:val="00671A43"/>
    <w:rsid w:val="00671A63"/>
    <w:rsid w:val="006724E5"/>
    <w:rsid w:val="006725D7"/>
    <w:rsid w:val="006728BC"/>
    <w:rsid w:val="00672904"/>
    <w:rsid w:val="00672ACB"/>
    <w:rsid w:val="00673464"/>
    <w:rsid w:val="00673571"/>
    <w:rsid w:val="00673E19"/>
    <w:rsid w:val="0067403A"/>
    <w:rsid w:val="0067457A"/>
    <w:rsid w:val="006745A0"/>
    <w:rsid w:val="00674968"/>
    <w:rsid w:val="00674BB0"/>
    <w:rsid w:val="00674C1A"/>
    <w:rsid w:val="00674F30"/>
    <w:rsid w:val="00675128"/>
    <w:rsid w:val="006752BE"/>
    <w:rsid w:val="006755D7"/>
    <w:rsid w:val="0067563B"/>
    <w:rsid w:val="00675B38"/>
    <w:rsid w:val="00675E7A"/>
    <w:rsid w:val="00676634"/>
    <w:rsid w:val="00676941"/>
    <w:rsid w:val="0067697C"/>
    <w:rsid w:val="00676AB0"/>
    <w:rsid w:val="00676D1B"/>
    <w:rsid w:val="00676EA3"/>
    <w:rsid w:val="00676FE5"/>
    <w:rsid w:val="006777C1"/>
    <w:rsid w:val="006778A6"/>
    <w:rsid w:val="00677B15"/>
    <w:rsid w:val="00677B4D"/>
    <w:rsid w:val="00677E94"/>
    <w:rsid w:val="0068042F"/>
    <w:rsid w:val="006805AC"/>
    <w:rsid w:val="00680AA1"/>
    <w:rsid w:val="00682053"/>
    <w:rsid w:val="006828AE"/>
    <w:rsid w:val="006829C7"/>
    <w:rsid w:val="006829E1"/>
    <w:rsid w:val="00682EB4"/>
    <w:rsid w:val="00682F26"/>
    <w:rsid w:val="00683497"/>
    <w:rsid w:val="006839BE"/>
    <w:rsid w:val="00683DD8"/>
    <w:rsid w:val="00683F6F"/>
    <w:rsid w:val="00684184"/>
    <w:rsid w:val="006842DE"/>
    <w:rsid w:val="006843C4"/>
    <w:rsid w:val="006851EC"/>
    <w:rsid w:val="006853C0"/>
    <w:rsid w:val="0068546B"/>
    <w:rsid w:val="00685490"/>
    <w:rsid w:val="00685CB6"/>
    <w:rsid w:val="00685D19"/>
    <w:rsid w:val="00686352"/>
    <w:rsid w:val="006865ED"/>
    <w:rsid w:val="006867D5"/>
    <w:rsid w:val="00686918"/>
    <w:rsid w:val="00686AA7"/>
    <w:rsid w:val="00686E3E"/>
    <w:rsid w:val="00687509"/>
    <w:rsid w:val="00687645"/>
    <w:rsid w:val="0069015F"/>
    <w:rsid w:val="006901A0"/>
    <w:rsid w:val="00690AD1"/>
    <w:rsid w:val="00690F47"/>
    <w:rsid w:val="006918CA"/>
    <w:rsid w:val="00691CAE"/>
    <w:rsid w:val="00691DE0"/>
    <w:rsid w:val="0069201F"/>
    <w:rsid w:val="0069245E"/>
    <w:rsid w:val="00692500"/>
    <w:rsid w:val="00692DDE"/>
    <w:rsid w:val="00692FBF"/>
    <w:rsid w:val="006934C0"/>
    <w:rsid w:val="00693695"/>
    <w:rsid w:val="00693E28"/>
    <w:rsid w:val="0069412D"/>
    <w:rsid w:val="0069472C"/>
    <w:rsid w:val="0069490A"/>
    <w:rsid w:val="0069507A"/>
    <w:rsid w:val="0069561F"/>
    <w:rsid w:val="00696E2E"/>
    <w:rsid w:val="0069723E"/>
    <w:rsid w:val="00697A1A"/>
    <w:rsid w:val="00697A36"/>
    <w:rsid w:val="00697BFE"/>
    <w:rsid w:val="006A005A"/>
    <w:rsid w:val="006A0136"/>
    <w:rsid w:val="006A11E1"/>
    <w:rsid w:val="006A1225"/>
    <w:rsid w:val="006A12B4"/>
    <w:rsid w:val="006A1526"/>
    <w:rsid w:val="006A15CE"/>
    <w:rsid w:val="006A196B"/>
    <w:rsid w:val="006A1CCB"/>
    <w:rsid w:val="006A21C2"/>
    <w:rsid w:val="006A22FC"/>
    <w:rsid w:val="006A2501"/>
    <w:rsid w:val="006A3349"/>
    <w:rsid w:val="006A339D"/>
    <w:rsid w:val="006A3DD8"/>
    <w:rsid w:val="006A3F2A"/>
    <w:rsid w:val="006A4285"/>
    <w:rsid w:val="006A4714"/>
    <w:rsid w:val="006A4A29"/>
    <w:rsid w:val="006A4CFE"/>
    <w:rsid w:val="006A5555"/>
    <w:rsid w:val="006A5592"/>
    <w:rsid w:val="006A5593"/>
    <w:rsid w:val="006A5BEA"/>
    <w:rsid w:val="006A5F91"/>
    <w:rsid w:val="006A602B"/>
    <w:rsid w:val="006A63BE"/>
    <w:rsid w:val="006A68E0"/>
    <w:rsid w:val="006A694C"/>
    <w:rsid w:val="006A6A60"/>
    <w:rsid w:val="006A77EF"/>
    <w:rsid w:val="006A79B7"/>
    <w:rsid w:val="006A7E48"/>
    <w:rsid w:val="006B05EA"/>
    <w:rsid w:val="006B0B84"/>
    <w:rsid w:val="006B0B9B"/>
    <w:rsid w:val="006B0C78"/>
    <w:rsid w:val="006B1220"/>
    <w:rsid w:val="006B1E65"/>
    <w:rsid w:val="006B22C6"/>
    <w:rsid w:val="006B23FD"/>
    <w:rsid w:val="006B2D8F"/>
    <w:rsid w:val="006B3455"/>
    <w:rsid w:val="006B3CFA"/>
    <w:rsid w:val="006B42E8"/>
    <w:rsid w:val="006B46D1"/>
    <w:rsid w:val="006B54BE"/>
    <w:rsid w:val="006B566D"/>
    <w:rsid w:val="006B598C"/>
    <w:rsid w:val="006B614D"/>
    <w:rsid w:val="006B6474"/>
    <w:rsid w:val="006B69CF"/>
    <w:rsid w:val="006B6AFE"/>
    <w:rsid w:val="006B6B73"/>
    <w:rsid w:val="006B77C5"/>
    <w:rsid w:val="006B7C13"/>
    <w:rsid w:val="006B7C96"/>
    <w:rsid w:val="006B7D92"/>
    <w:rsid w:val="006C05E6"/>
    <w:rsid w:val="006C0A04"/>
    <w:rsid w:val="006C18D1"/>
    <w:rsid w:val="006C18FF"/>
    <w:rsid w:val="006C1AAC"/>
    <w:rsid w:val="006C1DDB"/>
    <w:rsid w:val="006C25C9"/>
    <w:rsid w:val="006C334F"/>
    <w:rsid w:val="006C397A"/>
    <w:rsid w:val="006C3E09"/>
    <w:rsid w:val="006C472A"/>
    <w:rsid w:val="006C4C60"/>
    <w:rsid w:val="006C52C3"/>
    <w:rsid w:val="006C539A"/>
    <w:rsid w:val="006C5712"/>
    <w:rsid w:val="006C5D92"/>
    <w:rsid w:val="006C5E19"/>
    <w:rsid w:val="006C64D2"/>
    <w:rsid w:val="006C65B1"/>
    <w:rsid w:val="006C6731"/>
    <w:rsid w:val="006C7029"/>
    <w:rsid w:val="006C71F4"/>
    <w:rsid w:val="006C761C"/>
    <w:rsid w:val="006C79E6"/>
    <w:rsid w:val="006D0191"/>
    <w:rsid w:val="006D0528"/>
    <w:rsid w:val="006D1039"/>
    <w:rsid w:val="006D147F"/>
    <w:rsid w:val="006D15C1"/>
    <w:rsid w:val="006D18D9"/>
    <w:rsid w:val="006D1969"/>
    <w:rsid w:val="006D1AB3"/>
    <w:rsid w:val="006D207F"/>
    <w:rsid w:val="006D22C5"/>
    <w:rsid w:val="006D22C6"/>
    <w:rsid w:val="006D2B23"/>
    <w:rsid w:val="006D2BA9"/>
    <w:rsid w:val="006D2D72"/>
    <w:rsid w:val="006D2E57"/>
    <w:rsid w:val="006D37A9"/>
    <w:rsid w:val="006D3A0A"/>
    <w:rsid w:val="006D3D5E"/>
    <w:rsid w:val="006D3F72"/>
    <w:rsid w:val="006D4754"/>
    <w:rsid w:val="006D576E"/>
    <w:rsid w:val="006D5778"/>
    <w:rsid w:val="006D5F6B"/>
    <w:rsid w:val="006D6369"/>
    <w:rsid w:val="006D6866"/>
    <w:rsid w:val="006D68DE"/>
    <w:rsid w:val="006D6989"/>
    <w:rsid w:val="006D6C88"/>
    <w:rsid w:val="006D6D28"/>
    <w:rsid w:val="006D6E08"/>
    <w:rsid w:val="006D6F4B"/>
    <w:rsid w:val="006D7533"/>
    <w:rsid w:val="006D7581"/>
    <w:rsid w:val="006D79D8"/>
    <w:rsid w:val="006D7A74"/>
    <w:rsid w:val="006D7BE3"/>
    <w:rsid w:val="006E0072"/>
    <w:rsid w:val="006E0550"/>
    <w:rsid w:val="006E070F"/>
    <w:rsid w:val="006E07C9"/>
    <w:rsid w:val="006E0DDD"/>
    <w:rsid w:val="006E0E7B"/>
    <w:rsid w:val="006E10ED"/>
    <w:rsid w:val="006E193D"/>
    <w:rsid w:val="006E2B07"/>
    <w:rsid w:val="006E2B7E"/>
    <w:rsid w:val="006E2B84"/>
    <w:rsid w:val="006E3173"/>
    <w:rsid w:val="006E3A07"/>
    <w:rsid w:val="006E3A4D"/>
    <w:rsid w:val="006E3EBD"/>
    <w:rsid w:val="006E42E9"/>
    <w:rsid w:val="006E4311"/>
    <w:rsid w:val="006E43FB"/>
    <w:rsid w:val="006E4872"/>
    <w:rsid w:val="006E4D62"/>
    <w:rsid w:val="006E4FE7"/>
    <w:rsid w:val="006E5739"/>
    <w:rsid w:val="006E5832"/>
    <w:rsid w:val="006E5872"/>
    <w:rsid w:val="006E5DDA"/>
    <w:rsid w:val="006E5EE0"/>
    <w:rsid w:val="006E5EF9"/>
    <w:rsid w:val="006E5F60"/>
    <w:rsid w:val="006E6249"/>
    <w:rsid w:val="006E65FD"/>
    <w:rsid w:val="006E6AA6"/>
    <w:rsid w:val="006E6D18"/>
    <w:rsid w:val="006E6E30"/>
    <w:rsid w:val="006E6F13"/>
    <w:rsid w:val="006E73C4"/>
    <w:rsid w:val="006E7F4A"/>
    <w:rsid w:val="006F03B3"/>
    <w:rsid w:val="006F066D"/>
    <w:rsid w:val="006F09F8"/>
    <w:rsid w:val="006F0B20"/>
    <w:rsid w:val="006F0C28"/>
    <w:rsid w:val="006F0F72"/>
    <w:rsid w:val="006F19EC"/>
    <w:rsid w:val="006F1B06"/>
    <w:rsid w:val="006F1D98"/>
    <w:rsid w:val="006F237C"/>
    <w:rsid w:val="006F2A9D"/>
    <w:rsid w:val="006F2BFA"/>
    <w:rsid w:val="006F343D"/>
    <w:rsid w:val="006F3749"/>
    <w:rsid w:val="006F3866"/>
    <w:rsid w:val="006F3EDE"/>
    <w:rsid w:val="006F3F13"/>
    <w:rsid w:val="006F41F2"/>
    <w:rsid w:val="006F435F"/>
    <w:rsid w:val="006F45DC"/>
    <w:rsid w:val="006F4BDF"/>
    <w:rsid w:val="006F51DA"/>
    <w:rsid w:val="006F55E2"/>
    <w:rsid w:val="006F56AA"/>
    <w:rsid w:val="006F571C"/>
    <w:rsid w:val="006F5952"/>
    <w:rsid w:val="006F5A63"/>
    <w:rsid w:val="006F6F72"/>
    <w:rsid w:val="006F7288"/>
    <w:rsid w:val="006F7958"/>
    <w:rsid w:val="006F7F6E"/>
    <w:rsid w:val="00700949"/>
    <w:rsid w:val="00700CFA"/>
    <w:rsid w:val="00700F0D"/>
    <w:rsid w:val="00701193"/>
    <w:rsid w:val="007013F2"/>
    <w:rsid w:val="007015FA"/>
    <w:rsid w:val="007017E5"/>
    <w:rsid w:val="00702021"/>
    <w:rsid w:val="00703939"/>
    <w:rsid w:val="00703F62"/>
    <w:rsid w:val="00704166"/>
    <w:rsid w:val="0070443F"/>
    <w:rsid w:val="00706224"/>
    <w:rsid w:val="007066A1"/>
    <w:rsid w:val="00706B4B"/>
    <w:rsid w:val="00706C60"/>
    <w:rsid w:val="00706D57"/>
    <w:rsid w:val="00706FD5"/>
    <w:rsid w:val="00707113"/>
    <w:rsid w:val="00707638"/>
    <w:rsid w:val="007100DB"/>
    <w:rsid w:val="0071035D"/>
    <w:rsid w:val="007105C8"/>
    <w:rsid w:val="007105F6"/>
    <w:rsid w:val="0071091E"/>
    <w:rsid w:val="00710FB5"/>
    <w:rsid w:val="00711171"/>
    <w:rsid w:val="00711D72"/>
    <w:rsid w:val="00711FD2"/>
    <w:rsid w:val="007122E2"/>
    <w:rsid w:val="007123A9"/>
    <w:rsid w:val="0071261D"/>
    <w:rsid w:val="007129B4"/>
    <w:rsid w:val="00712B51"/>
    <w:rsid w:val="0071378E"/>
    <w:rsid w:val="007137A5"/>
    <w:rsid w:val="00713816"/>
    <w:rsid w:val="00713A97"/>
    <w:rsid w:val="00713CC1"/>
    <w:rsid w:val="00714392"/>
    <w:rsid w:val="007155BA"/>
    <w:rsid w:val="007156D9"/>
    <w:rsid w:val="007157B7"/>
    <w:rsid w:val="00715DBD"/>
    <w:rsid w:val="00715F5D"/>
    <w:rsid w:val="007166D6"/>
    <w:rsid w:val="0071684D"/>
    <w:rsid w:val="00716B54"/>
    <w:rsid w:val="007170EF"/>
    <w:rsid w:val="007171A3"/>
    <w:rsid w:val="00717484"/>
    <w:rsid w:val="007175CC"/>
    <w:rsid w:val="00720965"/>
    <w:rsid w:val="00720FE3"/>
    <w:rsid w:val="007214D6"/>
    <w:rsid w:val="0072238A"/>
    <w:rsid w:val="007223A8"/>
    <w:rsid w:val="007233DC"/>
    <w:rsid w:val="00723637"/>
    <w:rsid w:val="00723688"/>
    <w:rsid w:val="00723D3C"/>
    <w:rsid w:val="00724345"/>
    <w:rsid w:val="007248C2"/>
    <w:rsid w:val="00724A61"/>
    <w:rsid w:val="00724CCF"/>
    <w:rsid w:val="00724F5F"/>
    <w:rsid w:val="00725356"/>
    <w:rsid w:val="00725404"/>
    <w:rsid w:val="00725D94"/>
    <w:rsid w:val="00725F0D"/>
    <w:rsid w:val="00726230"/>
    <w:rsid w:val="007263A9"/>
    <w:rsid w:val="007264AD"/>
    <w:rsid w:val="00726B7D"/>
    <w:rsid w:val="00727179"/>
    <w:rsid w:val="00727457"/>
    <w:rsid w:val="00727A59"/>
    <w:rsid w:val="00727BBD"/>
    <w:rsid w:val="00727C32"/>
    <w:rsid w:val="00727CF3"/>
    <w:rsid w:val="00727FFE"/>
    <w:rsid w:val="007304FC"/>
    <w:rsid w:val="00730B72"/>
    <w:rsid w:val="00730FDA"/>
    <w:rsid w:val="007311AE"/>
    <w:rsid w:val="0073136A"/>
    <w:rsid w:val="0073219B"/>
    <w:rsid w:val="00732A4E"/>
    <w:rsid w:val="00732C8B"/>
    <w:rsid w:val="007335CA"/>
    <w:rsid w:val="00733693"/>
    <w:rsid w:val="00733724"/>
    <w:rsid w:val="007337A0"/>
    <w:rsid w:val="00733F28"/>
    <w:rsid w:val="007349B9"/>
    <w:rsid w:val="00734A34"/>
    <w:rsid w:val="00734A5B"/>
    <w:rsid w:val="0073617F"/>
    <w:rsid w:val="00736656"/>
    <w:rsid w:val="007367CB"/>
    <w:rsid w:val="0073702D"/>
    <w:rsid w:val="007373E9"/>
    <w:rsid w:val="00737CBE"/>
    <w:rsid w:val="00737D12"/>
    <w:rsid w:val="00740275"/>
    <w:rsid w:val="0074038F"/>
    <w:rsid w:val="0074049E"/>
    <w:rsid w:val="007404B1"/>
    <w:rsid w:val="00740579"/>
    <w:rsid w:val="00740824"/>
    <w:rsid w:val="00740923"/>
    <w:rsid w:val="00740994"/>
    <w:rsid w:val="00740C03"/>
    <w:rsid w:val="007410AB"/>
    <w:rsid w:val="00741156"/>
    <w:rsid w:val="00741F4C"/>
    <w:rsid w:val="007423BB"/>
    <w:rsid w:val="0074240A"/>
    <w:rsid w:val="00742BB2"/>
    <w:rsid w:val="007432C7"/>
    <w:rsid w:val="00743363"/>
    <w:rsid w:val="00743506"/>
    <w:rsid w:val="00744248"/>
    <w:rsid w:val="00744813"/>
    <w:rsid w:val="00744F76"/>
    <w:rsid w:val="00745429"/>
    <w:rsid w:val="00745BB7"/>
    <w:rsid w:val="00745BE5"/>
    <w:rsid w:val="0074617C"/>
    <w:rsid w:val="007465AF"/>
    <w:rsid w:val="0074689C"/>
    <w:rsid w:val="0074697B"/>
    <w:rsid w:val="00747591"/>
    <w:rsid w:val="00747619"/>
    <w:rsid w:val="00747A52"/>
    <w:rsid w:val="00750224"/>
    <w:rsid w:val="007506AA"/>
    <w:rsid w:val="00750A4D"/>
    <w:rsid w:val="00750BBA"/>
    <w:rsid w:val="00751A4B"/>
    <w:rsid w:val="00752314"/>
    <w:rsid w:val="007526E2"/>
    <w:rsid w:val="00752F82"/>
    <w:rsid w:val="007530F8"/>
    <w:rsid w:val="0075372F"/>
    <w:rsid w:val="007537F2"/>
    <w:rsid w:val="007538FF"/>
    <w:rsid w:val="00753D66"/>
    <w:rsid w:val="00754087"/>
    <w:rsid w:val="00754127"/>
    <w:rsid w:val="0075480D"/>
    <w:rsid w:val="00754E8A"/>
    <w:rsid w:val="00754EAE"/>
    <w:rsid w:val="00755519"/>
    <w:rsid w:val="007558FE"/>
    <w:rsid w:val="00756961"/>
    <w:rsid w:val="00756A97"/>
    <w:rsid w:val="00756B9E"/>
    <w:rsid w:val="00756C3C"/>
    <w:rsid w:val="0075779E"/>
    <w:rsid w:val="00757E91"/>
    <w:rsid w:val="007604DB"/>
    <w:rsid w:val="0076050C"/>
    <w:rsid w:val="00760C73"/>
    <w:rsid w:val="00760ED9"/>
    <w:rsid w:val="007611F5"/>
    <w:rsid w:val="0076179B"/>
    <w:rsid w:val="00762004"/>
    <w:rsid w:val="0076206E"/>
    <w:rsid w:val="0076237E"/>
    <w:rsid w:val="0076238A"/>
    <w:rsid w:val="00762800"/>
    <w:rsid w:val="00762B23"/>
    <w:rsid w:val="00762CB7"/>
    <w:rsid w:val="00762CBF"/>
    <w:rsid w:val="007631DD"/>
    <w:rsid w:val="00763201"/>
    <w:rsid w:val="00763529"/>
    <w:rsid w:val="00763A68"/>
    <w:rsid w:val="007646C1"/>
    <w:rsid w:val="00764995"/>
    <w:rsid w:val="00764FB0"/>
    <w:rsid w:val="0076523E"/>
    <w:rsid w:val="007653E1"/>
    <w:rsid w:val="007657DF"/>
    <w:rsid w:val="007662E3"/>
    <w:rsid w:val="0076634B"/>
    <w:rsid w:val="00766547"/>
    <w:rsid w:val="00766710"/>
    <w:rsid w:val="00767193"/>
    <w:rsid w:val="007671C7"/>
    <w:rsid w:val="00767C86"/>
    <w:rsid w:val="00770714"/>
    <w:rsid w:val="00770B54"/>
    <w:rsid w:val="00770DD9"/>
    <w:rsid w:val="00770E64"/>
    <w:rsid w:val="0077115B"/>
    <w:rsid w:val="00771352"/>
    <w:rsid w:val="00771A9A"/>
    <w:rsid w:val="00771BC8"/>
    <w:rsid w:val="00771DB8"/>
    <w:rsid w:val="00772024"/>
    <w:rsid w:val="00772025"/>
    <w:rsid w:val="007722A4"/>
    <w:rsid w:val="00772A12"/>
    <w:rsid w:val="00773708"/>
    <w:rsid w:val="00773721"/>
    <w:rsid w:val="00773D05"/>
    <w:rsid w:val="007741A7"/>
    <w:rsid w:val="00774342"/>
    <w:rsid w:val="0077449E"/>
    <w:rsid w:val="00774C16"/>
    <w:rsid w:val="00774F7F"/>
    <w:rsid w:val="007752CE"/>
    <w:rsid w:val="0077543B"/>
    <w:rsid w:val="007759C7"/>
    <w:rsid w:val="00776057"/>
    <w:rsid w:val="007762D5"/>
    <w:rsid w:val="00776845"/>
    <w:rsid w:val="00776A98"/>
    <w:rsid w:val="00776B14"/>
    <w:rsid w:val="00776D34"/>
    <w:rsid w:val="00776F43"/>
    <w:rsid w:val="00776FCB"/>
    <w:rsid w:val="0077707D"/>
    <w:rsid w:val="00777140"/>
    <w:rsid w:val="0077727C"/>
    <w:rsid w:val="007774E5"/>
    <w:rsid w:val="0077779B"/>
    <w:rsid w:val="00777CD9"/>
    <w:rsid w:val="00777F2A"/>
    <w:rsid w:val="00780327"/>
    <w:rsid w:val="007803BB"/>
    <w:rsid w:val="0078085A"/>
    <w:rsid w:val="007809B0"/>
    <w:rsid w:val="00780D2E"/>
    <w:rsid w:val="00780E5D"/>
    <w:rsid w:val="00781BD6"/>
    <w:rsid w:val="00782101"/>
    <w:rsid w:val="007822BD"/>
    <w:rsid w:val="00783FA5"/>
    <w:rsid w:val="0078418D"/>
    <w:rsid w:val="00784267"/>
    <w:rsid w:val="0078429B"/>
    <w:rsid w:val="007848B1"/>
    <w:rsid w:val="00784C74"/>
    <w:rsid w:val="00784F03"/>
    <w:rsid w:val="00785163"/>
    <w:rsid w:val="00785857"/>
    <w:rsid w:val="0078757E"/>
    <w:rsid w:val="00787C58"/>
    <w:rsid w:val="00787F6E"/>
    <w:rsid w:val="00787F7D"/>
    <w:rsid w:val="00790072"/>
    <w:rsid w:val="007901DF"/>
    <w:rsid w:val="007906D3"/>
    <w:rsid w:val="00790985"/>
    <w:rsid w:val="00790B85"/>
    <w:rsid w:val="00790F0C"/>
    <w:rsid w:val="007915F1"/>
    <w:rsid w:val="0079188F"/>
    <w:rsid w:val="00791E21"/>
    <w:rsid w:val="00792417"/>
    <w:rsid w:val="00792583"/>
    <w:rsid w:val="007927BA"/>
    <w:rsid w:val="0079292C"/>
    <w:rsid w:val="00792FA2"/>
    <w:rsid w:val="0079352E"/>
    <w:rsid w:val="0079356A"/>
    <w:rsid w:val="0079379E"/>
    <w:rsid w:val="00794095"/>
    <w:rsid w:val="0079471F"/>
    <w:rsid w:val="00794ACA"/>
    <w:rsid w:val="00795D31"/>
    <w:rsid w:val="00795EC3"/>
    <w:rsid w:val="00795F69"/>
    <w:rsid w:val="00795FBA"/>
    <w:rsid w:val="007962A0"/>
    <w:rsid w:val="007965AA"/>
    <w:rsid w:val="00796CBF"/>
    <w:rsid w:val="00796DAC"/>
    <w:rsid w:val="00797083"/>
    <w:rsid w:val="007971FC"/>
    <w:rsid w:val="0079771B"/>
    <w:rsid w:val="007A0A0C"/>
    <w:rsid w:val="007A17F4"/>
    <w:rsid w:val="007A1BEC"/>
    <w:rsid w:val="007A1DAF"/>
    <w:rsid w:val="007A2202"/>
    <w:rsid w:val="007A220D"/>
    <w:rsid w:val="007A2311"/>
    <w:rsid w:val="007A29BD"/>
    <w:rsid w:val="007A2ADC"/>
    <w:rsid w:val="007A2C45"/>
    <w:rsid w:val="007A2F7F"/>
    <w:rsid w:val="007A2FA6"/>
    <w:rsid w:val="007A36CE"/>
    <w:rsid w:val="007A3873"/>
    <w:rsid w:val="007A555B"/>
    <w:rsid w:val="007A5650"/>
    <w:rsid w:val="007A575B"/>
    <w:rsid w:val="007A5776"/>
    <w:rsid w:val="007A585C"/>
    <w:rsid w:val="007A59CC"/>
    <w:rsid w:val="007A63B3"/>
    <w:rsid w:val="007A67CE"/>
    <w:rsid w:val="007A6A52"/>
    <w:rsid w:val="007A6EB4"/>
    <w:rsid w:val="007A741B"/>
    <w:rsid w:val="007A7A7F"/>
    <w:rsid w:val="007B0249"/>
    <w:rsid w:val="007B03AB"/>
    <w:rsid w:val="007B142D"/>
    <w:rsid w:val="007B1978"/>
    <w:rsid w:val="007B1D82"/>
    <w:rsid w:val="007B1F24"/>
    <w:rsid w:val="007B3148"/>
    <w:rsid w:val="007B38AB"/>
    <w:rsid w:val="007B38FE"/>
    <w:rsid w:val="007B3BAE"/>
    <w:rsid w:val="007B3D25"/>
    <w:rsid w:val="007B6334"/>
    <w:rsid w:val="007B6693"/>
    <w:rsid w:val="007B6B98"/>
    <w:rsid w:val="007B6E9C"/>
    <w:rsid w:val="007B704F"/>
    <w:rsid w:val="007B7DC5"/>
    <w:rsid w:val="007C009C"/>
    <w:rsid w:val="007C01C5"/>
    <w:rsid w:val="007C0A41"/>
    <w:rsid w:val="007C0E72"/>
    <w:rsid w:val="007C1093"/>
    <w:rsid w:val="007C17DE"/>
    <w:rsid w:val="007C1CD9"/>
    <w:rsid w:val="007C1D84"/>
    <w:rsid w:val="007C2168"/>
    <w:rsid w:val="007C24FD"/>
    <w:rsid w:val="007C257A"/>
    <w:rsid w:val="007C2DAE"/>
    <w:rsid w:val="007C2E17"/>
    <w:rsid w:val="007C3426"/>
    <w:rsid w:val="007C367F"/>
    <w:rsid w:val="007C4048"/>
    <w:rsid w:val="007C4F3D"/>
    <w:rsid w:val="007C5751"/>
    <w:rsid w:val="007C5B08"/>
    <w:rsid w:val="007C6125"/>
    <w:rsid w:val="007C638F"/>
    <w:rsid w:val="007C6792"/>
    <w:rsid w:val="007C6993"/>
    <w:rsid w:val="007C71E4"/>
    <w:rsid w:val="007C7E32"/>
    <w:rsid w:val="007D0247"/>
    <w:rsid w:val="007D029D"/>
    <w:rsid w:val="007D0447"/>
    <w:rsid w:val="007D04A9"/>
    <w:rsid w:val="007D0B6B"/>
    <w:rsid w:val="007D0C25"/>
    <w:rsid w:val="007D0D37"/>
    <w:rsid w:val="007D1ADF"/>
    <w:rsid w:val="007D219C"/>
    <w:rsid w:val="007D220E"/>
    <w:rsid w:val="007D2223"/>
    <w:rsid w:val="007D265F"/>
    <w:rsid w:val="007D28A6"/>
    <w:rsid w:val="007D298D"/>
    <w:rsid w:val="007D2C8D"/>
    <w:rsid w:val="007D2FDB"/>
    <w:rsid w:val="007D31AA"/>
    <w:rsid w:val="007D351C"/>
    <w:rsid w:val="007D3A88"/>
    <w:rsid w:val="007D4AB9"/>
    <w:rsid w:val="007D4B5C"/>
    <w:rsid w:val="007D4C3A"/>
    <w:rsid w:val="007D5B15"/>
    <w:rsid w:val="007D5F97"/>
    <w:rsid w:val="007D5FB6"/>
    <w:rsid w:val="007D60EC"/>
    <w:rsid w:val="007D6393"/>
    <w:rsid w:val="007D63B3"/>
    <w:rsid w:val="007D6663"/>
    <w:rsid w:val="007D6994"/>
    <w:rsid w:val="007D6ED5"/>
    <w:rsid w:val="007D77E7"/>
    <w:rsid w:val="007E0AEC"/>
    <w:rsid w:val="007E1535"/>
    <w:rsid w:val="007E198C"/>
    <w:rsid w:val="007E1C16"/>
    <w:rsid w:val="007E1DA1"/>
    <w:rsid w:val="007E1F75"/>
    <w:rsid w:val="007E29B6"/>
    <w:rsid w:val="007E2F1C"/>
    <w:rsid w:val="007E2F7C"/>
    <w:rsid w:val="007E3008"/>
    <w:rsid w:val="007E30DC"/>
    <w:rsid w:val="007E354E"/>
    <w:rsid w:val="007E3E11"/>
    <w:rsid w:val="007E3F65"/>
    <w:rsid w:val="007E433F"/>
    <w:rsid w:val="007E4687"/>
    <w:rsid w:val="007E4938"/>
    <w:rsid w:val="007E5689"/>
    <w:rsid w:val="007E5A56"/>
    <w:rsid w:val="007E6280"/>
    <w:rsid w:val="007E6BBE"/>
    <w:rsid w:val="007E6DB6"/>
    <w:rsid w:val="007E6EB8"/>
    <w:rsid w:val="007E75CA"/>
    <w:rsid w:val="007E75EA"/>
    <w:rsid w:val="007E7A6F"/>
    <w:rsid w:val="007E7D32"/>
    <w:rsid w:val="007F02D5"/>
    <w:rsid w:val="007F035C"/>
    <w:rsid w:val="007F0570"/>
    <w:rsid w:val="007F0733"/>
    <w:rsid w:val="007F07A7"/>
    <w:rsid w:val="007F07EB"/>
    <w:rsid w:val="007F1E16"/>
    <w:rsid w:val="007F241E"/>
    <w:rsid w:val="007F2B18"/>
    <w:rsid w:val="007F3316"/>
    <w:rsid w:val="007F464E"/>
    <w:rsid w:val="007F498C"/>
    <w:rsid w:val="007F49B8"/>
    <w:rsid w:val="007F4F71"/>
    <w:rsid w:val="007F50C0"/>
    <w:rsid w:val="007F521E"/>
    <w:rsid w:val="007F66FC"/>
    <w:rsid w:val="007F6917"/>
    <w:rsid w:val="007F71B2"/>
    <w:rsid w:val="007F73AE"/>
    <w:rsid w:val="007F73C9"/>
    <w:rsid w:val="007F75D6"/>
    <w:rsid w:val="007F7B86"/>
    <w:rsid w:val="007F7E7F"/>
    <w:rsid w:val="007F7EC0"/>
    <w:rsid w:val="00800220"/>
    <w:rsid w:val="00800358"/>
    <w:rsid w:val="00801806"/>
    <w:rsid w:val="008018C7"/>
    <w:rsid w:val="008029E3"/>
    <w:rsid w:val="00802A23"/>
    <w:rsid w:val="00802B6C"/>
    <w:rsid w:val="00802D31"/>
    <w:rsid w:val="0080332F"/>
    <w:rsid w:val="008038A8"/>
    <w:rsid w:val="00803BBD"/>
    <w:rsid w:val="00803BFD"/>
    <w:rsid w:val="00803C53"/>
    <w:rsid w:val="00803D38"/>
    <w:rsid w:val="0080419F"/>
    <w:rsid w:val="00804351"/>
    <w:rsid w:val="00804733"/>
    <w:rsid w:val="00805091"/>
    <w:rsid w:val="0080517E"/>
    <w:rsid w:val="008058AD"/>
    <w:rsid w:val="00805BDF"/>
    <w:rsid w:val="00805DDE"/>
    <w:rsid w:val="00805EAC"/>
    <w:rsid w:val="0080622A"/>
    <w:rsid w:val="00806421"/>
    <w:rsid w:val="00806445"/>
    <w:rsid w:val="008066C3"/>
    <w:rsid w:val="008069F8"/>
    <w:rsid w:val="00807110"/>
    <w:rsid w:val="00807229"/>
    <w:rsid w:val="0080792C"/>
    <w:rsid w:val="00807B83"/>
    <w:rsid w:val="00807D65"/>
    <w:rsid w:val="00807DB5"/>
    <w:rsid w:val="00807E2B"/>
    <w:rsid w:val="008101F4"/>
    <w:rsid w:val="00810527"/>
    <w:rsid w:val="0081061A"/>
    <w:rsid w:val="00810B08"/>
    <w:rsid w:val="00811153"/>
    <w:rsid w:val="008112BA"/>
    <w:rsid w:val="00811699"/>
    <w:rsid w:val="0081178A"/>
    <w:rsid w:val="0081195D"/>
    <w:rsid w:val="00811AC4"/>
    <w:rsid w:val="00811C2A"/>
    <w:rsid w:val="00811F5F"/>
    <w:rsid w:val="00811FFF"/>
    <w:rsid w:val="008123D3"/>
    <w:rsid w:val="008124AB"/>
    <w:rsid w:val="00812508"/>
    <w:rsid w:val="008127FA"/>
    <w:rsid w:val="00812A30"/>
    <w:rsid w:val="00812C1B"/>
    <w:rsid w:val="00812CBC"/>
    <w:rsid w:val="0081389F"/>
    <w:rsid w:val="008138D3"/>
    <w:rsid w:val="00813F68"/>
    <w:rsid w:val="00814401"/>
    <w:rsid w:val="0081495F"/>
    <w:rsid w:val="00814BA6"/>
    <w:rsid w:val="008154C3"/>
    <w:rsid w:val="00815531"/>
    <w:rsid w:val="00815EF6"/>
    <w:rsid w:val="008160E2"/>
    <w:rsid w:val="008162F6"/>
    <w:rsid w:val="00816690"/>
    <w:rsid w:val="00817278"/>
    <w:rsid w:val="008173CE"/>
    <w:rsid w:val="00817755"/>
    <w:rsid w:val="00817CF7"/>
    <w:rsid w:val="00817E89"/>
    <w:rsid w:val="00820F3F"/>
    <w:rsid w:val="0082160A"/>
    <w:rsid w:val="008217F5"/>
    <w:rsid w:val="00821F82"/>
    <w:rsid w:val="008220F4"/>
    <w:rsid w:val="00822177"/>
    <w:rsid w:val="00822E1B"/>
    <w:rsid w:val="00823171"/>
    <w:rsid w:val="00823180"/>
    <w:rsid w:val="00823556"/>
    <w:rsid w:val="00823ABB"/>
    <w:rsid w:val="00823C6F"/>
    <w:rsid w:val="00823F7F"/>
    <w:rsid w:val="00824176"/>
    <w:rsid w:val="008242DE"/>
    <w:rsid w:val="00824345"/>
    <w:rsid w:val="00824455"/>
    <w:rsid w:val="00824468"/>
    <w:rsid w:val="00824572"/>
    <w:rsid w:val="00824B8D"/>
    <w:rsid w:val="00824F0F"/>
    <w:rsid w:val="008258A2"/>
    <w:rsid w:val="008258BC"/>
    <w:rsid w:val="00826207"/>
    <w:rsid w:val="0082647F"/>
    <w:rsid w:val="008264C0"/>
    <w:rsid w:val="00826DE2"/>
    <w:rsid w:val="00826E74"/>
    <w:rsid w:val="00826ECC"/>
    <w:rsid w:val="00827564"/>
    <w:rsid w:val="008278FD"/>
    <w:rsid w:val="00827CC6"/>
    <w:rsid w:val="00830BB4"/>
    <w:rsid w:val="00830CBE"/>
    <w:rsid w:val="00830FAB"/>
    <w:rsid w:val="00831BE7"/>
    <w:rsid w:val="00831F40"/>
    <w:rsid w:val="00831F71"/>
    <w:rsid w:val="008324D9"/>
    <w:rsid w:val="00832D77"/>
    <w:rsid w:val="00832F2E"/>
    <w:rsid w:val="00833414"/>
    <w:rsid w:val="00833629"/>
    <w:rsid w:val="008336DE"/>
    <w:rsid w:val="0083389D"/>
    <w:rsid w:val="00833FED"/>
    <w:rsid w:val="00834505"/>
    <w:rsid w:val="00834D39"/>
    <w:rsid w:val="0083515B"/>
    <w:rsid w:val="008352C4"/>
    <w:rsid w:val="00835662"/>
    <w:rsid w:val="00836214"/>
    <w:rsid w:val="008363E1"/>
    <w:rsid w:val="008364CD"/>
    <w:rsid w:val="00836AC0"/>
    <w:rsid w:val="008378C8"/>
    <w:rsid w:val="00837C37"/>
    <w:rsid w:val="00837D66"/>
    <w:rsid w:val="008400DB"/>
    <w:rsid w:val="00840338"/>
    <w:rsid w:val="008405D2"/>
    <w:rsid w:val="008408B7"/>
    <w:rsid w:val="00840B4F"/>
    <w:rsid w:val="00840E07"/>
    <w:rsid w:val="00841438"/>
    <w:rsid w:val="00841DB4"/>
    <w:rsid w:val="00842390"/>
    <w:rsid w:val="00842632"/>
    <w:rsid w:val="008426B3"/>
    <w:rsid w:val="008434F7"/>
    <w:rsid w:val="00843590"/>
    <w:rsid w:val="00843A71"/>
    <w:rsid w:val="00843AB4"/>
    <w:rsid w:val="00843B8B"/>
    <w:rsid w:val="00843D57"/>
    <w:rsid w:val="0084435F"/>
    <w:rsid w:val="00844795"/>
    <w:rsid w:val="00844C0F"/>
    <w:rsid w:val="00844F8B"/>
    <w:rsid w:val="0084528F"/>
    <w:rsid w:val="00845605"/>
    <w:rsid w:val="0084585E"/>
    <w:rsid w:val="00845CA5"/>
    <w:rsid w:val="008463AA"/>
    <w:rsid w:val="0084652E"/>
    <w:rsid w:val="00846716"/>
    <w:rsid w:val="0084672F"/>
    <w:rsid w:val="0084692B"/>
    <w:rsid w:val="00846EA0"/>
    <w:rsid w:val="00847273"/>
    <w:rsid w:val="00847495"/>
    <w:rsid w:val="008477E2"/>
    <w:rsid w:val="00847D1D"/>
    <w:rsid w:val="00847F12"/>
    <w:rsid w:val="0085019A"/>
    <w:rsid w:val="00850332"/>
    <w:rsid w:val="00850AD7"/>
    <w:rsid w:val="00850AD8"/>
    <w:rsid w:val="00850D00"/>
    <w:rsid w:val="00851469"/>
    <w:rsid w:val="008514E3"/>
    <w:rsid w:val="008516C6"/>
    <w:rsid w:val="00851F72"/>
    <w:rsid w:val="008521BA"/>
    <w:rsid w:val="008522B5"/>
    <w:rsid w:val="008527CA"/>
    <w:rsid w:val="00852A8F"/>
    <w:rsid w:val="00852CEF"/>
    <w:rsid w:val="00852E5C"/>
    <w:rsid w:val="00852F7A"/>
    <w:rsid w:val="00853424"/>
    <w:rsid w:val="008534FA"/>
    <w:rsid w:val="00853519"/>
    <w:rsid w:val="00853D75"/>
    <w:rsid w:val="00855021"/>
    <w:rsid w:val="0085516F"/>
    <w:rsid w:val="0085588B"/>
    <w:rsid w:val="0085657F"/>
    <w:rsid w:val="00856E9B"/>
    <w:rsid w:val="00856EA9"/>
    <w:rsid w:val="00856FB2"/>
    <w:rsid w:val="0085703D"/>
    <w:rsid w:val="008570F4"/>
    <w:rsid w:val="0085740A"/>
    <w:rsid w:val="008577F8"/>
    <w:rsid w:val="00857C8A"/>
    <w:rsid w:val="00857D22"/>
    <w:rsid w:val="008603A6"/>
    <w:rsid w:val="00860463"/>
    <w:rsid w:val="00860798"/>
    <w:rsid w:val="00860A9C"/>
    <w:rsid w:val="00860EE8"/>
    <w:rsid w:val="0086112A"/>
    <w:rsid w:val="00861708"/>
    <w:rsid w:val="00861934"/>
    <w:rsid w:val="00861991"/>
    <w:rsid w:val="008619DE"/>
    <w:rsid w:val="008621FB"/>
    <w:rsid w:val="0086223A"/>
    <w:rsid w:val="00862AA7"/>
    <w:rsid w:val="00863165"/>
    <w:rsid w:val="00863BCD"/>
    <w:rsid w:val="00863C33"/>
    <w:rsid w:val="00863C45"/>
    <w:rsid w:val="00864812"/>
    <w:rsid w:val="00864B2A"/>
    <w:rsid w:val="00864D78"/>
    <w:rsid w:val="00865031"/>
    <w:rsid w:val="0086516E"/>
    <w:rsid w:val="00865F64"/>
    <w:rsid w:val="00865FAD"/>
    <w:rsid w:val="00866473"/>
    <w:rsid w:val="008667C5"/>
    <w:rsid w:val="008671B3"/>
    <w:rsid w:val="008678C0"/>
    <w:rsid w:val="00867C52"/>
    <w:rsid w:val="00867E55"/>
    <w:rsid w:val="00870A99"/>
    <w:rsid w:val="00870D7E"/>
    <w:rsid w:val="008714DE"/>
    <w:rsid w:val="00872326"/>
    <w:rsid w:val="00872A74"/>
    <w:rsid w:val="00873003"/>
    <w:rsid w:val="008738C4"/>
    <w:rsid w:val="00873C89"/>
    <w:rsid w:val="008742F2"/>
    <w:rsid w:val="008745CD"/>
    <w:rsid w:val="0087476A"/>
    <w:rsid w:val="008749BC"/>
    <w:rsid w:val="00874D1F"/>
    <w:rsid w:val="0087507E"/>
    <w:rsid w:val="00875AFB"/>
    <w:rsid w:val="00875B12"/>
    <w:rsid w:val="00875EA2"/>
    <w:rsid w:val="008760C3"/>
    <w:rsid w:val="008765BE"/>
    <w:rsid w:val="0087674B"/>
    <w:rsid w:val="0087697D"/>
    <w:rsid w:val="00876A40"/>
    <w:rsid w:val="00876AFF"/>
    <w:rsid w:val="008770C6"/>
    <w:rsid w:val="00877139"/>
    <w:rsid w:val="00877C0C"/>
    <w:rsid w:val="00877D1A"/>
    <w:rsid w:val="0088038B"/>
    <w:rsid w:val="0088048B"/>
    <w:rsid w:val="0088083C"/>
    <w:rsid w:val="00880E4A"/>
    <w:rsid w:val="00880FB6"/>
    <w:rsid w:val="0088159D"/>
    <w:rsid w:val="008815E6"/>
    <w:rsid w:val="00881BA0"/>
    <w:rsid w:val="00881F9B"/>
    <w:rsid w:val="008820DB"/>
    <w:rsid w:val="0088289A"/>
    <w:rsid w:val="00882929"/>
    <w:rsid w:val="0088338B"/>
    <w:rsid w:val="00883C02"/>
    <w:rsid w:val="008841BA"/>
    <w:rsid w:val="008846C1"/>
    <w:rsid w:val="00884C9C"/>
    <w:rsid w:val="00884F25"/>
    <w:rsid w:val="00885343"/>
    <w:rsid w:val="0088538F"/>
    <w:rsid w:val="0088553A"/>
    <w:rsid w:val="008859C6"/>
    <w:rsid w:val="00885AC6"/>
    <w:rsid w:val="00885B15"/>
    <w:rsid w:val="00885F4F"/>
    <w:rsid w:val="00886367"/>
    <w:rsid w:val="00886EA1"/>
    <w:rsid w:val="00887060"/>
    <w:rsid w:val="00887288"/>
    <w:rsid w:val="00887909"/>
    <w:rsid w:val="00887B65"/>
    <w:rsid w:val="00887BDE"/>
    <w:rsid w:val="00890263"/>
    <w:rsid w:val="0089042A"/>
    <w:rsid w:val="008905AC"/>
    <w:rsid w:val="0089176D"/>
    <w:rsid w:val="00891E5C"/>
    <w:rsid w:val="008920DF"/>
    <w:rsid w:val="008921B3"/>
    <w:rsid w:val="00892CAF"/>
    <w:rsid w:val="00892FD9"/>
    <w:rsid w:val="00893018"/>
    <w:rsid w:val="00893595"/>
    <w:rsid w:val="00893A0D"/>
    <w:rsid w:val="00893FA0"/>
    <w:rsid w:val="00894EAA"/>
    <w:rsid w:val="008953FE"/>
    <w:rsid w:val="00896111"/>
    <w:rsid w:val="0089661E"/>
    <w:rsid w:val="00896746"/>
    <w:rsid w:val="008969CE"/>
    <w:rsid w:val="00897238"/>
    <w:rsid w:val="00897500"/>
    <w:rsid w:val="0089782F"/>
    <w:rsid w:val="00897F5E"/>
    <w:rsid w:val="008A035F"/>
    <w:rsid w:val="008A0403"/>
    <w:rsid w:val="008A0F94"/>
    <w:rsid w:val="008A1016"/>
    <w:rsid w:val="008A1147"/>
    <w:rsid w:val="008A11A5"/>
    <w:rsid w:val="008A13C9"/>
    <w:rsid w:val="008A1550"/>
    <w:rsid w:val="008A1A99"/>
    <w:rsid w:val="008A1CC6"/>
    <w:rsid w:val="008A1CCF"/>
    <w:rsid w:val="008A1F92"/>
    <w:rsid w:val="008A2034"/>
    <w:rsid w:val="008A264F"/>
    <w:rsid w:val="008A267A"/>
    <w:rsid w:val="008A300E"/>
    <w:rsid w:val="008A31A7"/>
    <w:rsid w:val="008A31C2"/>
    <w:rsid w:val="008A3CA6"/>
    <w:rsid w:val="008A4328"/>
    <w:rsid w:val="008A4620"/>
    <w:rsid w:val="008A4875"/>
    <w:rsid w:val="008A4932"/>
    <w:rsid w:val="008A4C0F"/>
    <w:rsid w:val="008A5505"/>
    <w:rsid w:val="008A5693"/>
    <w:rsid w:val="008A5694"/>
    <w:rsid w:val="008A5715"/>
    <w:rsid w:val="008A5742"/>
    <w:rsid w:val="008A5817"/>
    <w:rsid w:val="008A5DBA"/>
    <w:rsid w:val="008A61F0"/>
    <w:rsid w:val="008A6226"/>
    <w:rsid w:val="008A65A1"/>
    <w:rsid w:val="008A65E5"/>
    <w:rsid w:val="008A692A"/>
    <w:rsid w:val="008A6B65"/>
    <w:rsid w:val="008A6D03"/>
    <w:rsid w:val="008A6D89"/>
    <w:rsid w:val="008A6E2C"/>
    <w:rsid w:val="008A795E"/>
    <w:rsid w:val="008A7A7F"/>
    <w:rsid w:val="008A7BCF"/>
    <w:rsid w:val="008B0488"/>
    <w:rsid w:val="008B0639"/>
    <w:rsid w:val="008B06AC"/>
    <w:rsid w:val="008B06E3"/>
    <w:rsid w:val="008B0C25"/>
    <w:rsid w:val="008B0C90"/>
    <w:rsid w:val="008B0DA9"/>
    <w:rsid w:val="008B0E3B"/>
    <w:rsid w:val="008B1487"/>
    <w:rsid w:val="008B1605"/>
    <w:rsid w:val="008B1A28"/>
    <w:rsid w:val="008B1EE1"/>
    <w:rsid w:val="008B1FD2"/>
    <w:rsid w:val="008B2520"/>
    <w:rsid w:val="008B2694"/>
    <w:rsid w:val="008B2D3D"/>
    <w:rsid w:val="008B2D7B"/>
    <w:rsid w:val="008B35A1"/>
    <w:rsid w:val="008B39EF"/>
    <w:rsid w:val="008B3ACE"/>
    <w:rsid w:val="008B4280"/>
    <w:rsid w:val="008B42F6"/>
    <w:rsid w:val="008B4331"/>
    <w:rsid w:val="008B437C"/>
    <w:rsid w:val="008B4D64"/>
    <w:rsid w:val="008B4D6A"/>
    <w:rsid w:val="008B57FD"/>
    <w:rsid w:val="008B5F50"/>
    <w:rsid w:val="008B6208"/>
    <w:rsid w:val="008B6BFC"/>
    <w:rsid w:val="008B6D05"/>
    <w:rsid w:val="008B7351"/>
    <w:rsid w:val="008B7916"/>
    <w:rsid w:val="008C0101"/>
    <w:rsid w:val="008C0D78"/>
    <w:rsid w:val="008C1374"/>
    <w:rsid w:val="008C17E3"/>
    <w:rsid w:val="008C1A4C"/>
    <w:rsid w:val="008C1B60"/>
    <w:rsid w:val="008C1CB9"/>
    <w:rsid w:val="008C1E42"/>
    <w:rsid w:val="008C1F0E"/>
    <w:rsid w:val="008C20B4"/>
    <w:rsid w:val="008C226A"/>
    <w:rsid w:val="008C262B"/>
    <w:rsid w:val="008C2CAB"/>
    <w:rsid w:val="008C2F26"/>
    <w:rsid w:val="008C3014"/>
    <w:rsid w:val="008C3162"/>
    <w:rsid w:val="008C3476"/>
    <w:rsid w:val="008C386E"/>
    <w:rsid w:val="008C3A46"/>
    <w:rsid w:val="008C3BBF"/>
    <w:rsid w:val="008C3CDD"/>
    <w:rsid w:val="008C3F30"/>
    <w:rsid w:val="008C4062"/>
    <w:rsid w:val="008C4E81"/>
    <w:rsid w:val="008C4FF1"/>
    <w:rsid w:val="008C500C"/>
    <w:rsid w:val="008C51A7"/>
    <w:rsid w:val="008C545B"/>
    <w:rsid w:val="008C54CD"/>
    <w:rsid w:val="008C5B77"/>
    <w:rsid w:val="008C607B"/>
    <w:rsid w:val="008C667A"/>
    <w:rsid w:val="008C6875"/>
    <w:rsid w:val="008C6EC6"/>
    <w:rsid w:val="008C74C2"/>
    <w:rsid w:val="008C7813"/>
    <w:rsid w:val="008C7C10"/>
    <w:rsid w:val="008D00A8"/>
    <w:rsid w:val="008D04BF"/>
    <w:rsid w:val="008D0705"/>
    <w:rsid w:val="008D0A1B"/>
    <w:rsid w:val="008D0C4E"/>
    <w:rsid w:val="008D0D1D"/>
    <w:rsid w:val="008D1EC7"/>
    <w:rsid w:val="008D211A"/>
    <w:rsid w:val="008D216B"/>
    <w:rsid w:val="008D2511"/>
    <w:rsid w:val="008D29E1"/>
    <w:rsid w:val="008D2ACF"/>
    <w:rsid w:val="008D40D2"/>
    <w:rsid w:val="008D40E2"/>
    <w:rsid w:val="008D43AB"/>
    <w:rsid w:val="008D446F"/>
    <w:rsid w:val="008D4CB7"/>
    <w:rsid w:val="008D5153"/>
    <w:rsid w:val="008D530C"/>
    <w:rsid w:val="008D54E5"/>
    <w:rsid w:val="008D5833"/>
    <w:rsid w:val="008D5B41"/>
    <w:rsid w:val="008D5C0B"/>
    <w:rsid w:val="008D6BA9"/>
    <w:rsid w:val="008D6D3E"/>
    <w:rsid w:val="008D75E9"/>
    <w:rsid w:val="008D7607"/>
    <w:rsid w:val="008D778E"/>
    <w:rsid w:val="008D79BC"/>
    <w:rsid w:val="008D7B12"/>
    <w:rsid w:val="008D7BCD"/>
    <w:rsid w:val="008E04D9"/>
    <w:rsid w:val="008E0A51"/>
    <w:rsid w:val="008E0D85"/>
    <w:rsid w:val="008E0F6E"/>
    <w:rsid w:val="008E111B"/>
    <w:rsid w:val="008E188D"/>
    <w:rsid w:val="008E2301"/>
    <w:rsid w:val="008E2B14"/>
    <w:rsid w:val="008E2BEB"/>
    <w:rsid w:val="008E2E0E"/>
    <w:rsid w:val="008E2E64"/>
    <w:rsid w:val="008E2EA9"/>
    <w:rsid w:val="008E2EBE"/>
    <w:rsid w:val="008E30E9"/>
    <w:rsid w:val="008E32B8"/>
    <w:rsid w:val="008E32F7"/>
    <w:rsid w:val="008E41F5"/>
    <w:rsid w:val="008E4DE7"/>
    <w:rsid w:val="008E4FE2"/>
    <w:rsid w:val="008E5627"/>
    <w:rsid w:val="008E58EC"/>
    <w:rsid w:val="008E62A9"/>
    <w:rsid w:val="008E6328"/>
    <w:rsid w:val="008E65B3"/>
    <w:rsid w:val="008E6612"/>
    <w:rsid w:val="008E668B"/>
    <w:rsid w:val="008E6CE0"/>
    <w:rsid w:val="008E716D"/>
    <w:rsid w:val="008E7292"/>
    <w:rsid w:val="008E7B3F"/>
    <w:rsid w:val="008E7F5E"/>
    <w:rsid w:val="008F06B7"/>
    <w:rsid w:val="008F0850"/>
    <w:rsid w:val="008F0D33"/>
    <w:rsid w:val="008F0D6D"/>
    <w:rsid w:val="008F12D2"/>
    <w:rsid w:val="008F1393"/>
    <w:rsid w:val="008F16DE"/>
    <w:rsid w:val="008F175B"/>
    <w:rsid w:val="008F1846"/>
    <w:rsid w:val="008F1AB9"/>
    <w:rsid w:val="008F1C1C"/>
    <w:rsid w:val="008F22A9"/>
    <w:rsid w:val="008F24EE"/>
    <w:rsid w:val="008F2740"/>
    <w:rsid w:val="008F2835"/>
    <w:rsid w:val="008F29FD"/>
    <w:rsid w:val="008F2A11"/>
    <w:rsid w:val="008F2D4F"/>
    <w:rsid w:val="008F2F8F"/>
    <w:rsid w:val="008F32F3"/>
    <w:rsid w:val="008F38EC"/>
    <w:rsid w:val="008F3C10"/>
    <w:rsid w:val="008F3F8A"/>
    <w:rsid w:val="008F4053"/>
    <w:rsid w:val="008F40E3"/>
    <w:rsid w:val="008F4290"/>
    <w:rsid w:val="008F429B"/>
    <w:rsid w:val="008F43B4"/>
    <w:rsid w:val="008F5527"/>
    <w:rsid w:val="008F5942"/>
    <w:rsid w:val="008F63A0"/>
    <w:rsid w:val="008F68F8"/>
    <w:rsid w:val="008F6A2B"/>
    <w:rsid w:val="008F6A70"/>
    <w:rsid w:val="008F6D31"/>
    <w:rsid w:val="008F73F5"/>
    <w:rsid w:val="008F7815"/>
    <w:rsid w:val="008F792D"/>
    <w:rsid w:val="008F7F1D"/>
    <w:rsid w:val="0090007F"/>
    <w:rsid w:val="009000D1"/>
    <w:rsid w:val="009002EF"/>
    <w:rsid w:val="0090046F"/>
    <w:rsid w:val="00900D0C"/>
    <w:rsid w:val="00900D85"/>
    <w:rsid w:val="009010C5"/>
    <w:rsid w:val="0090135D"/>
    <w:rsid w:val="009014C9"/>
    <w:rsid w:val="00901A40"/>
    <w:rsid w:val="00901CC4"/>
    <w:rsid w:val="009020F4"/>
    <w:rsid w:val="009023E8"/>
    <w:rsid w:val="009024D1"/>
    <w:rsid w:val="00902A0C"/>
    <w:rsid w:val="009032A4"/>
    <w:rsid w:val="00903448"/>
    <w:rsid w:val="0090357B"/>
    <w:rsid w:val="00903723"/>
    <w:rsid w:val="00903AC8"/>
    <w:rsid w:val="00904146"/>
    <w:rsid w:val="00904830"/>
    <w:rsid w:val="0090483E"/>
    <w:rsid w:val="00905084"/>
    <w:rsid w:val="009051EB"/>
    <w:rsid w:val="0090538F"/>
    <w:rsid w:val="00905649"/>
    <w:rsid w:val="00905714"/>
    <w:rsid w:val="00905D6C"/>
    <w:rsid w:val="009062CB"/>
    <w:rsid w:val="0090664A"/>
    <w:rsid w:val="009067EB"/>
    <w:rsid w:val="00906AAE"/>
    <w:rsid w:val="0090753E"/>
    <w:rsid w:val="0090785C"/>
    <w:rsid w:val="00910B34"/>
    <w:rsid w:val="00910D3D"/>
    <w:rsid w:val="00911190"/>
    <w:rsid w:val="00911308"/>
    <w:rsid w:val="009114C4"/>
    <w:rsid w:val="0091174D"/>
    <w:rsid w:val="00911DC9"/>
    <w:rsid w:val="00911FFB"/>
    <w:rsid w:val="00912537"/>
    <w:rsid w:val="009125B7"/>
    <w:rsid w:val="009133DD"/>
    <w:rsid w:val="009134FC"/>
    <w:rsid w:val="009138FC"/>
    <w:rsid w:val="00913A44"/>
    <w:rsid w:val="009143E1"/>
    <w:rsid w:val="00915082"/>
    <w:rsid w:val="009151D4"/>
    <w:rsid w:val="009152C7"/>
    <w:rsid w:val="00915418"/>
    <w:rsid w:val="009159CE"/>
    <w:rsid w:val="00916089"/>
    <w:rsid w:val="00916124"/>
    <w:rsid w:val="009162CF"/>
    <w:rsid w:val="009168EF"/>
    <w:rsid w:val="009168FB"/>
    <w:rsid w:val="00916C55"/>
    <w:rsid w:val="00916EEA"/>
    <w:rsid w:val="0091709D"/>
    <w:rsid w:val="0091711F"/>
    <w:rsid w:val="00917BF9"/>
    <w:rsid w:val="00917F7D"/>
    <w:rsid w:val="00920AF1"/>
    <w:rsid w:val="00920CFA"/>
    <w:rsid w:val="0092131B"/>
    <w:rsid w:val="00921571"/>
    <w:rsid w:val="009215D4"/>
    <w:rsid w:val="00921747"/>
    <w:rsid w:val="0092194A"/>
    <w:rsid w:val="00921965"/>
    <w:rsid w:val="0092226A"/>
    <w:rsid w:val="00922867"/>
    <w:rsid w:val="00922CFE"/>
    <w:rsid w:val="00922DFE"/>
    <w:rsid w:val="0092323F"/>
    <w:rsid w:val="009235F9"/>
    <w:rsid w:val="00924642"/>
    <w:rsid w:val="00924BD6"/>
    <w:rsid w:val="0092519A"/>
    <w:rsid w:val="00925AD8"/>
    <w:rsid w:val="00925C6A"/>
    <w:rsid w:val="00925F52"/>
    <w:rsid w:val="009260C9"/>
    <w:rsid w:val="0092680D"/>
    <w:rsid w:val="00926A1C"/>
    <w:rsid w:val="00927A35"/>
    <w:rsid w:val="00927C37"/>
    <w:rsid w:val="009303B7"/>
    <w:rsid w:val="009303F4"/>
    <w:rsid w:val="0093098D"/>
    <w:rsid w:val="00930E6C"/>
    <w:rsid w:val="00931082"/>
    <w:rsid w:val="0093124B"/>
    <w:rsid w:val="009319F3"/>
    <w:rsid w:val="00932456"/>
    <w:rsid w:val="00933792"/>
    <w:rsid w:val="00933C1A"/>
    <w:rsid w:val="00933C77"/>
    <w:rsid w:val="00933FD9"/>
    <w:rsid w:val="00934B67"/>
    <w:rsid w:val="00934EA9"/>
    <w:rsid w:val="00934F4D"/>
    <w:rsid w:val="00935EEE"/>
    <w:rsid w:val="00935F11"/>
    <w:rsid w:val="00936555"/>
    <w:rsid w:val="0093675A"/>
    <w:rsid w:val="00936F8C"/>
    <w:rsid w:val="009374B6"/>
    <w:rsid w:val="009377B8"/>
    <w:rsid w:val="00940404"/>
    <w:rsid w:val="0094070D"/>
    <w:rsid w:val="00940B90"/>
    <w:rsid w:val="00940C21"/>
    <w:rsid w:val="00940CD4"/>
    <w:rsid w:val="0094125C"/>
    <w:rsid w:val="00941850"/>
    <w:rsid w:val="009418F8"/>
    <w:rsid w:val="00941F7B"/>
    <w:rsid w:val="009422A7"/>
    <w:rsid w:val="00942BFF"/>
    <w:rsid w:val="00943028"/>
    <w:rsid w:val="009438D9"/>
    <w:rsid w:val="00943A65"/>
    <w:rsid w:val="00943CE6"/>
    <w:rsid w:val="00944011"/>
    <w:rsid w:val="00944709"/>
    <w:rsid w:val="00944E7B"/>
    <w:rsid w:val="009451BA"/>
    <w:rsid w:val="0094616B"/>
    <w:rsid w:val="00946532"/>
    <w:rsid w:val="009468E0"/>
    <w:rsid w:val="00946974"/>
    <w:rsid w:val="00946C02"/>
    <w:rsid w:val="00946CC5"/>
    <w:rsid w:val="00947167"/>
    <w:rsid w:val="009504F2"/>
    <w:rsid w:val="00950770"/>
    <w:rsid w:val="00950ADB"/>
    <w:rsid w:val="009514EB"/>
    <w:rsid w:val="0095158F"/>
    <w:rsid w:val="00951C71"/>
    <w:rsid w:val="0095233D"/>
    <w:rsid w:val="009523F6"/>
    <w:rsid w:val="00952589"/>
    <w:rsid w:val="009525C6"/>
    <w:rsid w:val="00952673"/>
    <w:rsid w:val="0095344F"/>
    <w:rsid w:val="00953715"/>
    <w:rsid w:val="009537CF"/>
    <w:rsid w:val="00953AA5"/>
    <w:rsid w:val="00953B3B"/>
    <w:rsid w:val="00953F02"/>
    <w:rsid w:val="00954919"/>
    <w:rsid w:val="00954EE3"/>
    <w:rsid w:val="00955108"/>
    <w:rsid w:val="00955364"/>
    <w:rsid w:val="00955DAE"/>
    <w:rsid w:val="00955F60"/>
    <w:rsid w:val="00956759"/>
    <w:rsid w:val="00956BB6"/>
    <w:rsid w:val="00956BF9"/>
    <w:rsid w:val="0095708F"/>
    <w:rsid w:val="00957600"/>
    <w:rsid w:val="00957CE9"/>
    <w:rsid w:val="0096069C"/>
    <w:rsid w:val="00960885"/>
    <w:rsid w:val="00961040"/>
    <w:rsid w:val="009614F8"/>
    <w:rsid w:val="00961AAB"/>
    <w:rsid w:val="00961C28"/>
    <w:rsid w:val="00961E2F"/>
    <w:rsid w:val="009621CE"/>
    <w:rsid w:val="00962776"/>
    <w:rsid w:val="00962952"/>
    <w:rsid w:val="00962A3C"/>
    <w:rsid w:val="00962A44"/>
    <w:rsid w:val="00962B0A"/>
    <w:rsid w:val="00962D47"/>
    <w:rsid w:val="0096325B"/>
    <w:rsid w:val="0096373D"/>
    <w:rsid w:val="00963BB9"/>
    <w:rsid w:val="00963D68"/>
    <w:rsid w:val="0096409F"/>
    <w:rsid w:val="0096465A"/>
    <w:rsid w:val="00964682"/>
    <w:rsid w:val="00965090"/>
    <w:rsid w:val="009652BD"/>
    <w:rsid w:val="009653A7"/>
    <w:rsid w:val="00965432"/>
    <w:rsid w:val="00965614"/>
    <w:rsid w:val="00965842"/>
    <w:rsid w:val="009658F4"/>
    <w:rsid w:val="00965F06"/>
    <w:rsid w:val="009661CF"/>
    <w:rsid w:val="0096620A"/>
    <w:rsid w:val="00966394"/>
    <w:rsid w:val="009663F4"/>
    <w:rsid w:val="00966783"/>
    <w:rsid w:val="00966CCF"/>
    <w:rsid w:val="009671DF"/>
    <w:rsid w:val="00967C4D"/>
    <w:rsid w:val="00967CEA"/>
    <w:rsid w:val="0097003F"/>
    <w:rsid w:val="009702CA"/>
    <w:rsid w:val="00970801"/>
    <w:rsid w:val="00970A3B"/>
    <w:rsid w:val="00970F4F"/>
    <w:rsid w:val="00971AC5"/>
    <w:rsid w:val="009728D7"/>
    <w:rsid w:val="00972E77"/>
    <w:rsid w:val="00972E9C"/>
    <w:rsid w:val="00973393"/>
    <w:rsid w:val="00973675"/>
    <w:rsid w:val="00973DC7"/>
    <w:rsid w:val="00973DD5"/>
    <w:rsid w:val="00974027"/>
    <w:rsid w:val="00974CA2"/>
    <w:rsid w:val="00975071"/>
    <w:rsid w:val="00975294"/>
    <w:rsid w:val="00975339"/>
    <w:rsid w:val="00976188"/>
    <w:rsid w:val="0097690E"/>
    <w:rsid w:val="00976C44"/>
    <w:rsid w:val="00976F50"/>
    <w:rsid w:val="00977262"/>
    <w:rsid w:val="00977305"/>
    <w:rsid w:val="009776B5"/>
    <w:rsid w:val="00977922"/>
    <w:rsid w:val="0098000C"/>
    <w:rsid w:val="009803D7"/>
    <w:rsid w:val="009804EC"/>
    <w:rsid w:val="0098070A"/>
    <w:rsid w:val="0098074D"/>
    <w:rsid w:val="00980A05"/>
    <w:rsid w:val="00980BC5"/>
    <w:rsid w:val="00980D40"/>
    <w:rsid w:val="009812F5"/>
    <w:rsid w:val="00981488"/>
    <w:rsid w:val="00981D1F"/>
    <w:rsid w:val="00982239"/>
    <w:rsid w:val="009829C5"/>
    <w:rsid w:val="00983050"/>
    <w:rsid w:val="00983351"/>
    <w:rsid w:val="00983974"/>
    <w:rsid w:val="00984010"/>
    <w:rsid w:val="0098425F"/>
    <w:rsid w:val="0098477C"/>
    <w:rsid w:val="00984855"/>
    <w:rsid w:val="00985512"/>
    <w:rsid w:val="00985665"/>
    <w:rsid w:val="00985743"/>
    <w:rsid w:val="009857A8"/>
    <w:rsid w:val="0098591D"/>
    <w:rsid w:val="00985C75"/>
    <w:rsid w:val="00986056"/>
    <w:rsid w:val="0098605B"/>
    <w:rsid w:val="009861D1"/>
    <w:rsid w:val="009862BC"/>
    <w:rsid w:val="00986477"/>
    <w:rsid w:val="009864C4"/>
    <w:rsid w:val="00986DE9"/>
    <w:rsid w:val="009870AD"/>
    <w:rsid w:val="009909A0"/>
    <w:rsid w:val="00990B18"/>
    <w:rsid w:val="00990E9E"/>
    <w:rsid w:val="00991663"/>
    <w:rsid w:val="00991E1C"/>
    <w:rsid w:val="00991F10"/>
    <w:rsid w:val="009920C6"/>
    <w:rsid w:val="009923E2"/>
    <w:rsid w:val="00992C13"/>
    <w:rsid w:val="00992E28"/>
    <w:rsid w:val="00992ED9"/>
    <w:rsid w:val="00993847"/>
    <w:rsid w:val="009938A9"/>
    <w:rsid w:val="00993C11"/>
    <w:rsid w:val="00993C3E"/>
    <w:rsid w:val="00993C46"/>
    <w:rsid w:val="00993D01"/>
    <w:rsid w:val="00994393"/>
    <w:rsid w:val="00995036"/>
    <w:rsid w:val="009957CE"/>
    <w:rsid w:val="0099591E"/>
    <w:rsid w:val="009968BA"/>
    <w:rsid w:val="00996DBE"/>
    <w:rsid w:val="0099751B"/>
    <w:rsid w:val="0099776B"/>
    <w:rsid w:val="0099779A"/>
    <w:rsid w:val="009977F8"/>
    <w:rsid w:val="009A000B"/>
    <w:rsid w:val="009A00D9"/>
    <w:rsid w:val="009A0135"/>
    <w:rsid w:val="009A0193"/>
    <w:rsid w:val="009A038A"/>
    <w:rsid w:val="009A057B"/>
    <w:rsid w:val="009A06D7"/>
    <w:rsid w:val="009A0B63"/>
    <w:rsid w:val="009A0CAF"/>
    <w:rsid w:val="009A0E98"/>
    <w:rsid w:val="009A1266"/>
    <w:rsid w:val="009A12B8"/>
    <w:rsid w:val="009A1D93"/>
    <w:rsid w:val="009A1DCE"/>
    <w:rsid w:val="009A2470"/>
    <w:rsid w:val="009A25FB"/>
    <w:rsid w:val="009A2A24"/>
    <w:rsid w:val="009A31BF"/>
    <w:rsid w:val="009A3228"/>
    <w:rsid w:val="009A430F"/>
    <w:rsid w:val="009A45D2"/>
    <w:rsid w:val="009A46DA"/>
    <w:rsid w:val="009A4D95"/>
    <w:rsid w:val="009A5246"/>
    <w:rsid w:val="009A52C7"/>
    <w:rsid w:val="009A5359"/>
    <w:rsid w:val="009A5422"/>
    <w:rsid w:val="009A5A76"/>
    <w:rsid w:val="009A5E8A"/>
    <w:rsid w:val="009A6786"/>
    <w:rsid w:val="009A69F3"/>
    <w:rsid w:val="009A6EA6"/>
    <w:rsid w:val="009A7494"/>
    <w:rsid w:val="009A765A"/>
    <w:rsid w:val="009A798F"/>
    <w:rsid w:val="009A7CF5"/>
    <w:rsid w:val="009A7F04"/>
    <w:rsid w:val="009B0357"/>
    <w:rsid w:val="009B048D"/>
    <w:rsid w:val="009B0492"/>
    <w:rsid w:val="009B0664"/>
    <w:rsid w:val="009B06D5"/>
    <w:rsid w:val="009B09D9"/>
    <w:rsid w:val="009B09E1"/>
    <w:rsid w:val="009B0B2E"/>
    <w:rsid w:val="009B0F9D"/>
    <w:rsid w:val="009B1BA6"/>
    <w:rsid w:val="009B1BED"/>
    <w:rsid w:val="009B1D2B"/>
    <w:rsid w:val="009B30C0"/>
    <w:rsid w:val="009B3589"/>
    <w:rsid w:val="009B37DA"/>
    <w:rsid w:val="009B39B1"/>
    <w:rsid w:val="009B402E"/>
    <w:rsid w:val="009B40A4"/>
    <w:rsid w:val="009B499D"/>
    <w:rsid w:val="009B4E1D"/>
    <w:rsid w:val="009B4E38"/>
    <w:rsid w:val="009B54FC"/>
    <w:rsid w:val="009B5598"/>
    <w:rsid w:val="009B5746"/>
    <w:rsid w:val="009B5B27"/>
    <w:rsid w:val="009B5B91"/>
    <w:rsid w:val="009B6CBA"/>
    <w:rsid w:val="009B71E6"/>
    <w:rsid w:val="009B739C"/>
    <w:rsid w:val="009B7619"/>
    <w:rsid w:val="009B777B"/>
    <w:rsid w:val="009B7DE0"/>
    <w:rsid w:val="009B7DF8"/>
    <w:rsid w:val="009C0068"/>
    <w:rsid w:val="009C012E"/>
    <w:rsid w:val="009C05B2"/>
    <w:rsid w:val="009C07CB"/>
    <w:rsid w:val="009C086C"/>
    <w:rsid w:val="009C0C7A"/>
    <w:rsid w:val="009C0D2D"/>
    <w:rsid w:val="009C0D7D"/>
    <w:rsid w:val="009C1540"/>
    <w:rsid w:val="009C1923"/>
    <w:rsid w:val="009C2ACC"/>
    <w:rsid w:val="009C2FAA"/>
    <w:rsid w:val="009C34E6"/>
    <w:rsid w:val="009C3B06"/>
    <w:rsid w:val="009C3F38"/>
    <w:rsid w:val="009C3F82"/>
    <w:rsid w:val="009C40DC"/>
    <w:rsid w:val="009C4346"/>
    <w:rsid w:val="009C4C99"/>
    <w:rsid w:val="009C58D2"/>
    <w:rsid w:val="009C6C07"/>
    <w:rsid w:val="009C75A3"/>
    <w:rsid w:val="009C7872"/>
    <w:rsid w:val="009C79D6"/>
    <w:rsid w:val="009C7EC5"/>
    <w:rsid w:val="009D05DE"/>
    <w:rsid w:val="009D083C"/>
    <w:rsid w:val="009D0E1B"/>
    <w:rsid w:val="009D0FC6"/>
    <w:rsid w:val="009D130F"/>
    <w:rsid w:val="009D16D0"/>
    <w:rsid w:val="009D2A09"/>
    <w:rsid w:val="009D2F7A"/>
    <w:rsid w:val="009D3633"/>
    <w:rsid w:val="009D3E69"/>
    <w:rsid w:val="009D4175"/>
    <w:rsid w:val="009D432B"/>
    <w:rsid w:val="009D44A2"/>
    <w:rsid w:val="009D49EB"/>
    <w:rsid w:val="009D4C28"/>
    <w:rsid w:val="009D4E4B"/>
    <w:rsid w:val="009D4F7E"/>
    <w:rsid w:val="009D54E1"/>
    <w:rsid w:val="009D5F28"/>
    <w:rsid w:val="009D5F6A"/>
    <w:rsid w:val="009D6940"/>
    <w:rsid w:val="009D6A80"/>
    <w:rsid w:val="009D6DBC"/>
    <w:rsid w:val="009D6DD0"/>
    <w:rsid w:val="009D6E43"/>
    <w:rsid w:val="009D6F0E"/>
    <w:rsid w:val="009D73DF"/>
    <w:rsid w:val="009D741D"/>
    <w:rsid w:val="009D7AD4"/>
    <w:rsid w:val="009D7E0D"/>
    <w:rsid w:val="009D7ECF"/>
    <w:rsid w:val="009E0128"/>
    <w:rsid w:val="009E0193"/>
    <w:rsid w:val="009E0382"/>
    <w:rsid w:val="009E0DCA"/>
    <w:rsid w:val="009E123F"/>
    <w:rsid w:val="009E209A"/>
    <w:rsid w:val="009E3D7A"/>
    <w:rsid w:val="009E4141"/>
    <w:rsid w:val="009E4602"/>
    <w:rsid w:val="009E496E"/>
    <w:rsid w:val="009E55A3"/>
    <w:rsid w:val="009E58AE"/>
    <w:rsid w:val="009E5C31"/>
    <w:rsid w:val="009E5C4A"/>
    <w:rsid w:val="009E5C9A"/>
    <w:rsid w:val="009E611E"/>
    <w:rsid w:val="009E618A"/>
    <w:rsid w:val="009E649E"/>
    <w:rsid w:val="009E6DD0"/>
    <w:rsid w:val="009E75C5"/>
    <w:rsid w:val="009F00DF"/>
    <w:rsid w:val="009F0A58"/>
    <w:rsid w:val="009F0AD5"/>
    <w:rsid w:val="009F0FA8"/>
    <w:rsid w:val="009F127F"/>
    <w:rsid w:val="009F13E8"/>
    <w:rsid w:val="009F1AA3"/>
    <w:rsid w:val="009F1FD3"/>
    <w:rsid w:val="009F2234"/>
    <w:rsid w:val="009F2A89"/>
    <w:rsid w:val="009F2D6C"/>
    <w:rsid w:val="009F3011"/>
    <w:rsid w:val="009F3427"/>
    <w:rsid w:val="009F37C7"/>
    <w:rsid w:val="009F3DD0"/>
    <w:rsid w:val="009F4798"/>
    <w:rsid w:val="009F4939"/>
    <w:rsid w:val="009F4BB9"/>
    <w:rsid w:val="009F5086"/>
    <w:rsid w:val="009F51B9"/>
    <w:rsid w:val="009F5396"/>
    <w:rsid w:val="009F58E2"/>
    <w:rsid w:val="009F6301"/>
    <w:rsid w:val="009F6539"/>
    <w:rsid w:val="009F65A1"/>
    <w:rsid w:val="009F65D8"/>
    <w:rsid w:val="009F725E"/>
    <w:rsid w:val="009F7838"/>
    <w:rsid w:val="00A000B2"/>
    <w:rsid w:val="00A000F6"/>
    <w:rsid w:val="00A0069B"/>
    <w:rsid w:val="00A00C45"/>
    <w:rsid w:val="00A01682"/>
    <w:rsid w:val="00A0171A"/>
    <w:rsid w:val="00A017D1"/>
    <w:rsid w:val="00A019EC"/>
    <w:rsid w:val="00A01B8F"/>
    <w:rsid w:val="00A01DAA"/>
    <w:rsid w:val="00A01E5E"/>
    <w:rsid w:val="00A01F76"/>
    <w:rsid w:val="00A0210E"/>
    <w:rsid w:val="00A0260B"/>
    <w:rsid w:val="00A02BB9"/>
    <w:rsid w:val="00A02C49"/>
    <w:rsid w:val="00A03018"/>
    <w:rsid w:val="00A03C4A"/>
    <w:rsid w:val="00A03D5A"/>
    <w:rsid w:val="00A05B0F"/>
    <w:rsid w:val="00A0693C"/>
    <w:rsid w:val="00A06AC6"/>
    <w:rsid w:val="00A06BF9"/>
    <w:rsid w:val="00A072D4"/>
    <w:rsid w:val="00A0737C"/>
    <w:rsid w:val="00A075D6"/>
    <w:rsid w:val="00A10914"/>
    <w:rsid w:val="00A10CAF"/>
    <w:rsid w:val="00A10F39"/>
    <w:rsid w:val="00A110FA"/>
    <w:rsid w:val="00A11B72"/>
    <w:rsid w:val="00A124BE"/>
    <w:rsid w:val="00A130D2"/>
    <w:rsid w:val="00A13109"/>
    <w:rsid w:val="00A13751"/>
    <w:rsid w:val="00A13858"/>
    <w:rsid w:val="00A13EAE"/>
    <w:rsid w:val="00A1405A"/>
    <w:rsid w:val="00A1424A"/>
    <w:rsid w:val="00A14ADA"/>
    <w:rsid w:val="00A14AE7"/>
    <w:rsid w:val="00A14B20"/>
    <w:rsid w:val="00A14CA5"/>
    <w:rsid w:val="00A155CD"/>
    <w:rsid w:val="00A156EF"/>
    <w:rsid w:val="00A15BC4"/>
    <w:rsid w:val="00A15F41"/>
    <w:rsid w:val="00A16C8D"/>
    <w:rsid w:val="00A16EDE"/>
    <w:rsid w:val="00A17360"/>
    <w:rsid w:val="00A175E2"/>
    <w:rsid w:val="00A2010E"/>
    <w:rsid w:val="00A2029A"/>
    <w:rsid w:val="00A21708"/>
    <w:rsid w:val="00A22A7E"/>
    <w:rsid w:val="00A22C71"/>
    <w:rsid w:val="00A22D82"/>
    <w:rsid w:val="00A23046"/>
    <w:rsid w:val="00A23DAE"/>
    <w:rsid w:val="00A24CC6"/>
    <w:rsid w:val="00A24FD4"/>
    <w:rsid w:val="00A25650"/>
    <w:rsid w:val="00A2644F"/>
    <w:rsid w:val="00A26742"/>
    <w:rsid w:val="00A26FFD"/>
    <w:rsid w:val="00A274AA"/>
    <w:rsid w:val="00A276B2"/>
    <w:rsid w:val="00A2770C"/>
    <w:rsid w:val="00A27ADE"/>
    <w:rsid w:val="00A3020F"/>
    <w:rsid w:val="00A305CD"/>
    <w:rsid w:val="00A30669"/>
    <w:rsid w:val="00A30765"/>
    <w:rsid w:val="00A30B79"/>
    <w:rsid w:val="00A31397"/>
    <w:rsid w:val="00A3183D"/>
    <w:rsid w:val="00A31DAA"/>
    <w:rsid w:val="00A321E8"/>
    <w:rsid w:val="00A32820"/>
    <w:rsid w:val="00A32AAC"/>
    <w:rsid w:val="00A32F68"/>
    <w:rsid w:val="00A33210"/>
    <w:rsid w:val="00A33733"/>
    <w:rsid w:val="00A33827"/>
    <w:rsid w:val="00A33F89"/>
    <w:rsid w:val="00A3480D"/>
    <w:rsid w:val="00A349D0"/>
    <w:rsid w:val="00A34AC9"/>
    <w:rsid w:val="00A35038"/>
    <w:rsid w:val="00A3564A"/>
    <w:rsid w:val="00A35EE8"/>
    <w:rsid w:val="00A363A6"/>
    <w:rsid w:val="00A364C9"/>
    <w:rsid w:val="00A36729"/>
    <w:rsid w:val="00A3677E"/>
    <w:rsid w:val="00A36A9A"/>
    <w:rsid w:val="00A36C93"/>
    <w:rsid w:val="00A372C1"/>
    <w:rsid w:val="00A376C2"/>
    <w:rsid w:val="00A37A78"/>
    <w:rsid w:val="00A4022E"/>
    <w:rsid w:val="00A40390"/>
    <w:rsid w:val="00A407D6"/>
    <w:rsid w:val="00A407DA"/>
    <w:rsid w:val="00A413DF"/>
    <w:rsid w:val="00A41577"/>
    <w:rsid w:val="00A41996"/>
    <w:rsid w:val="00A41B2B"/>
    <w:rsid w:val="00A41D8C"/>
    <w:rsid w:val="00A421CB"/>
    <w:rsid w:val="00A42270"/>
    <w:rsid w:val="00A424BD"/>
    <w:rsid w:val="00A427AE"/>
    <w:rsid w:val="00A42AE0"/>
    <w:rsid w:val="00A42B3A"/>
    <w:rsid w:val="00A42E4B"/>
    <w:rsid w:val="00A4335A"/>
    <w:rsid w:val="00A43760"/>
    <w:rsid w:val="00A4393E"/>
    <w:rsid w:val="00A43A94"/>
    <w:rsid w:val="00A43B84"/>
    <w:rsid w:val="00A4430E"/>
    <w:rsid w:val="00A44597"/>
    <w:rsid w:val="00A44D7A"/>
    <w:rsid w:val="00A44EF0"/>
    <w:rsid w:val="00A453F3"/>
    <w:rsid w:val="00A4547A"/>
    <w:rsid w:val="00A455F0"/>
    <w:rsid w:val="00A4564D"/>
    <w:rsid w:val="00A45E74"/>
    <w:rsid w:val="00A46054"/>
    <w:rsid w:val="00A46553"/>
    <w:rsid w:val="00A465AE"/>
    <w:rsid w:val="00A4660A"/>
    <w:rsid w:val="00A4672E"/>
    <w:rsid w:val="00A46B20"/>
    <w:rsid w:val="00A474B8"/>
    <w:rsid w:val="00A47707"/>
    <w:rsid w:val="00A47D81"/>
    <w:rsid w:val="00A505D0"/>
    <w:rsid w:val="00A5074F"/>
    <w:rsid w:val="00A507D6"/>
    <w:rsid w:val="00A50A53"/>
    <w:rsid w:val="00A5137A"/>
    <w:rsid w:val="00A516D6"/>
    <w:rsid w:val="00A51747"/>
    <w:rsid w:val="00A51CFC"/>
    <w:rsid w:val="00A526B4"/>
    <w:rsid w:val="00A52DF4"/>
    <w:rsid w:val="00A53469"/>
    <w:rsid w:val="00A534B6"/>
    <w:rsid w:val="00A53990"/>
    <w:rsid w:val="00A54775"/>
    <w:rsid w:val="00A54908"/>
    <w:rsid w:val="00A54C39"/>
    <w:rsid w:val="00A54ED7"/>
    <w:rsid w:val="00A5538A"/>
    <w:rsid w:val="00A554FA"/>
    <w:rsid w:val="00A55C09"/>
    <w:rsid w:val="00A55EB0"/>
    <w:rsid w:val="00A55FEB"/>
    <w:rsid w:val="00A5663E"/>
    <w:rsid w:val="00A56856"/>
    <w:rsid w:val="00A569D3"/>
    <w:rsid w:val="00A56ECD"/>
    <w:rsid w:val="00A56F50"/>
    <w:rsid w:val="00A57648"/>
    <w:rsid w:val="00A57C14"/>
    <w:rsid w:val="00A57CAC"/>
    <w:rsid w:val="00A57E95"/>
    <w:rsid w:val="00A6098F"/>
    <w:rsid w:val="00A614FF"/>
    <w:rsid w:val="00A616FA"/>
    <w:rsid w:val="00A61D70"/>
    <w:rsid w:val="00A61F9D"/>
    <w:rsid w:val="00A622CD"/>
    <w:rsid w:val="00A62369"/>
    <w:rsid w:val="00A63B6F"/>
    <w:rsid w:val="00A63D93"/>
    <w:rsid w:val="00A6414E"/>
    <w:rsid w:val="00A64485"/>
    <w:rsid w:val="00A64AE0"/>
    <w:rsid w:val="00A652E4"/>
    <w:rsid w:val="00A65720"/>
    <w:rsid w:val="00A65960"/>
    <w:rsid w:val="00A6601C"/>
    <w:rsid w:val="00A661BF"/>
    <w:rsid w:val="00A66418"/>
    <w:rsid w:val="00A666CB"/>
    <w:rsid w:val="00A66757"/>
    <w:rsid w:val="00A66FAF"/>
    <w:rsid w:val="00A67C00"/>
    <w:rsid w:val="00A7001B"/>
    <w:rsid w:val="00A705EE"/>
    <w:rsid w:val="00A70D54"/>
    <w:rsid w:val="00A71266"/>
    <w:rsid w:val="00A71276"/>
    <w:rsid w:val="00A7142B"/>
    <w:rsid w:val="00A714AC"/>
    <w:rsid w:val="00A7162E"/>
    <w:rsid w:val="00A719A6"/>
    <w:rsid w:val="00A72149"/>
    <w:rsid w:val="00A7221B"/>
    <w:rsid w:val="00A7229A"/>
    <w:rsid w:val="00A72345"/>
    <w:rsid w:val="00A7258A"/>
    <w:rsid w:val="00A7277B"/>
    <w:rsid w:val="00A72C3A"/>
    <w:rsid w:val="00A72F75"/>
    <w:rsid w:val="00A7392F"/>
    <w:rsid w:val="00A739E0"/>
    <w:rsid w:val="00A743FC"/>
    <w:rsid w:val="00A7495F"/>
    <w:rsid w:val="00A75429"/>
    <w:rsid w:val="00A75963"/>
    <w:rsid w:val="00A75E2E"/>
    <w:rsid w:val="00A762C6"/>
    <w:rsid w:val="00A766CC"/>
    <w:rsid w:val="00A76DEA"/>
    <w:rsid w:val="00A77F77"/>
    <w:rsid w:val="00A80580"/>
    <w:rsid w:val="00A80848"/>
    <w:rsid w:val="00A80B34"/>
    <w:rsid w:val="00A816C3"/>
    <w:rsid w:val="00A819A1"/>
    <w:rsid w:val="00A81F78"/>
    <w:rsid w:val="00A823B5"/>
    <w:rsid w:val="00A82522"/>
    <w:rsid w:val="00A82666"/>
    <w:rsid w:val="00A832A8"/>
    <w:rsid w:val="00A83762"/>
    <w:rsid w:val="00A83D72"/>
    <w:rsid w:val="00A83E92"/>
    <w:rsid w:val="00A83FB8"/>
    <w:rsid w:val="00A84976"/>
    <w:rsid w:val="00A84D76"/>
    <w:rsid w:val="00A84E17"/>
    <w:rsid w:val="00A84FC6"/>
    <w:rsid w:val="00A85232"/>
    <w:rsid w:val="00A85361"/>
    <w:rsid w:val="00A8580B"/>
    <w:rsid w:val="00A86191"/>
    <w:rsid w:val="00A86A77"/>
    <w:rsid w:val="00A86C82"/>
    <w:rsid w:val="00A86C9B"/>
    <w:rsid w:val="00A86FB0"/>
    <w:rsid w:val="00A877DE"/>
    <w:rsid w:val="00A879DF"/>
    <w:rsid w:val="00A87CEE"/>
    <w:rsid w:val="00A9032A"/>
    <w:rsid w:val="00A912DC"/>
    <w:rsid w:val="00A915E4"/>
    <w:rsid w:val="00A91627"/>
    <w:rsid w:val="00A92038"/>
    <w:rsid w:val="00A92AE3"/>
    <w:rsid w:val="00A92BC3"/>
    <w:rsid w:val="00A92E7B"/>
    <w:rsid w:val="00A930CC"/>
    <w:rsid w:val="00A93F05"/>
    <w:rsid w:val="00A93F5B"/>
    <w:rsid w:val="00A9412C"/>
    <w:rsid w:val="00A942ED"/>
    <w:rsid w:val="00A94637"/>
    <w:rsid w:val="00A94925"/>
    <w:rsid w:val="00A94AEB"/>
    <w:rsid w:val="00A9505C"/>
    <w:rsid w:val="00A95CC7"/>
    <w:rsid w:val="00A9634D"/>
    <w:rsid w:val="00A9657E"/>
    <w:rsid w:val="00A965CD"/>
    <w:rsid w:val="00A9710D"/>
    <w:rsid w:val="00A97B36"/>
    <w:rsid w:val="00A97BAE"/>
    <w:rsid w:val="00AA0016"/>
    <w:rsid w:val="00AA0239"/>
    <w:rsid w:val="00AA04AF"/>
    <w:rsid w:val="00AA11C6"/>
    <w:rsid w:val="00AA16D4"/>
    <w:rsid w:val="00AA1CCD"/>
    <w:rsid w:val="00AA1FB5"/>
    <w:rsid w:val="00AA2180"/>
    <w:rsid w:val="00AA24D8"/>
    <w:rsid w:val="00AA277E"/>
    <w:rsid w:val="00AA2934"/>
    <w:rsid w:val="00AA29DB"/>
    <w:rsid w:val="00AA2A65"/>
    <w:rsid w:val="00AA2BEC"/>
    <w:rsid w:val="00AA352C"/>
    <w:rsid w:val="00AA397F"/>
    <w:rsid w:val="00AA3ACA"/>
    <w:rsid w:val="00AA3E81"/>
    <w:rsid w:val="00AA4441"/>
    <w:rsid w:val="00AA455B"/>
    <w:rsid w:val="00AA45D5"/>
    <w:rsid w:val="00AA4DB0"/>
    <w:rsid w:val="00AA53B7"/>
    <w:rsid w:val="00AA54C2"/>
    <w:rsid w:val="00AA55B6"/>
    <w:rsid w:val="00AA55E8"/>
    <w:rsid w:val="00AA5647"/>
    <w:rsid w:val="00AA62DF"/>
    <w:rsid w:val="00AA67C9"/>
    <w:rsid w:val="00AA6A2C"/>
    <w:rsid w:val="00AA6BA3"/>
    <w:rsid w:val="00AA6BF6"/>
    <w:rsid w:val="00AA6C29"/>
    <w:rsid w:val="00AA735A"/>
    <w:rsid w:val="00AA74E8"/>
    <w:rsid w:val="00AA7712"/>
    <w:rsid w:val="00AA7F13"/>
    <w:rsid w:val="00AB0B2C"/>
    <w:rsid w:val="00AB0D23"/>
    <w:rsid w:val="00AB0DC0"/>
    <w:rsid w:val="00AB1513"/>
    <w:rsid w:val="00AB1802"/>
    <w:rsid w:val="00AB1E4B"/>
    <w:rsid w:val="00AB28BA"/>
    <w:rsid w:val="00AB2B4E"/>
    <w:rsid w:val="00AB3B51"/>
    <w:rsid w:val="00AB409E"/>
    <w:rsid w:val="00AB4317"/>
    <w:rsid w:val="00AB4354"/>
    <w:rsid w:val="00AB495E"/>
    <w:rsid w:val="00AB50BF"/>
    <w:rsid w:val="00AB5ACF"/>
    <w:rsid w:val="00AB60C3"/>
    <w:rsid w:val="00AB6139"/>
    <w:rsid w:val="00AB6577"/>
    <w:rsid w:val="00AB6F3D"/>
    <w:rsid w:val="00AB7158"/>
    <w:rsid w:val="00AB73EB"/>
    <w:rsid w:val="00AB7F00"/>
    <w:rsid w:val="00AC0022"/>
    <w:rsid w:val="00AC0485"/>
    <w:rsid w:val="00AC0591"/>
    <w:rsid w:val="00AC05F3"/>
    <w:rsid w:val="00AC0909"/>
    <w:rsid w:val="00AC0AF4"/>
    <w:rsid w:val="00AC1295"/>
    <w:rsid w:val="00AC12C6"/>
    <w:rsid w:val="00AC1575"/>
    <w:rsid w:val="00AC17E5"/>
    <w:rsid w:val="00AC18DB"/>
    <w:rsid w:val="00AC194A"/>
    <w:rsid w:val="00AC262C"/>
    <w:rsid w:val="00AC26AB"/>
    <w:rsid w:val="00AC28BC"/>
    <w:rsid w:val="00AC2D46"/>
    <w:rsid w:val="00AC34BE"/>
    <w:rsid w:val="00AC3912"/>
    <w:rsid w:val="00AC3948"/>
    <w:rsid w:val="00AC3B1C"/>
    <w:rsid w:val="00AC3E41"/>
    <w:rsid w:val="00AC4D44"/>
    <w:rsid w:val="00AC5179"/>
    <w:rsid w:val="00AC5B48"/>
    <w:rsid w:val="00AC6407"/>
    <w:rsid w:val="00AC66BB"/>
    <w:rsid w:val="00AC6B44"/>
    <w:rsid w:val="00AC6D9B"/>
    <w:rsid w:val="00AC6FAE"/>
    <w:rsid w:val="00AC7369"/>
    <w:rsid w:val="00AC7BA7"/>
    <w:rsid w:val="00AC7F2D"/>
    <w:rsid w:val="00AC7FFE"/>
    <w:rsid w:val="00AD035A"/>
    <w:rsid w:val="00AD074F"/>
    <w:rsid w:val="00AD07DD"/>
    <w:rsid w:val="00AD10D4"/>
    <w:rsid w:val="00AD1329"/>
    <w:rsid w:val="00AD139D"/>
    <w:rsid w:val="00AD140A"/>
    <w:rsid w:val="00AD14F8"/>
    <w:rsid w:val="00AD203E"/>
    <w:rsid w:val="00AD2364"/>
    <w:rsid w:val="00AD23B3"/>
    <w:rsid w:val="00AD2851"/>
    <w:rsid w:val="00AD34D2"/>
    <w:rsid w:val="00AD355F"/>
    <w:rsid w:val="00AD3810"/>
    <w:rsid w:val="00AD3965"/>
    <w:rsid w:val="00AD4B71"/>
    <w:rsid w:val="00AD51F8"/>
    <w:rsid w:val="00AD54BE"/>
    <w:rsid w:val="00AD5983"/>
    <w:rsid w:val="00AD59F9"/>
    <w:rsid w:val="00AD5A34"/>
    <w:rsid w:val="00AD5AFA"/>
    <w:rsid w:val="00AD6A8A"/>
    <w:rsid w:val="00AD6BAF"/>
    <w:rsid w:val="00AD71FB"/>
    <w:rsid w:val="00AD7237"/>
    <w:rsid w:val="00AD724D"/>
    <w:rsid w:val="00AD7F2C"/>
    <w:rsid w:val="00AE00CF"/>
    <w:rsid w:val="00AE03B5"/>
    <w:rsid w:val="00AE0505"/>
    <w:rsid w:val="00AE0603"/>
    <w:rsid w:val="00AE0684"/>
    <w:rsid w:val="00AE0760"/>
    <w:rsid w:val="00AE0925"/>
    <w:rsid w:val="00AE0BCC"/>
    <w:rsid w:val="00AE0EA9"/>
    <w:rsid w:val="00AE104A"/>
    <w:rsid w:val="00AE1A3B"/>
    <w:rsid w:val="00AE1E97"/>
    <w:rsid w:val="00AE262E"/>
    <w:rsid w:val="00AE2A0E"/>
    <w:rsid w:val="00AE2BC3"/>
    <w:rsid w:val="00AE3934"/>
    <w:rsid w:val="00AE39C8"/>
    <w:rsid w:val="00AE3A6C"/>
    <w:rsid w:val="00AE3ED0"/>
    <w:rsid w:val="00AE3EEC"/>
    <w:rsid w:val="00AE4648"/>
    <w:rsid w:val="00AE4A2E"/>
    <w:rsid w:val="00AE4A97"/>
    <w:rsid w:val="00AE4AB2"/>
    <w:rsid w:val="00AE5000"/>
    <w:rsid w:val="00AE50AB"/>
    <w:rsid w:val="00AE572B"/>
    <w:rsid w:val="00AE58AC"/>
    <w:rsid w:val="00AE5A11"/>
    <w:rsid w:val="00AE5BB3"/>
    <w:rsid w:val="00AE5CD1"/>
    <w:rsid w:val="00AE6212"/>
    <w:rsid w:val="00AE6303"/>
    <w:rsid w:val="00AE6674"/>
    <w:rsid w:val="00AE6689"/>
    <w:rsid w:val="00AE67D0"/>
    <w:rsid w:val="00AE6D67"/>
    <w:rsid w:val="00AE6DA5"/>
    <w:rsid w:val="00AE6E52"/>
    <w:rsid w:val="00AE7667"/>
    <w:rsid w:val="00AE7AC9"/>
    <w:rsid w:val="00AF0294"/>
    <w:rsid w:val="00AF05E6"/>
    <w:rsid w:val="00AF0EAB"/>
    <w:rsid w:val="00AF137B"/>
    <w:rsid w:val="00AF14D4"/>
    <w:rsid w:val="00AF1B74"/>
    <w:rsid w:val="00AF1E1C"/>
    <w:rsid w:val="00AF1F72"/>
    <w:rsid w:val="00AF2017"/>
    <w:rsid w:val="00AF22A2"/>
    <w:rsid w:val="00AF27B4"/>
    <w:rsid w:val="00AF2BFD"/>
    <w:rsid w:val="00AF2E9C"/>
    <w:rsid w:val="00AF3129"/>
    <w:rsid w:val="00AF35A5"/>
    <w:rsid w:val="00AF4099"/>
    <w:rsid w:val="00AF442C"/>
    <w:rsid w:val="00AF4E0A"/>
    <w:rsid w:val="00AF4E5B"/>
    <w:rsid w:val="00AF513A"/>
    <w:rsid w:val="00AF523A"/>
    <w:rsid w:val="00AF5E62"/>
    <w:rsid w:val="00AF63CD"/>
    <w:rsid w:val="00AF65C2"/>
    <w:rsid w:val="00AF663A"/>
    <w:rsid w:val="00AF6BA8"/>
    <w:rsid w:val="00AF6F0C"/>
    <w:rsid w:val="00AF6F11"/>
    <w:rsid w:val="00AF7358"/>
    <w:rsid w:val="00AF78B8"/>
    <w:rsid w:val="00AF797F"/>
    <w:rsid w:val="00AF7A39"/>
    <w:rsid w:val="00AF7B84"/>
    <w:rsid w:val="00B006F9"/>
    <w:rsid w:val="00B014B8"/>
    <w:rsid w:val="00B015B6"/>
    <w:rsid w:val="00B01B41"/>
    <w:rsid w:val="00B01DD3"/>
    <w:rsid w:val="00B02230"/>
    <w:rsid w:val="00B022A1"/>
    <w:rsid w:val="00B0272C"/>
    <w:rsid w:val="00B02A74"/>
    <w:rsid w:val="00B02BFA"/>
    <w:rsid w:val="00B02E1F"/>
    <w:rsid w:val="00B03133"/>
    <w:rsid w:val="00B0349A"/>
    <w:rsid w:val="00B03BFB"/>
    <w:rsid w:val="00B04D2B"/>
    <w:rsid w:val="00B04D6E"/>
    <w:rsid w:val="00B050A6"/>
    <w:rsid w:val="00B053C6"/>
    <w:rsid w:val="00B0542B"/>
    <w:rsid w:val="00B05446"/>
    <w:rsid w:val="00B05583"/>
    <w:rsid w:val="00B05850"/>
    <w:rsid w:val="00B0591A"/>
    <w:rsid w:val="00B06353"/>
    <w:rsid w:val="00B0646A"/>
    <w:rsid w:val="00B067BC"/>
    <w:rsid w:val="00B07D92"/>
    <w:rsid w:val="00B07E80"/>
    <w:rsid w:val="00B07F5F"/>
    <w:rsid w:val="00B10569"/>
    <w:rsid w:val="00B10CD3"/>
    <w:rsid w:val="00B10F00"/>
    <w:rsid w:val="00B11658"/>
    <w:rsid w:val="00B116C3"/>
    <w:rsid w:val="00B1210B"/>
    <w:rsid w:val="00B12390"/>
    <w:rsid w:val="00B124E4"/>
    <w:rsid w:val="00B12DCF"/>
    <w:rsid w:val="00B135C3"/>
    <w:rsid w:val="00B13BDC"/>
    <w:rsid w:val="00B144FC"/>
    <w:rsid w:val="00B14886"/>
    <w:rsid w:val="00B14889"/>
    <w:rsid w:val="00B15189"/>
    <w:rsid w:val="00B152F0"/>
    <w:rsid w:val="00B1537C"/>
    <w:rsid w:val="00B15A23"/>
    <w:rsid w:val="00B15D87"/>
    <w:rsid w:val="00B16109"/>
    <w:rsid w:val="00B1623E"/>
    <w:rsid w:val="00B163F0"/>
    <w:rsid w:val="00B16722"/>
    <w:rsid w:val="00B16956"/>
    <w:rsid w:val="00B174D2"/>
    <w:rsid w:val="00B17577"/>
    <w:rsid w:val="00B177C7"/>
    <w:rsid w:val="00B20077"/>
    <w:rsid w:val="00B2074D"/>
    <w:rsid w:val="00B20F74"/>
    <w:rsid w:val="00B212F9"/>
    <w:rsid w:val="00B215E5"/>
    <w:rsid w:val="00B21897"/>
    <w:rsid w:val="00B21BE7"/>
    <w:rsid w:val="00B21C5F"/>
    <w:rsid w:val="00B21D49"/>
    <w:rsid w:val="00B21DC1"/>
    <w:rsid w:val="00B21E27"/>
    <w:rsid w:val="00B22075"/>
    <w:rsid w:val="00B220ED"/>
    <w:rsid w:val="00B2232D"/>
    <w:rsid w:val="00B22DA6"/>
    <w:rsid w:val="00B232F3"/>
    <w:rsid w:val="00B2399A"/>
    <w:rsid w:val="00B23BF7"/>
    <w:rsid w:val="00B23F41"/>
    <w:rsid w:val="00B2432A"/>
    <w:rsid w:val="00B24B62"/>
    <w:rsid w:val="00B24EFF"/>
    <w:rsid w:val="00B2512A"/>
    <w:rsid w:val="00B25B38"/>
    <w:rsid w:val="00B26782"/>
    <w:rsid w:val="00B269CE"/>
    <w:rsid w:val="00B26CAA"/>
    <w:rsid w:val="00B27920"/>
    <w:rsid w:val="00B30217"/>
    <w:rsid w:val="00B306EB"/>
    <w:rsid w:val="00B3073E"/>
    <w:rsid w:val="00B308FA"/>
    <w:rsid w:val="00B30F35"/>
    <w:rsid w:val="00B310A9"/>
    <w:rsid w:val="00B3120E"/>
    <w:rsid w:val="00B312F1"/>
    <w:rsid w:val="00B3130F"/>
    <w:rsid w:val="00B314FB"/>
    <w:rsid w:val="00B31A50"/>
    <w:rsid w:val="00B31A6B"/>
    <w:rsid w:val="00B31B05"/>
    <w:rsid w:val="00B3201F"/>
    <w:rsid w:val="00B32569"/>
    <w:rsid w:val="00B32586"/>
    <w:rsid w:val="00B329B1"/>
    <w:rsid w:val="00B32B53"/>
    <w:rsid w:val="00B33130"/>
    <w:rsid w:val="00B33442"/>
    <w:rsid w:val="00B338C2"/>
    <w:rsid w:val="00B33AF1"/>
    <w:rsid w:val="00B34309"/>
    <w:rsid w:val="00B346EB"/>
    <w:rsid w:val="00B34CF1"/>
    <w:rsid w:val="00B352C1"/>
    <w:rsid w:val="00B356B6"/>
    <w:rsid w:val="00B35E8E"/>
    <w:rsid w:val="00B366C1"/>
    <w:rsid w:val="00B36723"/>
    <w:rsid w:val="00B3721D"/>
    <w:rsid w:val="00B3737D"/>
    <w:rsid w:val="00B374FD"/>
    <w:rsid w:val="00B37932"/>
    <w:rsid w:val="00B40521"/>
    <w:rsid w:val="00B406EF"/>
    <w:rsid w:val="00B40740"/>
    <w:rsid w:val="00B40CA9"/>
    <w:rsid w:val="00B40CBD"/>
    <w:rsid w:val="00B410E6"/>
    <w:rsid w:val="00B413C9"/>
    <w:rsid w:val="00B418E7"/>
    <w:rsid w:val="00B41A2F"/>
    <w:rsid w:val="00B41C71"/>
    <w:rsid w:val="00B421A2"/>
    <w:rsid w:val="00B42287"/>
    <w:rsid w:val="00B42666"/>
    <w:rsid w:val="00B4268F"/>
    <w:rsid w:val="00B428D6"/>
    <w:rsid w:val="00B42B45"/>
    <w:rsid w:val="00B4347F"/>
    <w:rsid w:val="00B4366B"/>
    <w:rsid w:val="00B43B7A"/>
    <w:rsid w:val="00B43E65"/>
    <w:rsid w:val="00B444FD"/>
    <w:rsid w:val="00B4496B"/>
    <w:rsid w:val="00B45007"/>
    <w:rsid w:val="00B452EA"/>
    <w:rsid w:val="00B45F35"/>
    <w:rsid w:val="00B46070"/>
    <w:rsid w:val="00B46344"/>
    <w:rsid w:val="00B46BD9"/>
    <w:rsid w:val="00B471EC"/>
    <w:rsid w:val="00B4743B"/>
    <w:rsid w:val="00B47EB5"/>
    <w:rsid w:val="00B504E2"/>
    <w:rsid w:val="00B50571"/>
    <w:rsid w:val="00B5092F"/>
    <w:rsid w:val="00B50AF8"/>
    <w:rsid w:val="00B51564"/>
    <w:rsid w:val="00B51728"/>
    <w:rsid w:val="00B51D9B"/>
    <w:rsid w:val="00B51EFF"/>
    <w:rsid w:val="00B52542"/>
    <w:rsid w:val="00B525E0"/>
    <w:rsid w:val="00B52F18"/>
    <w:rsid w:val="00B52F29"/>
    <w:rsid w:val="00B53226"/>
    <w:rsid w:val="00B53735"/>
    <w:rsid w:val="00B54235"/>
    <w:rsid w:val="00B5467F"/>
    <w:rsid w:val="00B5478D"/>
    <w:rsid w:val="00B547B7"/>
    <w:rsid w:val="00B54A9F"/>
    <w:rsid w:val="00B54DBD"/>
    <w:rsid w:val="00B553DB"/>
    <w:rsid w:val="00B5541C"/>
    <w:rsid w:val="00B5576B"/>
    <w:rsid w:val="00B558D8"/>
    <w:rsid w:val="00B55BF1"/>
    <w:rsid w:val="00B56A67"/>
    <w:rsid w:val="00B57421"/>
    <w:rsid w:val="00B576B0"/>
    <w:rsid w:val="00B57DFA"/>
    <w:rsid w:val="00B57F06"/>
    <w:rsid w:val="00B57F9D"/>
    <w:rsid w:val="00B6008C"/>
    <w:rsid w:val="00B600DA"/>
    <w:rsid w:val="00B606F2"/>
    <w:rsid w:val="00B60A59"/>
    <w:rsid w:val="00B60CD4"/>
    <w:rsid w:val="00B611D2"/>
    <w:rsid w:val="00B617BA"/>
    <w:rsid w:val="00B618CA"/>
    <w:rsid w:val="00B61968"/>
    <w:rsid w:val="00B61BC5"/>
    <w:rsid w:val="00B62D19"/>
    <w:rsid w:val="00B631D9"/>
    <w:rsid w:val="00B631E8"/>
    <w:rsid w:val="00B63741"/>
    <w:rsid w:val="00B63807"/>
    <w:rsid w:val="00B63C12"/>
    <w:rsid w:val="00B63FD5"/>
    <w:rsid w:val="00B64263"/>
    <w:rsid w:val="00B645A4"/>
    <w:rsid w:val="00B64820"/>
    <w:rsid w:val="00B64A2A"/>
    <w:rsid w:val="00B64A31"/>
    <w:rsid w:val="00B64A37"/>
    <w:rsid w:val="00B64B23"/>
    <w:rsid w:val="00B6533A"/>
    <w:rsid w:val="00B660E6"/>
    <w:rsid w:val="00B66373"/>
    <w:rsid w:val="00B670D9"/>
    <w:rsid w:val="00B67A93"/>
    <w:rsid w:val="00B70102"/>
    <w:rsid w:val="00B70710"/>
    <w:rsid w:val="00B70736"/>
    <w:rsid w:val="00B7118E"/>
    <w:rsid w:val="00B71309"/>
    <w:rsid w:val="00B71BAA"/>
    <w:rsid w:val="00B7253B"/>
    <w:rsid w:val="00B725E1"/>
    <w:rsid w:val="00B7269A"/>
    <w:rsid w:val="00B72954"/>
    <w:rsid w:val="00B72F78"/>
    <w:rsid w:val="00B736D5"/>
    <w:rsid w:val="00B73A44"/>
    <w:rsid w:val="00B73B69"/>
    <w:rsid w:val="00B742F9"/>
    <w:rsid w:val="00B74CFB"/>
    <w:rsid w:val="00B75050"/>
    <w:rsid w:val="00B75242"/>
    <w:rsid w:val="00B752BD"/>
    <w:rsid w:val="00B75963"/>
    <w:rsid w:val="00B75A68"/>
    <w:rsid w:val="00B76ACB"/>
    <w:rsid w:val="00B76B1E"/>
    <w:rsid w:val="00B77001"/>
    <w:rsid w:val="00B7734E"/>
    <w:rsid w:val="00B77AE8"/>
    <w:rsid w:val="00B77C71"/>
    <w:rsid w:val="00B77D29"/>
    <w:rsid w:val="00B77DDD"/>
    <w:rsid w:val="00B805C3"/>
    <w:rsid w:val="00B807E2"/>
    <w:rsid w:val="00B810F1"/>
    <w:rsid w:val="00B815CE"/>
    <w:rsid w:val="00B81B9F"/>
    <w:rsid w:val="00B81DE0"/>
    <w:rsid w:val="00B81F19"/>
    <w:rsid w:val="00B82291"/>
    <w:rsid w:val="00B825DB"/>
    <w:rsid w:val="00B82C53"/>
    <w:rsid w:val="00B82CF9"/>
    <w:rsid w:val="00B82E87"/>
    <w:rsid w:val="00B832CA"/>
    <w:rsid w:val="00B838F2"/>
    <w:rsid w:val="00B839D0"/>
    <w:rsid w:val="00B83B08"/>
    <w:rsid w:val="00B84260"/>
    <w:rsid w:val="00B8471C"/>
    <w:rsid w:val="00B84873"/>
    <w:rsid w:val="00B850D5"/>
    <w:rsid w:val="00B855A5"/>
    <w:rsid w:val="00B858E3"/>
    <w:rsid w:val="00B85FA3"/>
    <w:rsid w:val="00B863C5"/>
    <w:rsid w:val="00B86B57"/>
    <w:rsid w:val="00B86CF8"/>
    <w:rsid w:val="00B877AC"/>
    <w:rsid w:val="00B877B2"/>
    <w:rsid w:val="00B8781B"/>
    <w:rsid w:val="00B87A07"/>
    <w:rsid w:val="00B87A89"/>
    <w:rsid w:val="00B908C7"/>
    <w:rsid w:val="00B90C7A"/>
    <w:rsid w:val="00B90DB0"/>
    <w:rsid w:val="00B90E79"/>
    <w:rsid w:val="00B912B9"/>
    <w:rsid w:val="00B91768"/>
    <w:rsid w:val="00B91891"/>
    <w:rsid w:val="00B91DA5"/>
    <w:rsid w:val="00B91DF1"/>
    <w:rsid w:val="00B93176"/>
    <w:rsid w:val="00B93223"/>
    <w:rsid w:val="00B93886"/>
    <w:rsid w:val="00B9451E"/>
    <w:rsid w:val="00B94584"/>
    <w:rsid w:val="00B94B19"/>
    <w:rsid w:val="00B94BB8"/>
    <w:rsid w:val="00B94E84"/>
    <w:rsid w:val="00B952D2"/>
    <w:rsid w:val="00B953A6"/>
    <w:rsid w:val="00B96395"/>
    <w:rsid w:val="00B96DD6"/>
    <w:rsid w:val="00B97362"/>
    <w:rsid w:val="00B978D2"/>
    <w:rsid w:val="00B97A81"/>
    <w:rsid w:val="00BA1A22"/>
    <w:rsid w:val="00BA1A77"/>
    <w:rsid w:val="00BA2122"/>
    <w:rsid w:val="00BA23CF"/>
    <w:rsid w:val="00BA2D47"/>
    <w:rsid w:val="00BA2FE5"/>
    <w:rsid w:val="00BA30F8"/>
    <w:rsid w:val="00BA3C2A"/>
    <w:rsid w:val="00BA3D90"/>
    <w:rsid w:val="00BA3F77"/>
    <w:rsid w:val="00BA41CC"/>
    <w:rsid w:val="00BA4C90"/>
    <w:rsid w:val="00BA4DB4"/>
    <w:rsid w:val="00BA4E04"/>
    <w:rsid w:val="00BA4F85"/>
    <w:rsid w:val="00BA50AA"/>
    <w:rsid w:val="00BA5A48"/>
    <w:rsid w:val="00BA5E9C"/>
    <w:rsid w:val="00BA5FFC"/>
    <w:rsid w:val="00BA60E6"/>
    <w:rsid w:val="00BA699E"/>
    <w:rsid w:val="00BA6B70"/>
    <w:rsid w:val="00BA6C5A"/>
    <w:rsid w:val="00BA6C9C"/>
    <w:rsid w:val="00BA6D01"/>
    <w:rsid w:val="00BA767F"/>
    <w:rsid w:val="00BB015F"/>
    <w:rsid w:val="00BB13AD"/>
    <w:rsid w:val="00BB1A1B"/>
    <w:rsid w:val="00BB1F2C"/>
    <w:rsid w:val="00BB2133"/>
    <w:rsid w:val="00BB228B"/>
    <w:rsid w:val="00BB24F9"/>
    <w:rsid w:val="00BB2854"/>
    <w:rsid w:val="00BB2A95"/>
    <w:rsid w:val="00BB2AF2"/>
    <w:rsid w:val="00BB2FB5"/>
    <w:rsid w:val="00BB33CB"/>
    <w:rsid w:val="00BB4464"/>
    <w:rsid w:val="00BB44C0"/>
    <w:rsid w:val="00BB4717"/>
    <w:rsid w:val="00BB479F"/>
    <w:rsid w:val="00BB4F9C"/>
    <w:rsid w:val="00BB53B7"/>
    <w:rsid w:val="00BB5474"/>
    <w:rsid w:val="00BB5672"/>
    <w:rsid w:val="00BB5748"/>
    <w:rsid w:val="00BB59B5"/>
    <w:rsid w:val="00BB64D3"/>
    <w:rsid w:val="00BB65FB"/>
    <w:rsid w:val="00BB667A"/>
    <w:rsid w:val="00BB753B"/>
    <w:rsid w:val="00BB7923"/>
    <w:rsid w:val="00BB7CCE"/>
    <w:rsid w:val="00BB7FDD"/>
    <w:rsid w:val="00BC0391"/>
    <w:rsid w:val="00BC0B8D"/>
    <w:rsid w:val="00BC0C85"/>
    <w:rsid w:val="00BC0EC3"/>
    <w:rsid w:val="00BC0FBA"/>
    <w:rsid w:val="00BC0FBB"/>
    <w:rsid w:val="00BC1A40"/>
    <w:rsid w:val="00BC1ADD"/>
    <w:rsid w:val="00BC20B2"/>
    <w:rsid w:val="00BC246D"/>
    <w:rsid w:val="00BC2522"/>
    <w:rsid w:val="00BC29A8"/>
    <w:rsid w:val="00BC2E17"/>
    <w:rsid w:val="00BC38B0"/>
    <w:rsid w:val="00BC402A"/>
    <w:rsid w:val="00BC47FF"/>
    <w:rsid w:val="00BC4A89"/>
    <w:rsid w:val="00BC4A9D"/>
    <w:rsid w:val="00BC4C47"/>
    <w:rsid w:val="00BC500A"/>
    <w:rsid w:val="00BC53CB"/>
    <w:rsid w:val="00BC5718"/>
    <w:rsid w:val="00BC5846"/>
    <w:rsid w:val="00BC5A6F"/>
    <w:rsid w:val="00BC5A76"/>
    <w:rsid w:val="00BC5DFD"/>
    <w:rsid w:val="00BC6010"/>
    <w:rsid w:val="00BC6062"/>
    <w:rsid w:val="00BC60B3"/>
    <w:rsid w:val="00BC60ED"/>
    <w:rsid w:val="00BC7AD6"/>
    <w:rsid w:val="00BC7DD0"/>
    <w:rsid w:val="00BD0A7C"/>
    <w:rsid w:val="00BD17A8"/>
    <w:rsid w:val="00BD1A31"/>
    <w:rsid w:val="00BD1B86"/>
    <w:rsid w:val="00BD23C4"/>
    <w:rsid w:val="00BD29BD"/>
    <w:rsid w:val="00BD3631"/>
    <w:rsid w:val="00BD3717"/>
    <w:rsid w:val="00BD4A11"/>
    <w:rsid w:val="00BD59C0"/>
    <w:rsid w:val="00BD6235"/>
    <w:rsid w:val="00BD687A"/>
    <w:rsid w:val="00BD6A63"/>
    <w:rsid w:val="00BD6AFF"/>
    <w:rsid w:val="00BD6B7B"/>
    <w:rsid w:val="00BD6D83"/>
    <w:rsid w:val="00BD6E65"/>
    <w:rsid w:val="00BD6F73"/>
    <w:rsid w:val="00BD7092"/>
    <w:rsid w:val="00BD7E4C"/>
    <w:rsid w:val="00BE02DE"/>
    <w:rsid w:val="00BE03FB"/>
    <w:rsid w:val="00BE0419"/>
    <w:rsid w:val="00BE0447"/>
    <w:rsid w:val="00BE068A"/>
    <w:rsid w:val="00BE06A0"/>
    <w:rsid w:val="00BE0934"/>
    <w:rsid w:val="00BE1532"/>
    <w:rsid w:val="00BE1AC4"/>
    <w:rsid w:val="00BE23D9"/>
    <w:rsid w:val="00BE23DC"/>
    <w:rsid w:val="00BE247E"/>
    <w:rsid w:val="00BE37B5"/>
    <w:rsid w:val="00BE38DC"/>
    <w:rsid w:val="00BE42A2"/>
    <w:rsid w:val="00BE431D"/>
    <w:rsid w:val="00BE4DA9"/>
    <w:rsid w:val="00BE4F5A"/>
    <w:rsid w:val="00BE52DC"/>
    <w:rsid w:val="00BE5D0C"/>
    <w:rsid w:val="00BE6387"/>
    <w:rsid w:val="00BE6520"/>
    <w:rsid w:val="00BE69B5"/>
    <w:rsid w:val="00BE75EF"/>
    <w:rsid w:val="00BE780B"/>
    <w:rsid w:val="00BE793B"/>
    <w:rsid w:val="00BE7ACA"/>
    <w:rsid w:val="00BE7C0A"/>
    <w:rsid w:val="00BE7D4E"/>
    <w:rsid w:val="00BF00C5"/>
    <w:rsid w:val="00BF057E"/>
    <w:rsid w:val="00BF1067"/>
    <w:rsid w:val="00BF1ADD"/>
    <w:rsid w:val="00BF1C6A"/>
    <w:rsid w:val="00BF201F"/>
    <w:rsid w:val="00BF2081"/>
    <w:rsid w:val="00BF20FF"/>
    <w:rsid w:val="00BF2379"/>
    <w:rsid w:val="00BF3100"/>
    <w:rsid w:val="00BF331F"/>
    <w:rsid w:val="00BF3405"/>
    <w:rsid w:val="00BF35A5"/>
    <w:rsid w:val="00BF3B1F"/>
    <w:rsid w:val="00BF3B39"/>
    <w:rsid w:val="00BF4D3B"/>
    <w:rsid w:val="00BF4D42"/>
    <w:rsid w:val="00BF4D68"/>
    <w:rsid w:val="00BF5165"/>
    <w:rsid w:val="00BF568D"/>
    <w:rsid w:val="00BF627E"/>
    <w:rsid w:val="00BF65A4"/>
    <w:rsid w:val="00BF6C76"/>
    <w:rsid w:val="00BF6D03"/>
    <w:rsid w:val="00BF710F"/>
    <w:rsid w:val="00BF72E0"/>
    <w:rsid w:val="00BF7593"/>
    <w:rsid w:val="00BF7695"/>
    <w:rsid w:val="00BF7B82"/>
    <w:rsid w:val="00BF7BF5"/>
    <w:rsid w:val="00BF7D14"/>
    <w:rsid w:val="00BF7E19"/>
    <w:rsid w:val="00C0001C"/>
    <w:rsid w:val="00C003A5"/>
    <w:rsid w:val="00C019C1"/>
    <w:rsid w:val="00C01FA0"/>
    <w:rsid w:val="00C02338"/>
    <w:rsid w:val="00C02405"/>
    <w:rsid w:val="00C0286B"/>
    <w:rsid w:val="00C02C51"/>
    <w:rsid w:val="00C02EAA"/>
    <w:rsid w:val="00C03264"/>
    <w:rsid w:val="00C037AB"/>
    <w:rsid w:val="00C03BB8"/>
    <w:rsid w:val="00C0448C"/>
    <w:rsid w:val="00C044BC"/>
    <w:rsid w:val="00C04F8E"/>
    <w:rsid w:val="00C050C8"/>
    <w:rsid w:val="00C0515B"/>
    <w:rsid w:val="00C054D1"/>
    <w:rsid w:val="00C05526"/>
    <w:rsid w:val="00C055E5"/>
    <w:rsid w:val="00C058F4"/>
    <w:rsid w:val="00C05B36"/>
    <w:rsid w:val="00C05F64"/>
    <w:rsid w:val="00C05FFC"/>
    <w:rsid w:val="00C060DD"/>
    <w:rsid w:val="00C062B7"/>
    <w:rsid w:val="00C06689"/>
    <w:rsid w:val="00C06EAD"/>
    <w:rsid w:val="00C07ADA"/>
    <w:rsid w:val="00C1005A"/>
    <w:rsid w:val="00C10250"/>
    <w:rsid w:val="00C106FF"/>
    <w:rsid w:val="00C11016"/>
    <w:rsid w:val="00C113D4"/>
    <w:rsid w:val="00C11501"/>
    <w:rsid w:val="00C11632"/>
    <w:rsid w:val="00C120A3"/>
    <w:rsid w:val="00C121AF"/>
    <w:rsid w:val="00C128AB"/>
    <w:rsid w:val="00C12947"/>
    <w:rsid w:val="00C12CE0"/>
    <w:rsid w:val="00C12DEF"/>
    <w:rsid w:val="00C132EC"/>
    <w:rsid w:val="00C139B5"/>
    <w:rsid w:val="00C13F81"/>
    <w:rsid w:val="00C14568"/>
    <w:rsid w:val="00C1496B"/>
    <w:rsid w:val="00C14A92"/>
    <w:rsid w:val="00C14AF0"/>
    <w:rsid w:val="00C14F0A"/>
    <w:rsid w:val="00C14F8D"/>
    <w:rsid w:val="00C15273"/>
    <w:rsid w:val="00C15412"/>
    <w:rsid w:val="00C15DD0"/>
    <w:rsid w:val="00C16158"/>
    <w:rsid w:val="00C161B0"/>
    <w:rsid w:val="00C16986"/>
    <w:rsid w:val="00C16EF1"/>
    <w:rsid w:val="00C16FE3"/>
    <w:rsid w:val="00C17161"/>
    <w:rsid w:val="00C171C1"/>
    <w:rsid w:val="00C1736F"/>
    <w:rsid w:val="00C17AA9"/>
    <w:rsid w:val="00C17BB2"/>
    <w:rsid w:val="00C17BF0"/>
    <w:rsid w:val="00C17F61"/>
    <w:rsid w:val="00C204A9"/>
    <w:rsid w:val="00C205FF"/>
    <w:rsid w:val="00C20A51"/>
    <w:rsid w:val="00C20C8D"/>
    <w:rsid w:val="00C20CB2"/>
    <w:rsid w:val="00C20D5C"/>
    <w:rsid w:val="00C20F26"/>
    <w:rsid w:val="00C20F4B"/>
    <w:rsid w:val="00C212EA"/>
    <w:rsid w:val="00C21922"/>
    <w:rsid w:val="00C2220C"/>
    <w:rsid w:val="00C22916"/>
    <w:rsid w:val="00C229E1"/>
    <w:rsid w:val="00C22C1F"/>
    <w:rsid w:val="00C2336D"/>
    <w:rsid w:val="00C23B3E"/>
    <w:rsid w:val="00C24307"/>
    <w:rsid w:val="00C246A6"/>
    <w:rsid w:val="00C248F3"/>
    <w:rsid w:val="00C25212"/>
    <w:rsid w:val="00C252B5"/>
    <w:rsid w:val="00C25474"/>
    <w:rsid w:val="00C257BE"/>
    <w:rsid w:val="00C260B3"/>
    <w:rsid w:val="00C2612F"/>
    <w:rsid w:val="00C26ACA"/>
    <w:rsid w:val="00C26D6A"/>
    <w:rsid w:val="00C26E91"/>
    <w:rsid w:val="00C270B8"/>
    <w:rsid w:val="00C27605"/>
    <w:rsid w:val="00C279E8"/>
    <w:rsid w:val="00C27E77"/>
    <w:rsid w:val="00C27F56"/>
    <w:rsid w:val="00C305E7"/>
    <w:rsid w:val="00C3092F"/>
    <w:rsid w:val="00C30C38"/>
    <w:rsid w:val="00C3116C"/>
    <w:rsid w:val="00C311EB"/>
    <w:rsid w:val="00C31222"/>
    <w:rsid w:val="00C31350"/>
    <w:rsid w:val="00C317A9"/>
    <w:rsid w:val="00C3180C"/>
    <w:rsid w:val="00C31EA4"/>
    <w:rsid w:val="00C3229A"/>
    <w:rsid w:val="00C3242F"/>
    <w:rsid w:val="00C327D6"/>
    <w:rsid w:val="00C328E2"/>
    <w:rsid w:val="00C33204"/>
    <w:rsid w:val="00C3327B"/>
    <w:rsid w:val="00C332B5"/>
    <w:rsid w:val="00C333BE"/>
    <w:rsid w:val="00C33519"/>
    <w:rsid w:val="00C33D7E"/>
    <w:rsid w:val="00C344B3"/>
    <w:rsid w:val="00C347AC"/>
    <w:rsid w:val="00C34E6E"/>
    <w:rsid w:val="00C3550F"/>
    <w:rsid w:val="00C355FF"/>
    <w:rsid w:val="00C3561D"/>
    <w:rsid w:val="00C35BDE"/>
    <w:rsid w:val="00C35C9C"/>
    <w:rsid w:val="00C35DCD"/>
    <w:rsid w:val="00C35FC3"/>
    <w:rsid w:val="00C36014"/>
    <w:rsid w:val="00C36309"/>
    <w:rsid w:val="00C368AC"/>
    <w:rsid w:val="00C36914"/>
    <w:rsid w:val="00C36D3A"/>
    <w:rsid w:val="00C3715B"/>
    <w:rsid w:val="00C377BF"/>
    <w:rsid w:val="00C37C1F"/>
    <w:rsid w:val="00C37D07"/>
    <w:rsid w:val="00C37DC8"/>
    <w:rsid w:val="00C407FC"/>
    <w:rsid w:val="00C40A7B"/>
    <w:rsid w:val="00C40BAB"/>
    <w:rsid w:val="00C40E98"/>
    <w:rsid w:val="00C41186"/>
    <w:rsid w:val="00C4120F"/>
    <w:rsid w:val="00C41462"/>
    <w:rsid w:val="00C41561"/>
    <w:rsid w:val="00C418EB"/>
    <w:rsid w:val="00C419AF"/>
    <w:rsid w:val="00C41F50"/>
    <w:rsid w:val="00C4210D"/>
    <w:rsid w:val="00C4278C"/>
    <w:rsid w:val="00C42DDD"/>
    <w:rsid w:val="00C42EB2"/>
    <w:rsid w:val="00C43F2F"/>
    <w:rsid w:val="00C44174"/>
    <w:rsid w:val="00C446FF"/>
    <w:rsid w:val="00C44969"/>
    <w:rsid w:val="00C45075"/>
    <w:rsid w:val="00C45691"/>
    <w:rsid w:val="00C456AE"/>
    <w:rsid w:val="00C45D4A"/>
    <w:rsid w:val="00C45E42"/>
    <w:rsid w:val="00C4609E"/>
    <w:rsid w:val="00C46244"/>
    <w:rsid w:val="00C4721B"/>
    <w:rsid w:val="00C47DF6"/>
    <w:rsid w:val="00C47FD2"/>
    <w:rsid w:val="00C504B3"/>
    <w:rsid w:val="00C5050F"/>
    <w:rsid w:val="00C5063E"/>
    <w:rsid w:val="00C507D8"/>
    <w:rsid w:val="00C51117"/>
    <w:rsid w:val="00C51235"/>
    <w:rsid w:val="00C512B9"/>
    <w:rsid w:val="00C5179B"/>
    <w:rsid w:val="00C518F8"/>
    <w:rsid w:val="00C51ABB"/>
    <w:rsid w:val="00C51EBC"/>
    <w:rsid w:val="00C5234F"/>
    <w:rsid w:val="00C52833"/>
    <w:rsid w:val="00C52DB4"/>
    <w:rsid w:val="00C5324B"/>
    <w:rsid w:val="00C538A3"/>
    <w:rsid w:val="00C53DCD"/>
    <w:rsid w:val="00C5413E"/>
    <w:rsid w:val="00C54D4B"/>
    <w:rsid w:val="00C54F35"/>
    <w:rsid w:val="00C55246"/>
    <w:rsid w:val="00C55CAD"/>
    <w:rsid w:val="00C56391"/>
    <w:rsid w:val="00C56699"/>
    <w:rsid w:val="00C567C7"/>
    <w:rsid w:val="00C56A91"/>
    <w:rsid w:val="00C56AA1"/>
    <w:rsid w:val="00C56BA0"/>
    <w:rsid w:val="00C572B5"/>
    <w:rsid w:val="00C57886"/>
    <w:rsid w:val="00C57A83"/>
    <w:rsid w:val="00C57ACC"/>
    <w:rsid w:val="00C6000C"/>
    <w:rsid w:val="00C60593"/>
    <w:rsid w:val="00C61A6E"/>
    <w:rsid w:val="00C61C0A"/>
    <w:rsid w:val="00C61D11"/>
    <w:rsid w:val="00C61D9F"/>
    <w:rsid w:val="00C61F31"/>
    <w:rsid w:val="00C62404"/>
    <w:rsid w:val="00C624AF"/>
    <w:rsid w:val="00C633B5"/>
    <w:rsid w:val="00C6351E"/>
    <w:rsid w:val="00C6367A"/>
    <w:rsid w:val="00C63D6D"/>
    <w:rsid w:val="00C63FCC"/>
    <w:rsid w:val="00C655D9"/>
    <w:rsid w:val="00C66B2E"/>
    <w:rsid w:val="00C67598"/>
    <w:rsid w:val="00C67612"/>
    <w:rsid w:val="00C679D8"/>
    <w:rsid w:val="00C70430"/>
    <w:rsid w:val="00C70676"/>
    <w:rsid w:val="00C706B0"/>
    <w:rsid w:val="00C7085A"/>
    <w:rsid w:val="00C71016"/>
    <w:rsid w:val="00C71388"/>
    <w:rsid w:val="00C7153D"/>
    <w:rsid w:val="00C71CDD"/>
    <w:rsid w:val="00C71F6F"/>
    <w:rsid w:val="00C721C4"/>
    <w:rsid w:val="00C725BB"/>
    <w:rsid w:val="00C72823"/>
    <w:rsid w:val="00C72AE6"/>
    <w:rsid w:val="00C72DCE"/>
    <w:rsid w:val="00C738A0"/>
    <w:rsid w:val="00C7395C"/>
    <w:rsid w:val="00C73D78"/>
    <w:rsid w:val="00C743FC"/>
    <w:rsid w:val="00C745E2"/>
    <w:rsid w:val="00C74709"/>
    <w:rsid w:val="00C74894"/>
    <w:rsid w:val="00C74A90"/>
    <w:rsid w:val="00C74B29"/>
    <w:rsid w:val="00C75251"/>
    <w:rsid w:val="00C75280"/>
    <w:rsid w:val="00C75869"/>
    <w:rsid w:val="00C75AB5"/>
    <w:rsid w:val="00C75F66"/>
    <w:rsid w:val="00C76CA6"/>
    <w:rsid w:val="00C76D80"/>
    <w:rsid w:val="00C776E2"/>
    <w:rsid w:val="00C77713"/>
    <w:rsid w:val="00C77F74"/>
    <w:rsid w:val="00C80672"/>
    <w:rsid w:val="00C81832"/>
    <w:rsid w:val="00C81ABE"/>
    <w:rsid w:val="00C81B0D"/>
    <w:rsid w:val="00C81D63"/>
    <w:rsid w:val="00C82230"/>
    <w:rsid w:val="00C823DA"/>
    <w:rsid w:val="00C825E8"/>
    <w:rsid w:val="00C8263A"/>
    <w:rsid w:val="00C82B8D"/>
    <w:rsid w:val="00C83131"/>
    <w:rsid w:val="00C8324E"/>
    <w:rsid w:val="00C8360D"/>
    <w:rsid w:val="00C83AD2"/>
    <w:rsid w:val="00C83F81"/>
    <w:rsid w:val="00C84602"/>
    <w:rsid w:val="00C8672F"/>
    <w:rsid w:val="00C86914"/>
    <w:rsid w:val="00C869D2"/>
    <w:rsid w:val="00C871A0"/>
    <w:rsid w:val="00C877CC"/>
    <w:rsid w:val="00C8786B"/>
    <w:rsid w:val="00C879A1"/>
    <w:rsid w:val="00C87F12"/>
    <w:rsid w:val="00C9049B"/>
    <w:rsid w:val="00C908B6"/>
    <w:rsid w:val="00C90958"/>
    <w:rsid w:val="00C90C63"/>
    <w:rsid w:val="00C90E6D"/>
    <w:rsid w:val="00C91101"/>
    <w:rsid w:val="00C9154A"/>
    <w:rsid w:val="00C91AAD"/>
    <w:rsid w:val="00C921B0"/>
    <w:rsid w:val="00C92235"/>
    <w:rsid w:val="00C922C2"/>
    <w:rsid w:val="00C928D4"/>
    <w:rsid w:val="00C930E5"/>
    <w:rsid w:val="00C93A3D"/>
    <w:rsid w:val="00C93BC6"/>
    <w:rsid w:val="00C9447C"/>
    <w:rsid w:val="00C94B70"/>
    <w:rsid w:val="00C95250"/>
    <w:rsid w:val="00C953BA"/>
    <w:rsid w:val="00C9573B"/>
    <w:rsid w:val="00C958BC"/>
    <w:rsid w:val="00C96389"/>
    <w:rsid w:val="00C9646B"/>
    <w:rsid w:val="00C96585"/>
    <w:rsid w:val="00C96B4E"/>
    <w:rsid w:val="00C96EEC"/>
    <w:rsid w:val="00C973BD"/>
    <w:rsid w:val="00C97550"/>
    <w:rsid w:val="00C975D5"/>
    <w:rsid w:val="00C979C5"/>
    <w:rsid w:val="00C97A5E"/>
    <w:rsid w:val="00CA0552"/>
    <w:rsid w:val="00CA077E"/>
    <w:rsid w:val="00CA07D8"/>
    <w:rsid w:val="00CA08DB"/>
    <w:rsid w:val="00CA08EA"/>
    <w:rsid w:val="00CA0958"/>
    <w:rsid w:val="00CA119F"/>
    <w:rsid w:val="00CA1875"/>
    <w:rsid w:val="00CA2166"/>
    <w:rsid w:val="00CA2363"/>
    <w:rsid w:val="00CA28A9"/>
    <w:rsid w:val="00CA29D2"/>
    <w:rsid w:val="00CA2A1C"/>
    <w:rsid w:val="00CA2A36"/>
    <w:rsid w:val="00CA2B88"/>
    <w:rsid w:val="00CA2D14"/>
    <w:rsid w:val="00CA2FDF"/>
    <w:rsid w:val="00CA3039"/>
    <w:rsid w:val="00CA32F9"/>
    <w:rsid w:val="00CA3358"/>
    <w:rsid w:val="00CA33CD"/>
    <w:rsid w:val="00CA3591"/>
    <w:rsid w:val="00CA35D0"/>
    <w:rsid w:val="00CA3DB0"/>
    <w:rsid w:val="00CA411A"/>
    <w:rsid w:val="00CA41F6"/>
    <w:rsid w:val="00CA4CA6"/>
    <w:rsid w:val="00CA4CFB"/>
    <w:rsid w:val="00CA4E1D"/>
    <w:rsid w:val="00CA4F4D"/>
    <w:rsid w:val="00CA5040"/>
    <w:rsid w:val="00CA53CA"/>
    <w:rsid w:val="00CA5437"/>
    <w:rsid w:val="00CA5EF2"/>
    <w:rsid w:val="00CA6270"/>
    <w:rsid w:val="00CA680F"/>
    <w:rsid w:val="00CA6D74"/>
    <w:rsid w:val="00CA72FF"/>
    <w:rsid w:val="00CA7A27"/>
    <w:rsid w:val="00CA7E69"/>
    <w:rsid w:val="00CB0000"/>
    <w:rsid w:val="00CB0F67"/>
    <w:rsid w:val="00CB1463"/>
    <w:rsid w:val="00CB194B"/>
    <w:rsid w:val="00CB21BF"/>
    <w:rsid w:val="00CB22C0"/>
    <w:rsid w:val="00CB28EB"/>
    <w:rsid w:val="00CB2B5A"/>
    <w:rsid w:val="00CB2E35"/>
    <w:rsid w:val="00CB3A0C"/>
    <w:rsid w:val="00CB3AD5"/>
    <w:rsid w:val="00CB3CBE"/>
    <w:rsid w:val="00CB4471"/>
    <w:rsid w:val="00CB47F9"/>
    <w:rsid w:val="00CB4B85"/>
    <w:rsid w:val="00CB52AD"/>
    <w:rsid w:val="00CB580E"/>
    <w:rsid w:val="00CB5C3D"/>
    <w:rsid w:val="00CB5C82"/>
    <w:rsid w:val="00CB6F74"/>
    <w:rsid w:val="00CB73D4"/>
    <w:rsid w:val="00CB766C"/>
    <w:rsid w:val="00CB76EB"/>
    <w:rsid w:val="00CB77B9"/>
    <w:rsid w:val="00CB7C9E"/>
    <w:rsid w:val="00CC0051"/>
    <w:rsid w:val="00CC0A21"/>
    <w:rsid w:val="00CC0FE9"/>
    <w:rsid w:val="00CC1360"/>
    <w:rsid w:val="00CC14D0"/>
    <w:rsid w:val="00CC1961"/>
    <w:rsid w:val="00CC1BC2"/>
    <w:rsid w:val="00CC252C"/>
    <w:rsid w:val="00CC26FC"/>
    <w:rsid w:val="00CC2AD8"/>
    <w:rsid w:val="00CC2C84"/>
    <w:rsid w:val="00CC2D7D"/>
    <w:rsid w:val="00CC310D"/>
    <w:rsid w:val="00CC34BB"/>
    <w:rsid w:val="00CC3720"/>
    <w:rsid w:val="00CC3F90"/>
    <w:rsid w:val="00CC4930"/>
    <w:rsid w:val="00CC4FAE"/>
    <w:rsid w:val="00CC50AC"/>
    <w:rsid w:val="00CC5A17"/>
    <w:rsid w:val="00CC5B87"/>
    <w:rsid w:val="00CC5E5C"/>
    <w:rsid w:val="00CC6852"/>
    <w:rsid w:val="00CC71F6"/>
    <w:rsid w:val="00CC73B2"/>
    <w:rsid w:val="00CC7486"/>
    <w:rsid w:val="00CC78C1"/>
    <w:rsid w:val="00CC7B98"/>
    <w:rsid w:val="00CC7E38"/>
    <w:rsid w:val="00CC7F7C"/>
    <w:rsid w:val="00CC7F85"/>
    <w:rsid w:val="00CD0187"/>
    <w:rsid w:val="00CD0561"/>
    <w:rsid w:val="00CD0C91"/>
    <w:rsid w:val="00CD0FFC"/>
    <w:rsid w:val="00CD13C5"/>
    <w:rsid w:val="00CD16E0"/>
    <w:rsid w:val="00CD1783"/>
    <w:rsid w:val="00CD1909"/>
    <w:rsid w:val="00CD1DEF"/>
    <w:rsid w:val="00CD1FA9"/>
    <w:rsid w:val="00CD20DB"/>
    <w:rsid w:val="00CD23BD"/>
    <w:rsid w:val="00CD26B0"/>
    <w:rsid w:val="00CD28BE"/>
    <w:rsid w:val="00CD3016"/>
    <w:rsid w:val="00CD31A5"/>
    <w:rsid w:val="00CD37F6"/>
    <w:rsid w:val="00CD3DFF"/>
    <w:rsid w:val="00CD4A6F"/>
    <w:rsid w:val="00CD4ACA"/>
    <w:rsid w:val="00CD5640"/>
    <w:rsid w:val="00CD5CCB"/>
    <w:rsid w:val="00CD5F8C"/>
    <w:rsid w:val="00CD6070"/>
    <w:rsid w:val="00CD66C5"/>
    <w:rsid w:val="00CD75F3"/>
    <w:rsid w:val="00CD7908"/>
    <w:rsid w:val="00CD7939"/>
    <w:rsid w:val="00CD7B70"/>
    <w:rsid w:val="00CE03AF"/>
    <w:rsid w:val="00CE1000"/>
    <w:rsid w:val="00CE1870"/>
    <w:rsid w:val="00CE1927"/>
    <w:rsid w:val="00CE1B67"/>
    <w:rsid w:val="00CE1F12"/>
    <w:rsid w:val="00CE21B4"/>
    <w:rsid w:val="00CE2257"/>
    <w:rsid w:val="00CE2BCE"/>
    <w:rsid w:val="00CE3277"/>
    <w:rsid w:val="00CE36CC"/>
    <w:rsid w:val="00CE3A0B"/>
    <w:rsid w:val="00CE3F56"/>
    <w:rsid w:val="00CE40B4"/>
    <w:rsid w:val="00CE4124"/>
    <w:rsid w:val="00CE41CF"/>
    <w:rsid w:val="00CE465F"/>
    <w:rsid w:val="00CE4DF7"/>
    <w:rsid w:val="00CE5FBC"/>
    <w:rsid w:val="00CE6013"/>
    <w:rsid w:val="00CE6129"/>
    <w:rsid w:val="00CE6139"/>
    <w:rsid w:val="00CE6406"/>
    <w:rsid w:val="00CE7B24"/>
    <w:rsid w:val="00CF00E8"/>
    <w:rsid w:val="00CF03E6"/>
    <w:rsid w:val="00CF0512"/>
    <w:rsid w:val="00CF0BAE"/>
    <w:rsid w:val="00CF0F83"/>
    <w:rsid w:val="00CF1A4B"/>
    <w:rsid w:val="00CF1EF3"/>
    <w:rsid w:val="00CF1FC7"/>
    <w:rsid w:val="00CF296F"/>
    <w:rsid w:val="00CF2FC7"/>
    <w:rsid w:val="00CF303E"/>
    <w:rsid w:val="00CF3276"/>
    <w:rsid w:val="00CF3519"/>
    <w:rsid w:val="00CF3958"/>
    <w:rsid w:val="00CF4491"/>
    <w:rsid w:val="00CF4559"/>
    <w:rsid w:val="00CF5809"/>
    <w:rsid w:val="00CF5C25"/>
    <w:rsid w:val="00CF5CBA"/>
    <w:rsid w:val="00CF6907"/>
    <w:rsid w:val="00CF7870"/>
    <w:rsid w:val="00CF7AA7"/>
    <w:rsid w:val="00CF7BCB"/>
    <w:rsid w:val="00D00041"/>
    <w:rsid w:val="00D00AC2"/>
    <w:rsid w:val="00D00DFD"/>
    <w:rsid w:val="00D00EB1"/>
    <w:rsid w:val="00D00F72"/>
    <w:rsid w:val="00D01056"/>
    <w:rsid w:val="00D013ED"/>
    <w:rsid w:val="00D02112"/>
    <w:rsid w:val="00D0240E"/>
    <w:rsid w:val="00D028A1"/>
    <w:rsid w:val="00D02B6F"/>
    <w:rsid w:val="00D02D40"/>
    <w:rsid w:val="00D02DE5"/>
    <w:rsid w:val="00D033FB"/>
    <w:rsid w:val="00D03DA0"/>
    <w:rsid w:val="00D04774"/>
    <w:rsid w:val="00D04A54"/>
    <w:rsid w:val="00D04AB8"/>
    <w:rsid w:val="00D058BE"/>
    <w:rsid w:val="00D058C5"/>
    <w:rsid w:val="00D058C7"/>
    <w:rsid w:val="00D05CAA"/>
    <w:rsid w:val="00D06282"/>
    <w:rsid w:val="00D066D8"/>
    <w:rsid w:val="00D06998"/>
    <w:rsid w:val="00D069C2"/>
    <w:rsid w:val="00D07306"/>
    <w:rsid w:val="00D07C62"/>
    <w:rsid w:val="00D07E12"/>
    <w:rsid w:val="00D104CB"/>
    <w:rsid w:val="00D106CA"/>
    <w:rsid w:val="00D10706"/>
    <w:rsid w:val="00D10B3D"/>
    <w:rsid w:val="00D10C45"/>
    <w:rsid w:val="00D10E21"/>
    <w:rsid w:val="00D115B5"/>
    <w:rsid w:val="00D1169C"/>
    <w:rsid w:val="00D1172C"/>
    <w:rsid w:val="00D117C5"/>
    <w:rsid w:val="00D11BAA"/>
    <w:rsid w:val="00D12C52"/>
    <w:rsid w:val="00D12C58"/>
    <w:rsid w:val="00D13043"/>
    <w:rsid w:val="00D133E7"/>
    <w:rsid w:val="00D1350A"/>
    <w:rsid w:val="00D1369F"/>
    <w:rsid w:val="00D13999"/>
    <w:rsid w:val="00D1414F"/>
    <w:rsid w:val="00D1425E"/>
    <w:rsid w:val="00D143F7"/>
    <w:rsid w:val="00D1465F"/>
    <w:rsid w:val="00D14AA4"/>
    <w:rsid w:val="00D15252"/>
    <w:rsid w:val="00D154BB"/>
    <w:rsid w:val="00D15942"/>
    <w:rsid w:val="00D15D24"/>
    <w:rsid w:val="00D15E5D"/>
    <w:rsid w:val="00D16AE1"/>
    <w:rsid w:val="00D16B0E"/>
    <w:rsid w:val="00D16D2E"/>
    <w:rsid w:val="00D171F5"/>
    <w:rsid w:val="00D1747C"/>
    <w:rsid w:val="00D17524"/>
    <w:rsid w:val="00D177C2"/>
    <w:rsid w:val="00D17BAC"/>
    <w:rsid w:val="00D17D26"/>
    <w:rsid w:val="00D2018E"/>
    <w:rsid w:val="00D20329"/>
    <w:rsid w:val="00D20B03"/>
    <w:rsid w:val="00D21371"/>
    <w:rsid w:val="00D217CF"/>
    <w:rsid w:val="00D2191E"/>
    <w:rsid w:val="00D21A9E"/>
    <w:rsid w:val="00D21AEA"/>
    <w:rsid w:val="00D21E4A"/>
    <w:rsid w:val="00D22C4A"/>
    <w:rsid w:val="00D2325E"/>
    <w:rsid w:val="00D23923"/>
    <w:rsid w:val="00D23D2A"/>
    <w:rsid w:val="00D23D53"/>
    <w:rsid w:val="00D23FD9"/>
    <w:rsid w:val="00D24075"/>
    <w:rsid w:val="00D2475C"/>
    <w:rsid w:val="00D247AB"/>
    <w:rsid w:val="00D247EB"/>
    <w:rsid w:val="00D24C76"/>
    <w:rsid w:val="00D24C92"/>
    <w:rsid w:val="00D25258"/>
    <w:rsid w:val="00D258F5"/>
    <w:rsid w:val="00D25990"/>
    <w:rsid w:val="00D25F9D"/>
    <w:rsid w:val="00D26726"/>
    <w:rsid w:val="00D26EDC"/>
    <w:rsid w:val="00D276BC"/>
    <w:rsid w:val="00D27E5C"/>
    <w:rsid w:val="00D302DB"/>
    <w:rsid w:val="00D303AF"/>
    <w:rsid w:val="00D30429"/>
    <w:rsid w:val="00D30535"/>
    <w:rsid w:val="00D3053C"/>
    <w:rsid w:val="00D30674"/>
    <w:rsid w:val="00D306E8"/>
    <w:rsid w:val="00D30804"/>
    <w:rsid w:val="00D31199"/>
    <w:rsid w:val="00D313AD"/>
    <w:rsid w:val="00D31474"/>
    <w:rsid w:val="00D31D23"/>
    <w:rsid w:val="00D31DFA"/>
    <w:rsid w:val="00D32784"/>
    <w:rsid w:val="00D328E5"/>
    <w:rsid w:val="00D329C8"/>
    <w:rsid w:val="00D32E65"/>
    <w:rsid w:val="00D332BE"/>
    <w:rsid w:val="00D33537"/>
    <w:rsid w:val="00D33E71"/>
    <w:rsid w:val="00D34172"/>
    <w:rsid w:val="00D34839"/>
    <w:rsid w:val="00D34E83"/>
    <w:rsid w:val="00D3530D"/>
    <w:rsid w:val="00D35B6F"/>
    <w:rsid w:val="00D35E33"/>
    <w:rsid w:val="00D36D92"/>
    <w:rsid w:val="00D3757A"/>
    <w:rsid w:val="00D375BF"/>
    <w:rsid w:val="00D37D7D"/>
    <w:rsid w:val="00D400AD"/>
    <w:rsid w:val="00D40101"/>
    <w:rsid w:val="00D4032F"/>
    <w:rsid w:val="00D40B9A"/>
    <w:rsid w:val="00D41701"/>
    <w:rsid w:val="00D4174C"/>
    <w:rsid w:val="00D4196A"/>
    <w:rsid w:val="00D41CFF"/>
    <w:rsid w:val="00D426E0"/>
    <w:rsid w:val="00D432F1"/>
    <w:rsid w:val="00D4346C"/>
    <w:rsid w:val="00D43C51"/>
    <w:rsid w:val="00D43E1D"/>
    <w:rsid w:val="00D44002"/>
    <w:rsid w:val="00D443A2"/>
    <w:rsid w:val="00D44544"/>
    <w:rsid w:val="00D446A8"/>
    <w:rsid w:val="00D44799"/>
    <w:rsid w:val="00D447BD"/>
    <w:rsid w:val="00D44891"/>
    <w:rsid w:val="00D450E7"/>
    <w:rsid w:val="00D4531C"/>
    <w:rsid w:val="00D45C5C"/>
    <w:rsid w:val="00D45D28"/>
    <w:rsid w:val="00D46185"/>
    <w:rsid w:val="00D46552"/>
    <w:rsid w:val="00D46E62"/>
    <w:rsid w:val="00D46EEB"/>
    <w:rsid w:val="00D46FB5"/>
    <w:rsid w:val="00D50A00"/>
    <w:rsid w:val="00D51842"/>
    <w:rsid w:val="00D51A4F"/>
    <w:rsid w:val="00D5282E"/>
    <w:rsid w:val="00D52A03"/>
    <w:rsid w:val="00D5306C"/>
    <w:rsid w:val="00D536E0"/>
    <w:rsid w:val="00D53BA6"/>
    <w:rsid w:val="00D53CA3"/>
    <w:rsid w:val="00D53FEA"/>
    <w:rsid w:val="00D54DCE"/>
    <w:rsid w:val="00D551A2"/>
    <w:rsid w:val="00D556BD"/>
    <w:rsid w:val="00D55829"/>
    <w:rsid w:val="00D55B54"/>
    <w:rsid w:val="00D56358"/>
    <w:rsid w:val="00D5683E"/>
    <w:rsid w:val="00D568BC"/>
    <w:rsid w:val="00D56FED"/>
    <w:rsid w:val="00D57395"/>
    <w:rsid w:val="00D5739A"/>
    <w:rsid w:val="00D57555"/>
    <w:rsid w:val="00D60680"/>
    <w:rsid w:val="00D6088D"/>
    <w:rsid w:val="00D60A6F"/>
    <w:rsid w:val="00D611C2"/>
    <w:rsid w:val="00D6199E"/>
    <w:rsid w:val="00D61A1E"/>
    <w:rsid w:val="00D61ACD"/>
    <w:rsid w:val="00D61B5E"/>
    <w:rsid w:val="00D61C34"/>
    <w:rsid w:val="00D624AC"/>
    <w:rsid w:val="00D6251B"/>
    <w:rsid w:val="00D62C1E"/>
    <w:rsid w:val="00D632D3"/>
    <w:rsid w:val="00D636F7"/>
    <w:rsid w:val="00D6389A"/>
    <w:rsid w:val="00D638C7"/>
    <w:rsid w:val="00D63F3D"/>
    <w:rsid w:val="00D6475B"/>
    <w:rsid w:val="00D64D1E"/>
    <w:rsid w:val="00D64DEE"/>
    <w:rsid w:val="00D64EED"/>
    <w:rsid w:val="00D65CB9"/>
    <w:rsid w:val="00D66679"/>
    <w:rsid w:val="00D66915"/>
    <w:rsid w:val="00D66AB0"/>
    <w:rsid w:val="00D671E4"/>
    <w:rsid w:val="00D67241"/>
    <w:rsid w:val="00D6737C"/>
    <w:rsid w:val="00D67EC8"/>
    <w:rsid w:val="00D67F88"/>
    <w:rsid w:val="00D71132"/>
    <w:rsid w:val="00D713DE"/>
    <w:rsid w:val="00D713FE"/>
    <w:rsid w:val="00D71818"/>
    <w:rsid w:val="00D71907"/>
    <w:rsid w:val="00D71E2C"/>
    <w:rsid w:val="00D721FA"/>
    <w:rsid w:val="00D72A59"/>
    <w:rsid w:val="00D72DAD"/>
    <w:rsid w:val="00D72F8A"/>
    <w:rsid w:val="00D73067"/>
    <w:rsid w:val="00D739ED"/>
    <w:rsid w:val="00D73A58"/>
    <w:rsid w:val="00D74906"/>
    <w:rsid w:val="00D75251"/>
    <w:rsid w:val="00D75317"/>
    <w:rsid w:val="00D76089"/>
    <w:rsid w:val="00D762B6"/>
    <w:rsid w:val="00D76893"/>
    <w:rsid w:val="00D768BA"/>
    <w:rsid w:val="00D7734C"/>
    <w:rsid w:val="00D774A4"/>
    <w:rsid w:val="00D775EC"/>
    <w:rsid w:val="00D802CE"/>
    <w:rsid w:val="00D8077D"/>
    <w:rsid w:val="00D813B9"/>
    <w:rsid w:val="00D817E6"/>
    <w:rsid w:val="00D819D2"/>
    <w:rsid w:val="00D81E5D"/>
    <w:rsid w:val="00D81EC9"/>
    <w:rsid w:val="00D81FA8"/>
    <w:rsid w:val="00D824D0"/>
    <w:rsid w:val="00D82972"/>
    <w:rsid w:val="00D82B3D"/>
    <w:rsid w:val="00D83078"/>
    <w:rsid w:val="00D8350F"/>
    <w:rsid w:val="00D83584"/>
    <w:rsid w:val="00D83F4C"/>
    <w:rsid w:val="00D842AB"/>
    <w:rsid w:val="00D844A0"/>
    <w:rsid w:val="00D84948"/>
    <w:rsid w:val="00D84BB5"/>
    <w:rsid w:val="00D84E2A"/>
    <w:rsid w:val="00D84E37"/>
    <w:rsid w:val="00D85870"/>
    <w:rsid w:val="00D8591A"/>
    <w:rsid w:val="00D860D5"/>
    <w:rsid w:val="00D8651E"/>
    <w:rsid w:val="00D86E09"/>
    <w:rsid w:val="00D86E82"/>
    <w:rsid w:val="00D87BA5"/>
    <w:rsid w:val="00D87EE9"/>
    <w:rsid w:val="00D9015D"/>
    <w:rsid w:val="00D90192"/>
    <w:rsid w:val="00D9094A"/>
    <w:rsid w:val="00D90ADD"/>
    <w:rsid w:val="00D90CCF"/>
    <w:rsid w:val="00D91218"/>
    <w:rsid w:val="00D916CC"/>
    <w:rsid w:val="00D91ADE"/>
    <w:rsid w:val="00D91E3F"/>
    <w:rsid w:val="00D91F2C"/>
    <w:rsid w:val="00D9277E"/>
    <w:rsid w:val="00D929C8"/>
    <w:rsid w:val="00D92CED"/>
    <w:rsid w:val="00D92E61"/>
    <w:rsid w:val="00D93080"/>
    <w:rsid w:val="00D93230"/>
    <w:rsid w:val="00D936F6"/>
    <w:rsid w:val="00D937BF"/>
    <w:rsid w:val="00D940A4"/>
    <w:rsid w:val="00D9488F"/>
    <w:rsid w:val="00D94A41"/>
    <w:rsid w:val="00D94A5C"/>
    <w:rsid w:val="00D94A68"/>
    <w:rsid w:val="00D94AE3"/>
    <w:rsid w:val="00D94FB1"/>
    <w:rsid w:val="00D94FCA"/>
    <w:rsid w:val="00D9513F"/>
    <w:rsid w:val="00D951F7"/>
    <w:rsid w:val="00D959DC"/>
    <w:rsid w:val="00D95ADF"/>
    <w:rsid w:val="00D95C08"/>
    <w:rsid w:val="00D95E64"/>
    <w:rsid w:val="00D9610A"/>
    <w:rsid w:val="00D96895"/>
    <w:rsid w:val="00D96A7E"/>
    <w:rsid w:val="00D97003"/>
    <w:rsid w:val="00D972B3"/>
    <w:rsid w:val="00DA01F5"/>
    <w:rsid w:val="00DA028A"/>
    <w:rsid w:val="00DA0964"/>
    <w:rsid w:val="00DA0BC4"/>
    <w:rsid w:val="00DA1405"/>
    <w:rsid w:val="00DA1925"/>
    <w:rsid w:val="00DA192E"/>
    <w:rsid w:val="00DA1B62"/>
    <w:rsid w:val="00DA1D14"/>
    <w:rsid w:val="00DA22EA"/>
    <w:rsid w:val="00DA2380"/>
    <w:rsid w:val="00DA2E69"/>
    <w:rsid w:val="00DA37A2"/>
    <w:rsid w:val="00DA3D2A"/>
    <w:rsid w:val="00DA3F20"/>
    <w:rsid w:val="00DA4026"/>
    <w:rsid w:val="00DA4325"/>
    <w:rsid w:val="00DA475B"/>
    <w:rsid w:val="00DA4FFF"/>
    <w:rsid w:val="00DA50A9"/>
    <w:rsid w:val="00DA56C6"/>
    <w:rsid w:val="00DA579B"/>
    <w:rsid w:val="00DA5A43"/>
    <w:rsid w:val="00DA61E7"/>
    <w:rsid w:val="00DA61EC"/>
    <w:rsid w:val="00DA6206"/>
    <w:rsid w:val="00DA65B9"/>
    <w:rsid w:val="00DA697F"/>
    <w:rsid w:val="00DA69F7"/>
    <w:rsid w:val="00DA73A5"/>
    <w:rsid w:val="00DB02F7"/>
    <w:rsid w:val="00DB0420"/>
    <w:rsid w:val="00DB0711"/>
    <w:rsid w:val="00DB0B04"/>
    <w:rsid w:val="00DB0D14"/>
    <w:rsid w:val="00DB100D"/>
    <w:rsid w:val="00DB1260"/>
    <w:rsid w:val="00DB15E0"/>
    <w:rsid w:val="00DB16BF"/>
    <w:rsid w:val="00DB17AA"/>
    <w:rsid w:val="00DB19E7"/>
    <w:rsid w:val="00DB22CA"/>
    <w:rsid w:val="00DB27B3"/>
    <w:rsid w:val="00DB315F"/>
    <w:rsid w:val="00DB324E"/>
    <w:rsid w:val="00DB381D"/>
    <w:rsid w:val="00DB3907"/>
    <w:rsid w:val="00DB419B"/>
    <w:rsid w:val="00DB421A"/>
    <w:rsid w:val="00DB447B"/>
    <w:rsid w:val="00DB451D"/>
    <w:rsid w:val="00DB4A98"/>
    <w:rsid w:val="00DB4FEF"/>
    <w:rsid w:val="00DB57A0"/>
    <w:rsid w:val="00DB5FBC"/>
    <w:rsid w:val="00DB608F"/>
    <w:rsid w:val="00DB6175"/>
    <w:rsid w:val="00DB6444"/>
    <w:rsid w:val="00DB66E2"/>
    <w:rsid w:val="00DB6779"/>
    <w:rsid w:val="00DB685F"/>
    <w:rsid w:val="00DB6A6D"/>
    <w:rsid w:val="00DB707E"/>
    <w:rsid w:val="00DB708A"/>
    <w:rsid w:val="00DB72DA"/>
    <w:rsid w:val="00DB7622"/>
    <w:rsid w:val="00DB7BBE"/>
    <w:rsid w:val="00DC01B2"/>
    <w:rsid w:val="00DC0EC4"/>
    <w:rsid w:val="00DC167E"/>
    <w:rsid w:val="00DC16BD"/>
    <w:rsid w:val="00DC2255"/>
    <w:rsid w:val="00DC22C8"/>
    <w:rsid w:val="00DC29D5"/>
    <w:rsid w:val="00DC3828"/>
    <w:rsid w:val="00DC3A84"/>
    <w:rsid w:val="00DC3E43"/>
    <w:rsid w:val="00DC3F65"/>
    <w:rsid w:val="00DC40C2"/>
    <w:rsid w:val="00DC5442"/>
    <w:rsid w:val="00DC6336"/>
    <w:rsid w:val="00DC6605"/>
    <w:rsid w:val="00DC6A48"/>
    <w:rsid w:val="00DC6FA0"/>
    <w:rsid w:val="00DC706E"/>
    <w:rsid w:val="00DC71FA"/>
    <w:rsid w:val="00DC79B3"/>
    <w:rsid w:val="00DD008A"/>
    <w:rsid w:val="00DD0856"/>
    <w:rsid w:val="00DD0C7B"/>
    <w:rsid w:val="00DD0EFE"/>
    <w:rsid w:val="00DD2847"/>
    <w:rsid w:val="00DD29E6"/>
    <w:rsid w:val="00DD2A87"/>
    <w:rsid w:val="00DD2BAF"/>
    <w:rsid w:val="00DD2DE1"/>
    <w:rsid w:val="00DD2FF3"/>
    <w:rsid w:val="00DD33DA"/>
    <w:rsid w:val="00DD362B"/>
    <w:rsid w:val="00DD3B1C"/>
    <w:rsid w:val="00DD518A"/>
    <w:rsid w:val="00DD52D0"/>
    <w:rsid w:val="00DD607A"/>
    <w:rsid w:val="00DD63BA"/>
    <w:rsid w:val="00DD6748"/>
    <w:rsid w:val="00DD74A6"/>
    <w:rsid w:val="00DD7C6B"/>
    <w:rsid w:val="00DD7EE8"/>
    <w:rsid w:val="00DE005C"/>
    <w:rsid w:val="00DE0204"/>
    <w:rsid w:val="00DE05A3"/>
    <w:rsid w:val="00DE0DC2"/>
    <w:rsid w:val="00DE118D"/>
    <w:rsid w:val="00DE12A6"/>
    <w:rsid w:val="00DE147F"/>
    <w:rsid w:val="00DE152C"/>
    <w:rsid w:val="00DE1F8A"/>
    <w:rsid w:val="00DE2016"/>
    <w:rsid w:val="00DE24B5"/>
    <w:rsid w:val="00DE260E"/>
    <w:rsid w:val="00DE27EA"/>
    <w:rsid w:val="00DE2A74"/>
    <w:rsid w:val="00DE2C3A"/>
    <w:rsid w:val="00DE3345"/>
    <w:rsid w:val="00DE346B"/>
    <w:rsid w:val="00DE4407"/>
    <w:rsid w:val="00DE4650"/>
    <w:rsid w:val="00DE4CAB"/>
    <w:rsid w:val="00DE55A6"/>
    <w:rsid w:val="00DE6DC3"/>
    <w:rsid w:val="00DE7061"/>
    <w:rsid w:val="00DE7694"/>
    <w:rsid w:val="00DE78E2"/>
    <w:rsid w:val="00DE7B43"/>
    <w:rsid w:val="00DE7B64"/>
    <w:rsid w:val="00DE7C43"/>
    <w:rsid w:val="00DE7DA8"/>
    <w:rsid w:val="00DE7EE1"/>
    <w:rsid w:val="00DF02BE"/>
    <w:rsid w:val="00DF0391"/>
    <w:rsid w:val="00DF0E15"/>
    <w:rsid w:val="00DF1638"/>
    <w:rsid w:val="00DF19B8"/>
    <w:rsid w:val="00DF1BCA"/>
    <w:rsid w:val="00DF25F1"/>
    <w:rsid w:val="00DF28D9"/>
    <w:rsid w:val="00DF29A2"/>
    <w:rsid w:val="00DF2C68"/>
    <w:rsid w:val="00DF2F18"/>
    <w:rsid w:val="00DF352F"/>
    <w:rsid w:val="00DF38E0"/>
    <w:rsid w:val="00DF3D2B"/>
    <w:rsid w:val="00DF3F4D"/>
    <w:rsid w:val="00DF451A"/>
    <w:rsid w:val="00DF5150"/>
    <w:rsid w:val="00DF55E1"/>
    <w:rsid w:val="00DF560A"/>
    <w:rsid w:val="00DF60DC"/>
    <w:rsid w:val="00DF61D3"/>
    <w:rsid w:val="00DF6B91"/>
    <w:rsid w:val="00DF6F5D"/>
    <w:rsid w:val="00DF6FB3"/>
    <w:rsid w:val="00DF7632"/>
    <w:rsid w:val="00DF7BDC"/>
    <w:rsid w:val="00E008A0"/>
    <w:rsid w:val="00E00B9E"/>
    <w:rsid w:val="00E00E23"/>
    <w:rsid w:val="00E011F3"/>
    <w:rsid w:val="00E01280"/>
    <w:rsid w:val="00E0166A"/>
    <w:rsid w:val="00E01BDF"/>
    <w:rsid w:val="00E021EE"/>
    <w:rsid w:val="00E02FB2"/>
    <w:rsid w:val="00E03328"/>
    <w:rsid w:val="00E03BE6"/>
    <w:rsid w:val="00E03EC6"/>
    <w:rsid w:val="00E04716"/>
    <w:rsid w:val="00E0487F"/>
    <w:rsid w:val="00E050B8"/>
    <w:rsid w:val="00E052DF"/>
    <w:rsid w:val="00E05684"/>
    <w:rsid w:val="00E05F49"/>
    <w:rsid w:val="00E062A7"/>
    <w:rsid w:val="00E06562"/>
    <w:rsid w:val="00E06A5A"/>
    <w:rsid w:val="00E06B84"/>
    <w:rsid w:val="00E06F1C"/>
    <w:rsid w:val="00E0736C"/>
    <w:rsid w:val="00E07562"/>
    <w:rsid w:val="00E07821"/>
    <w:rsid w:val="00E079EA"/>
    <w:rsid w:val="00E07ECE"/>
    <w:rsid w:val="00E1051B"/>
    <w:rsid w:val="00E109BC"/>
    <w:rsid w:val="00E10F37"/>
    <w:rsid w:val="00E11735"/>
    <w:rsid w:val="00E1245E"/>
    <w:rsid w:val="00E125D8"/>
    <w:rsid w:val="00E14613"/>
    <w:rsid w:val="00E1472F"/>
    <w:rsid w:val="00E14899"/>
    <w:rsid w:val="00E14D4C"/>
    <w:rsid w:val="00E151BA"/>
    <w:rsid w:val="00E156B7"/>
    <w:rsid w:val="00E1583B"/>
    <w:rsid w:val="00E15B6C"/>
    <w:rsid w:val="00E15E0E"/>
    <w:rsid w:val="00E16ABE"/>
    <w:rsid w:val="00E16DCA"/>
    <w:rsid w:val="00E17587"/>
    <w:rsid w:val="00E179F7"/>
    <w:rsid w:val="00E17F6C"/>
    <w:rsid w:val="00E2008E"/>
    <w:rsid w:val="00E20566"/>
    <w:rsid w:val="00E20EDE"/>
    <w:rsid w:val="00E20F75"/>
    <w:rsid w:val="00E20FF6"/>
    <w:rsid w:val="00E21367"/>
    <w:rsid w:val="00E21CAD"/>
    <w:rsid w:val="00E21CEE"/>
    <w:rsid w:val="00E22231"/>
    <w:rsid w:val="00E22793"/>
    <w:rsid w:val="00E22FD5"/>
    <w:rsid w:val="00E230E5"/>
    <w:rsid w:val="00E24531"/>
    <w:rsid w:val="00E245BE"/>
    <w:rsid w:val="00E24836"/>
    <w:rsid w:val="00E25440"/>
    <w:rsid w:val="00E255CB"/>
    <w:rsid w:val="00E25827"/>
    <w:rsid w:val="00E25CA3"/>
    <w:rsid w:val="00E25E76"/>
    <w:rsid w:val="00E25ECE"/>
    <w:rsid w:val="00E268A6"/>
    <w:rsid w:val="00E26DF2"/>
    <w:rsid w:val="00E273CF"/>
    <w:rsid w:val="00E27630"/>
    <w:rsid w:val="00E27EDE"/>
    <w:rsid w:val="00E3042E"/>
    <w:rsid w:val="00E30570"/>
    <w:rsid w:val="00E30F38"/>
    <w:rsid w:val="00E312EC"/>
    <w:rsid w:val="00E31673"/>
    <w:rsid w:val="00E31750"/>
    <w:rsid w:val="00E319D8"/>
    <w:rsid w:val="00E32225"/>
    <w:rsid w:val="00E329D9"/>
    <w:rsid w:val="00E32EE2"/>
    <w:rsid w:val="00E32F7F"/>
    <w:rsid w:val="00E330CA"/>
    <w:rsid w:val="00E33A74"/>
    <w:rsid w:val="00E33BBC"/>
    <w:rsid w:val="00E33E83"/>
    <w:rsid w:val="00E34735"/>
    <w:rsid w:val="00E34FE8"/>
    <w:rsid w:val="00E35804"/>
    <w:rsid w:val="00E359BF"/>
    <w:rsid w:val="00E35FCF"/>
    <w:rsid w:val="00E36375"/>
    <w:rsid w:val="00E364FA"/>
    <w:rsid w:val="00E36505"/>
    <w:rsid w:val="00E366C4"/>
    <w:rsid w:val="00E3731D"/>
    <w:rsid w:val="00E37870"/>
    <w:rsid w:val="00E37B20"/>
    <w:rsid w:val="00E37F16"/>
    <w:rsid w:val="00E37F19"/>
    <w:rsid w:val="00E40BDC"/>
    <w:rsid w:val="00E41954"/>
    <w:rsid w:val="00E4200E"/>
    <w:rsid w:val="00E42371"/>
    <w:rsid w:val="00E4245D"/>
    <w:rsid w:val="00E42551"/>
    <w:rsid w:val="00E42866"/>
    <w:rsid w:val="00E42C58"/>
    <w:rsid w:val="00E43820"/>
    <w:rsid w:val="00E43976"/>
    <w:rsid w:val="00E43A1F"/>
    <w:rsid w:val="00E43DC0"/>
    <w:rsid w:val="00E44B42"/>
    <w:rsid w:val="00E456B9"/>
    <w:rsid w:val="00E45965"/>
    <w:rsid w:val="00E459C0"/>
    <w:rsid w:val="00E4629A"/>
    <w:rsid w:val="00E46B3A"/>
    <w:rsid w:val="00E46D47"/>
    <w:rsid w:val="00E4708D"/>
    <w:rsid w:val="00E47545"/>
    <w:rsid w:val="00E47818"/>
    <w:rsid w:val="00E478E9"/>
    <w:rsid w:val="00E47B17"/>
    <w:rsid w:val="00E47FB8"/>
    <w:rsid w:val="00E5059F"/>
    <w:rsid w:val="00E50719"/>
    <w:rsid w:val="00E50A9F"/>
    <w:rsid w:val="00E50D51"/>
    <w:rsid w:val="00E5167D"/>
    <w:rsid w:val="00E51AF8"/>
    <w:rsid w:val="00E51FB8"/>
    <w:rsid w:val="00E52DD8"/>
    <w:rsid w:val="00E5399D"/>
    <w:rsid w:val="00E53BD3"/>
    <w:rsid w:val="00E5459E"/>
    <w:rsid w:val="00E54BA8"/>
    <w:rsid w:val="00E555BF"/>
    <w:rsid w:val="00E5595C"/>
    <w:rsid w:val="00E55B83"/>
    <w:rsid w:val="00E55D16"/>
    <w:rsid w:val="00E562D5"/>
    <w:rsid w:val="00E5633D"/>
    <w:rsid w:val="00E56834"/>
    <w:rsid w:val="00E56F43"/>
    <w:rsid w:val="00E5730C"/>
    <w:rsid w:val="00E57627"/>
    <w:rsid w:val="00E57E04"/>
    <w:rsid w:val="00E6004E"/>
    <w:rsid w:val="00E60973"/>
    <w:rsid w:val="00E60A3E"/>
    <w:rsid w:val="00E614A2"/>
    <w:rsid w:val="00E61859"/>
    <w:rsid w:val="00E61A4D"/>
    <w:rsid w:val="00E61AAC"/>
    <w:rsid w:val="00E620B8"/>
    <w:rsid w:val="00E622FA"/>
    <w:rsid w:val="00E6276D"/>
    <w:rsid w:val="00E62793"/>
    <w:rsid w:val="00E62C73"/>
    <w:rsid w:val="00E62CE9"/>
    <w:rsid w:val="00E6348A"/>
    <w:rsid w:val="00E63B57"/>
    <w:rsid w:val="00E641C1"/>
    <w:rsid w:val="00E646A6"/>
    <w:rsid w:val="00E64714"/>
    <w:rsid w:val="00E647C7"/>
    <w:rsid w:val="00E64F68"/>
    <w:rsid w:val="00E65085"/>
    <w:rsid w:val="00E65724"/>
    <w:rsid w:val="00E657E3"/>
    <w:rsid w:val="00E65AD2"/>
    <w:rsid w:val="00E65BDC"/>
    <w:rsid w:val="00E65F05"/>
    <w:rsid w:val="00E65FD1"/>
    <w:rsid w:val="00E6615D"/>
    <w:rsid w:val="00E666AB"/>
    <w:rsid w:val="00E66FAF"/>
    <w:rsid w:val="00E671F6"/>
    <w:rsid w:val="00E67363"/>
    <w:rsid w:val="00E67872"/>
    <w:rsid w:val="00E67F7E"/>
    <w:rsid w:val="00E7032D"/>
    <w:rsid w:val="00E70961"/>
    <w:rsid w:val="00E711A9"/>
    <w:rsid w:val="00E711CC"/>
    <w:rsid w:val="00E71213"/>
    <w:rsid w:val="00E7124B"/>
    <w:rsid w:val="00E71468"/>
    <w:rsid w:val="00E71578"/>
    <w:rsid w:val="00E717D1"/>
    <w:rsid w:val="00E71EAE"/>
    <w:rsid w:val="00E723E1"/>
    <w:rsid w:val="00E72C7E"/>
    <w:rsid w:val="00E7359E"/>
    <w:rsid w:val="00E7394B"/>
    <w:rsid w:val="00E73AB4"/>
    <w:rsid w:val="00E73C11"/>
    <w:rsid w:val="00E73EF7"/>
    <w:rsid w:val="00E743D6"/>
    <w:rsid w:val="00E7464D"/>
    <w:rsid w:val="00E7490D"/>
    <w:rsid w:val="00E749F8"/>
    <w:rsid w:val="00E7560A"/>
    <w:rsid w:val="00E76A88"/>
    <w:rsid w:val="00E76E43"/>
    <w:rsid w:val="00E80444"/>
    <w:rsid w:val="00E80E36"/>
    <w:rsid w:val="00E81057"/>
    <w:rsid w:val="00E810A0"/>
    <w:rsid w:val="00E815D0"/>
    <w:rsid w:val="00E81E44"/>
    <w:rsid w:val="00E8218B"/>
    <w:rsid w:val="00E821C4"/>
    <w:rsid w:val="00E82ABE"/>
    <w:rsid w:val="00E82CF8"/>
    <w:rsid w:val="00E831E8"/>
    <w:rsid w:val="00E8330C"/>
    <w:rsid w:val="00E8352F"/>
    <w:rsid w:val="00E8362A"/>
    <w:rsid w:val="00E838B1"/>
    <w:rsid w:val="00E83B37"/>
    <w:rsid w:val="00E841DA"/>
    <w:rsid w:val="00E8474E"/>
    <w:rsid w:val="00E848E2"/>
    <w:rsid w:val="00E84B10"/>
    <w:rsid w:val="00E853A9"/>
    <w:rsid w:val="00E858AC"/>
    <w:rsid w:val="00E85A12"/>
    <w:rsid w:val="00E85B0A"/>
    <w:rsid w:val="00E85C70"/>
    <w:rsid w:val="00E85ECE"/>
    <w:rsid w:val="00E864FB"/>
    <w:rsid w:val="00E86A2A"/>
    <w:rsid w:val="00E86BE4"/>
    <w:rsid w:val="00E87543"/>
    <w:rsid w:val="00E87816"/>
    <w:rsid w:val="00E87C3C"/>
    <w:rsid w:val="00E87D6C"/>
    <w:rsid w:val="00E90181"/>
    <w:rsid w:val="00E901CC"/>
    <w:rsid w:val="00E903EF"/>
    <w:rsid w:val="00E9049A"/>
    <w:rsid w:val="00E9064C"/>
    <w:rsid w:val="00E90CC1"/>
    <w:rsid w:val="00E90E9F"/>
    <w:rsid w:val="00E91776"/>
    <w:rsid w:val="00E91EB6"/>
    <w:rsid w:val="00E93158"/>
    <w:rsid w:val="00E9317E"/>
    <w:rsid w:val="00E93183"/>
    <w:rsid w:val="00E935E1"/>
    <w:rsid w:val="00E93C1A"/>
    <w:rsid w:val="00E93F1A"/>
    <w:rsid w:val="00E940F7"/>
    <w:rsid w:val="00E94224"/>
    <w:rsid w:val="00E9492F"/>
    <w:rsid w:val="00E94A28"/>
    <w:rsid w:val="00E94A86"/>
    <w:rsid w:val="00E94F86"/>
    <w:rsid w:val="00E9591F"/>
    <w:rsid w:val="00E95B6B"/>
    <w:rsid w:val="00E95C9F"/>
    <w:rsid w:val="00E969D3"/>
    <w:rsid w:val="00E97633"/>
    <w:rsid w:val="00E9777E"/>
    <w:rsid w:val="00E977C9"/>
    <w:rsid w:val="00E97C9A"/>
    <w:rsid w:val="00E97F1E"/>
    <w:rsid w:val="00EA08D7"/>
    <w:rsid w:val="00EA0C02"/>
    <w:rsid w:val="00EA0C84"/>
    <w:rsid w:val="00EA113C"/>
    <w:rsid w:val="00EA1705"/>
    <w:rsid w:val="00EA1C49"/>
    <w:rsid w:val="00EA1E09"/>
    <w:rsid w:val="00EA1E66"/>
    <w:rsid w:val="00EA20D7"/>
    <w:rsid w:val="00EA2581"/>
    <w:rsid w:val="00EA28A2"/>
    <w:rsid w:val="00EA3627"/>
    <w:rsid w:val="00EA37B2"/>
    <w:rsid w:val="00EA37CB"/>
    <w:rsid w:val="00EA3817"/>
    <w:rsid w:val="00EA3CE0"/>
    <w:rsid w:val="00EA3E00"/>
    <w:rsid w:val="00EA5596"/>
    <w:rsid w:val="00EA5E1F"/>
    <w:rsid w:val="00EA6301"/>
    <w:rsid w:val="00EA63D2"/>
    <w:rsid w:val="00EA6B2F"/>
    <w:rsid w:val="00EA6B5A"/>
    <w:rsid w:val="00EA7A4E"/>
    <w:rsid w:val="00EA7C76"/>
    <w:rsid w:val="00EA7DB6"/>
    <w:rsid w:val="00EB0107"/>
    <w:rsid w:val="00EB0437"/>
    <w:rsid w:val="00EB0E4C"/>
    <w:rsid w:val="00EB10FE"/>
    <w:rsid w:val="00EB126A"/>
    <w:rsid w:val="00EB129C"/>
    <w:rsid w:val="00EB1650"/>
    <w:rsid w:val="00EB1814"/>
    <w:rsid w:val="00EB184E"/>
    <w:rsid w:val="00EB1CA7"/>
    <w:rsid w:val="00EB219C"/>
    <w:rsid w:val="00EB2B64"/>
    <w:rsid w:val="00EB2EEE"/>
    <w:rsid w:val="00EB3163"/>
    <w:rsid w:val="00EB3411"/>
    <w:rsid w:val="00EB34C3"/>
    <w:rsid w:val="00EB37A7"/>
    <w:rsid w:val="00EB4833"/>
    <w:rsid w:val="00EB4B57"/>
    <w:rsid w:val="00EB567E"/>
    <w:rsid w:val="00EB5B1F"/>
    <w:rsid w:val="00EB5BB5"/>
    <w:rsid w:val="00EB68B9"/>
    <w:rsid w:val="00EB6D45"/>
    <w:rsid w:val="00EB6E37"/>
    <w:rsid w:val="00EB7024"/>
    <w:rsid w:val="00EB7377"/>
    <w:rsid w:val="00EB77A3"/>
    <w:rsid w:val="00EB77B3"/>
    <w:rsid w:val="00EC0C82"/>
    <w:rsid w:val="00EC10BA"/>
    <w:rsid w:val="00EC1121"/>
    <w:rsid w:val="00EC11C2"/>
    <w:rsid w:val="00EC12DB"/>
    <w:rsid w:val="00EC1E17"/>
    <w:rsid w:val="00EC25C0"/>
    <w:rsid w:val="00EC290C"/>
    <w:rsid w:val="00EC2EFD"/>
    <w:rsid w:val="00EC3295"/>
    <w:rsid w:val="00EC39CD"/>
    <w:rsid w:val="00EC451C"/>
    <w:rsid w:val="00EC4D35"/>
    <w:rsid w:val="00EC519E"/>
    <w:rsid w:val="00EC56B4"/>
    <w:rsid w:val="00EC6210"/>
    <w:rsid w:val="00EC6363"/>
    <w:rsid w:val="00EC65CF"/>
    <w:rsid w:val="00EC67BC"/>
    <w:rsid w:val="00EC710C"/>
    <w:rsid w:val="00EC752F"/>
    <w:rsid w:val="00EC7580"/>
    <w:rsid w:val="00EC79F7"/>
    <w:rsid w:val="00EC7B65"/>
    <w:rsid w:val="00EC7F0F"/>
    <w:rsid w:val="00EC7FA2"/>
    <w:rsid w:val="00ED09E2"/>
    <w:rsid w:val="00ED0FAA"/>
    <w:rsid w:val="00ED1148"/>
    <w:rsid w:val="00ED1726"/>
    <w:rsid w:val="00ED2184"/>
    <w:rsid w:val="00ED23B5"/>
    <w:rsid w:val="00ED281E"/>
    <w:rsid w:val="00ED2A9F"/>
    <w:rsid w:val="00ED2D5A"/>
    <w:rsid w:val="00ED2DDE"/>
    <w:rsid w:val="00ED38CB"/>
    <w:rsid w:val="00ED3A51"/>
    <w:rsid w:val="00ED3C93"/>
    <w:rsid w:val="00ED3CA8"/>
    <w:rsid w:val="00ED3ECE"/>
    <w:rsid w:val="00ED3F49"/>
    <w:rsid w:val="00ED4253"/>
    <w:rsid w:val="00ED43C2"/>
    <w:rsid w:val="00ED465F"/>
    <w:rsid w:val="00ED46B3"/>
    <w:rsid w:val="00ED56A7"/>
    <w:rsid w:val="00ED56AA"/>
    <w:rsid w:val="00ED5CB7"/>
    <w:rsid w:val="00ED662F"/>
    <w:rsid w:val="00ED6BF4"/>
    <w:rsid w:val="00ED7179"/>
    <w:rsid w:val="00EE100F"/>
    <w:rsid w:val="00EE145B"/>
    <w:rsid w:val="00EE148D"/>
    <w:rsid w:val="00EE16A3"/>
    <w:rsid w:val="00EE1F32"/>
    <w:rsid w:val="00EE1FCB"/>
    <w:rsid w:val="00EE22AB"/>
    <w:rsid w:val="00EE2468"/>
    <w:rsid w:val="00EE24C8"/>
    <w:rsid w:val="00EE2CAA"/>
    <w:rsid w:val="00EE2DB7"/>
    <w:rsid w:val="00EE2F2D"/>
    <w:rsid w:val="00EE2F33"/>
    <w:rsid w:val="00EE2F77"/>
    <w:rsid w:val="00EE2F89"/>
    <w:rsid w:val="00EE34BF"/>
    <w:rsid w:val="00EE39F6"/>
    <w:rsid w:val="00EE3DD7"/>
    <w:rsid w:val="00EE3FDD"/>
    <w:rsid w:val="00EE41A8"/>
    <w:rsid w:val="00EE43CE"/>
    <w:rsid w:val="00EE4FFC"/>
    <w:rsid w:val="00EE59C2"/>
    <w:rsid w:val="00EE61BD"/>
    <w:rsid w:val="00EE61D2"/>
    <w:rsid w:val="00EE6D97"/>
    <w:rsid w:val="00EE6F89"/>
    <w:rsid w:val="00EE6F99"/>
    <w:rsid w:val="00EE6FC3"/>
    <w:rsid w:val="00EE71B1"/>
    <w:rsid w:val="00EE78C7"/>
    <w:rsid w:val="00EE7B54"/>
    <w:rsid w:val="00EE7C44"/>
    <w:rsid w:val="00EE7DA7"/>
    <w:rsid w:val="00EF0299"/>
    <w:rsid w:val="00EF05DC"/>
    <w:rsid w:val="00EF09C2"/>
    <w:rsid w:val="00EF1603"/>
    <w:rsid w:val="00EF1772"/>
    <w:rsid w:val="00EF1BAE"/>
    <w:rsid w:val="00EF2A0B"/>
    <w:rsid w:val="00EF2B3C"/>
    <w:rsid w:val="00EF2B8B"/>
    <w:rsid w:val="00EF2E7E"/>
    <w:rsid w:val="00EF3121"/>
    <w:rsid w:val="00EF313F"/>
    <w:rsid w:val="00EF35A3"/>
    <w:rsid w:val="00EF3915"/>
    <w:rsid w:val="00EF3B6E"/>
    <w:rsid w:val="00EF3CCB"/>
    <w:rsid w:val="00EF40B9"/>
    <w:rsid w:val="00EF40FD"/>
    <w:rsid w:val="00EF4397"/>
    <w:rsid w:val="00EF4E55"/>
    <w:rsid w:val="00EF514C"/>
    <w:rsid w:val="00EF546B"/>
    <w:rsid w:val="00EF55E9"/>
    <w:rsid w:val="00EF5B4B"/>
    <w:rsid w:val="00EF60C1"/>
    <w:rsid w:val="00EF6280"/>
    <w:rsid w:val="00EF65C9"/>
    <w:rsid w:val="00EF6699"/>
    <w:rsid w:val="00EF67B9"/>
    <w:rsid w:val="00EF7158"/>
    <w:rsid w:val="00EF722E"/>
    <w:rsid w:val="00EF7406"/>
    <w:rsid w:val="00EF7BC4"/>
    <w:rsid w:val="00EF7E21"/>
    <w:rsid w:val="00F005A5"/>
    <w:rsid w:val="00F00712"/>
    <w:rsid w:val="00F00DAB"/>
    <w:rsid w:val="00F00FD8"/>
    <w:rsid w:val="00F0130C"/>
    <w:rsid w:val="00F01BAE"/>
    <w:rsid w:val="00F01BBA"/>
    <w:rsid w:val="00F02485"/>
    <w:rsid w:val="00F028FE"/>
    <w:rsid w:val="00F02F9C"/>
    <w:rsid w:val="00F03144"/>
    <w:rsid w:val="00F036DE"/>
    <w:rsid w:val="00F045F9"/>
    <w:rsid w:val="00F0461A"/>
    <w:rsid w:val="00F0545D"/>
    <w:rsid w:val="00F054B4"/>
    <w:rsid w:val="00F054CE"/>
    <w:rsid w:val="00F054DD"/>
    <w:rsid w:val="00F057C5"/>
    <w:rsid w:val="00F058C1"/>
    <w:rsid w:val="00F05C30"/>
    <w:rsid w:val="00F06272"/>
    <w:rsid w:val="00F0650F"/>
    <w:rsid w:val="00F065FD"/>
    <w:rsid w:val="00F066CF"/>
    <w:rsid w:val="00F06BB4"/>
    <w:rsid w:val="00F06E25"/>
    <w:rsid w:val="00F06E70"/>
    <w:rsid w:val="00F072F0"/>
    <w:rsid w:val="00F0740B"/>
    <w:rsid w:val="00F07AC2"/>
    <w:rsid w:val="00F07CB5"/>
    <w:rsid w:val="00F07CED"/>
    <w:rsid w:val="00F07D58"/>
    <w:rsid w:val="00F103FC"/>
    <w:rsid w:val="00F104D8"/>
    <w:rsid w:val="00F1085F"/>
    <w:rsid w:val="00F10D6F"/>
    <w:rsid w:val="00F1129C"/>
    <w:rsid w:val="00F11366"/>
    <w:rsid w:val="00F1161A"/>
    <w:rsid w:val="00F11701"/>
    <w:rsid w:val="00F117CF"/>
    <w:rsid w:val="00F11AA6"/>
    <w:rsid w:val="00F11C50"/>
    <w:rsid w:val="00F12453"/>
    <w:rsid w:val="00F129E7"/>
    <w:rsid w:val="00F133C0"/>
    <w:rsid w:val="00F134E1"/>
    <w:rsid w:val="00F13526"/>
    <w:rsid w:val="00F13890"/>
    <w:rsid w:val="00F13B7A"/>
    <w:rsid w:val="00F13E41"/>
    <w:rsid w:val="00F1462B"/>
    <w:rsid w:val="00F14642"/>
    <w:rsid w:val="00F146C9"/>
    <w:rsid w:val="00F1478D"/>
    <w:rsid w:val="00F1499D"/>
    <w:rsid w:val="00F15136"/>
    <w:rsid w:val="00F15530"/>
    <w:rsid w:val="00F159AD"/>
    <w:rsid w:val="00F164A9"/>
    <w:rsid w:val="00F16972"/>
    <w:rsid w:val="00F16BE1"/>
    <w:rsid w:val="00F170DE"/>
    <w:rsid w:val="00F17793"/>
    <w:rsid w:val="00F202DA"/>
    <w:rsid w:val="00F206E8"/>
    <w:rsid w:val="00F20AC9"/>
    <w:rsid w:val="00F20CFB"/>
    <w:rsid w:val="00F2109E"/>
    <w:rsid w:val="00F213BE"/>
    <w:rsid w:val="00F213D4"/>
    <w:rsid w:val="00F214EC"/>
    <w:rsid w:val="00F216CE"/>
    <w:rsid w:val="00F21A8D"/>
    <w:rsid w:val="00F22D96"/>
    <w:rsid w:val="00F22F20"/>
    <w:rsid w:val="00F230A4"/>
    <w:rsid w:val="00F23EB6"/>
    <w:rsid w:val="00F24123"/>
    <w:rsid w:val="00F24207"/>
    <w:rsid w:val="00F243C9"/>
    <w:rsid w:val="00F2463D"/>
    <w:rsid w:val="00F24992"/>
    <w:rsid w:val="00F25077"/>
    <w:rsid w:val="00F25877"/>
    <w:rsid w:val="00F25AF5"/>
    <w:rsid w:val="00F25B5E"/>
    <w:rsid w:val="00F25D32"/>
    <w:rsid w:val="00F2608C"/>
    <w:rsid w:val="00F26D16"/>
    <w:rsid w:val="00F26E6F"/>
    <w:rsid w:val="00F27543"/>
    <w:rsid w:val="00F27585"/>
    <w:rsid w:val="00F27662"/>
    <w:rsid w:val="00F27B62"/>
    <w:rsid w:val="00F30417"/>
    <w:rsid w:val="00F30882"/>
    <w:rsid w:val="00F30B9C"/>
    <w:rsid w:val="00F30C47"/>
    <w:rsid w:val="00F31C7A"/>
    <w:rsid w:val="00F31EA7"/>
    <w:rsid w:val="00F328D7"/>
    <w:rsid w:val="00F32A58"/>
    <w:rsid w:val="00F32BDD"/>
    <w:rsid w:val="00F32D23"/>
    <w:rsid w:val="00F32ECB"/>
    <w:rsid w:val="00F32FC3"/>
    <w:rsid w:val="00F330EF"/>
    <w:rsid w:val="00F339C3"/>
    <w:rsid w:val="00F33E45"/>
    <w:rsid w:val="00F33FED"/>
    <w:rsid w:val="00F34C35"/>
    <w:rsid w:val="00F34CE1"/>
    <w:rsid w:val="00F34D00"/>
    <w:rsid w:val="00F34E92"/>
    <w:rsid w:val="00F3661B"/>
    <w:rsid w:val="00F3684D"/>
    <w:rsid w:val="00F36C0E"/>
    <w:rsid w:val="00F36CE4"/>
    <w:rsid w:val="00F36D96"/>
    <w:rsid w:val="00F372DA"/>
    <w:rsid w:val="00F376AF"/>
    <w:rsid w:val="00F37854"/>
    <w:rsid w:val="00F37E61"/>
    <w:rsid w:val="00F40377"/>
    <w:rsid w:val="00F40409"/>
    <w:rsid w:val="00F40532"/>
    <w:rsid w:val="00F40826"/>
    <w:rsid w:val="00F40B0C"/>
    <w:rsid w:val="00F40DBB"/>
    <w:rsid w:val="00F414B0"/>
    <w:rsid w:val="00F41E3D"/>
    <w:rsid w:val="00F42310"/>
    <w:rsid w:val="00F42318"/>
    <w:rsid w:val="00F42F6B"/>
    <w:rsid w:val="00F436C0"/>
    <w:rsid w:val="00F43AF0"/>
    <w:rsid w:val="00F43DF2"/>
    <w:rsid w:val="00F43E7B"/>
    <w:rsid w:val="00F43FCF"/>
    <w:rsid w:val="00F44010"/>
    <w:rsid w:val="00F44E84"/>
    <w:rsid w:val="00F44F0E"/>
    <w:rsid w:val="00F45130"/>
    <w:rsid w:val="00F45781"/>
    <w:rsid w:val="00F46087"/>
    <w:rsid w:val="00F46118"/>
    <w:rsid w:val="00F46585"/>
    <w:rsid w:val="00F46D1F"/>
    <w:rsid w:val="00F4715C"/>
    <w:rsid w:val="00F47BDD"/>
    <w:rsid w:val="00F47E3E"/>
    <w:rsid w:val="00F47EFF"/>
    <w:rsid w:val="00F500D2"/>
    <w:rsid w:val="00F5030C"/>
    <w:rsid w:val="00F5069E"/>
    <w:rsid w:val="00F50A68"/>
    <w:rsid w:val="00F50ED9"/>
    <w:rsid w:val="00F5108A"/>
    <w:rsid w:val="00F51484"/>
    <w:rsid w:val="00F516A8"/>
    <w:rsid w:val="00F51B93"/>
    <w:rsid w:val="00F51D37"/>
    <w:rsid w:val="00F51D5B"/>
    <w:rsid w:val="00F51F45"/>
    <w:rsid w:val="00F5200B"/>
    <w:rsid w:val="00F5250B"/>
    <w:rsid w:val="00F529FC"/>
    <w:rsid w:val="00F53019"/>
    <w:rsid w:val="00F5323F"/>
    <w:rsid w:val="00F53813"/>
    <w:rsid w:val="00F53931"/>
    <w:rsid w:val="00F53C1E"/>
    <w:rsid w:val="00F53DDC"/>
    <w:rsid w:val="00F5403C"/>
    <w:rsid w:val="00F54085"/>
    <w:rsid w:val="00F542D5"/>
    <w:rsid w:val="00F543C8"/>
    <w:rsid w:val="00F5443B"/>
    <w:rsid w:val="00F54473"/>
    <w:rsid w:val="00F54543"/>
    <w:rsid w:val="00F5500B"/>
    <w:rsid w:val="00F555BE"/>
    <w:rsid w:val="00F55607"/>
    <w:rsid w:val="00F559EE"/>
    <w:rsid w:val="00F55D31"/>
    <w:rsid w:val="00F55EA9"/>
    <w:rsid w:val="00F560E3"/>
    <w:rsid w:val="00F56520"/>
    <w:rsid w:val="00F565CF"/>
    <w:rsid w:val="00F56B63"/>
    <w:rsid w:val="00F56BA0"/>
    <w:rsid w:val="00F56CBF"/>
    <w:rsid w:val="00F56D1B"/>
    <w:rsid w:val="00F5757E"/>
    <w:rsid w:val="00F57A25"/>
    <w:rsid w:val="00F6011F"/>
    <w:rsid w:val="00F60473"/>
    <w:rsid w:val="00F60944"/>
    <w:rsid w:val="00F60B22"/>
    <w:rsid w:val="00F60CFF"/>
    <w:rsid w:val="00F60ED7"/>
    <w:rsid w:val="00F6141C"/>
    <w:rsid w:val="00F617E5"/>
    <w:rsid w:val="00F61B19"/>
    <w:rsid w:val="00F61BFB"/>
    <w:rsid w:val="00F61C2A"/>
    <w:rsid w:val="00F61DD6"/>
    <w:rsid w:val="00F623EC"/>
    <w:rsid w:val="00F624F7"/>
    <w:rsid w:val="00F626CF"/>
    <w:rsid w:val="00F62786"/>
    <w:rsid w:val="00F62F68"/>
    <w:rsid w:val="00F63728"/>
    <w:rsid w:val="00F63970"/>
    <w:rsid w:val="00F642C0"/>
    <w:rsid w:val="00F648A4"/>
    <w:rsid w:val="00F65954"/>
    <w:rsid w:val="00F65D1A"/>
    <w:rsid w:val="00F66308"/>
    <w:rsid w:val="00F666B7"/>
    <w:rsid w:val="00F669EE"/>
    <w:rsid w:val="00F66B3D"/>
    <w:rsid w:val="00F67047"/>
    <w:rsid w:val="00F671DB"/>
    <w:rsid w:val="00F6725B"/>
    <w:rsid w:val="00F672C0"/>
    <w:rsid w:val="00F6744A"/>
    <w:rsid w:val="00F67835"/>
    <w:rsid w:val="00F67C5F"/>
    <w:rsid w:val="00F67E1B"/>
    <w:rsid w:val="00F700D1"/>
    <w:rsid w:val="00F703DA"/>
    <w:rsid w:val="00F718C6"/>
    <w:rsid w:val="00F71F18"/>
    <w:rsid w:val="00F71F73"/>
    <w:rsid w:val="00F720C5"/>
    <w:rsid w:val="00F72157"/>
    <w:rsid w:val="00F7280E"/>
    <w:rsid w:val="00F730A6"/>
    <w:rsid w:val="00F73967"/>
    <w:rsid w:val="00F7397E"/>
    <w:rsid w:val="00F73CC2"/>
    <w:rsid w:val="00F751E9"/>
    <w:rsid w:val="00F757C1"/>
    <w:rsid w:val="00F75C43"/>
    <w:rsid w:val="00F76BAE"/>
    <w:rsid w:val="00F76FEE"/>
    <w:rsid w:val="00F771E5"/>
    <w:rsid w:val="00F77484"/>
    <w:rsid w:val="00F775F1"/>
    <w:rsid w:val="00F779A1"/>
    <w:rsid w:val="00F77B8F"/>
    <w:rsid w:val="00F77D33"/>
    <w:rsid w:val="00F807B4"/>
    <w:rsid w:val="00F80B89"/>
    <w:rsid w:val="00F81DA0"/>
    <w:rsid w:val="00F820EB"/>
    <w:rsid w:val="00F8296F"/>
    <w:rsid w:val="00F82B3C"/>
    <w:rsid w:val="00F82C4C"/>
    <w:rsid w:val="00F83034"/>
    <w:rsid w:val="00F831FB"/>
    <w:rsid w:val="00F8320F"/>
    <w:rsid w:val="00F854B0"/>
    <w:rsid w:val="00F8551F"/>
    <w:rsid w:val="00F8579D"/>
    <w:rsid w:val="00F858DD"/>
    <w:rsid w:val="00F85B39"/>
    <w:rsid w:val="00F86078"/>
    <w:rsid w:val="00F860D3"/>
    <w:rsid w:val="00F86437"/>
    <w:rsid w:val="00F866E0"/>
    <w:rsid w:val="00F867A7"/>
    <w:rsid w:val="00F867E4"/>
    <w:rsid w:val="00F86CAD"/>
    <w:rsid w:val="00F876D0"/>
    <w:rsid w:val="00F876D8"/>
    <w:rsid w:val="00F90240"/>
    <w:rsid w:val="00F90274"/>
    <w:rsid w:val="00F90337"/>
    <w:rsid w:val="00F904CE"/>
    <w:rsid w:val="00F908FD"/>
    <w:rsid w:val="00F90AF1"/>
    <w:rsid w:val="00F9120C"/>
    <w:rsid w:val="00F91364"/>
    <w:rsid w:val="00F9181D"/>
    <w:rsid w:val="00F919C3"/>
    <w:rsid w:val="00F91EE2"/>
    <w:rsid w:val="00F92202"/>
    <w:rsid w:val="00F92D96"/>
    <w:rsid w:val="00F92F50"/>
    <w:rsid w:val="00F93213"/>
    <w:rsid w:val="00F937C7"/>
    <w:rsid w:val="00F93AD0"/>
    <w:rsid w:val="00F93F51"/>
    <w:rsid w:val="00F941B9"/>
    <w:rsid w:val="00F942D2"/>
    <w:rsid w:val="00F9452F"/>
    <w:rsid w:val="00F94AFC"/>
    <w:rsid w:val="00F94BEC"/>
    <w:rsid w:val="00F94DC5"/>
    <w:rsid w:val="00F94E28"/>
    <w:rsid w:val="00F95235"/>
    <w:rsid w:val="00F9523E"/>
    <w:rsid w:val="00F95A0F"/>
    <w:rsid w:val="00F95D2E"/>
    <w:rsid w:val="00F960FC"/>
    <w:rsid w:val="00F9678A"/>
    <w:rsid w:val="00F96BDE"/>
    <w:rsid w:val="00F97115"/>
    <w:rsid w:val="00F97257"/>
    <w:rsid w:val="00F9739B"/>
    <w:rsid w:val="00F9743B"/>
    <w:rsid w:val="00F97B72"/>
    <w:rsid w:val="00F97EC5"/>
    <w:rsid w:val="00FA03F0"/>
    <w:rsid w:val="00FA04E5"/>
    <w:rsid w:val="00FA0526"/>
    <w:rsid w:val="00FA05F4"/>
    <w:rsid w:val="00FA088D"/>
    <w:rsid w:val="00FA08FA"/>
    <w:rsid w:val="00FA1441"/>
    <w:rsid w:val="00FA1573"/>
    <w:rsid w:val="00FA2836"/>
    <w:rsid w:val="00FA3855"/>
    <w:rsid w:val="00FA439B"/>
    <w:rsid w:val="00FA441E"/>
    <w:rsid w:val="00FA4720"/>
    <w:rsid w:val="00FA4D0A"/>
    <w:rsid w:val="00FA5465"/>
    <w:rsid w:val="00FA60D6"/>
    <w:rsid w:val="00FA616D"/>
    <w:rsid w:val="00FA6E2F"/>
    <w:rsid w:val="00FA6ECD"/>
    <w:rsid w:val="00FA6FFE"/>
    <w:rsid w:val="00FA713A"/>
    <w:rsid w:val="00FA7401"/>
    <w:rsid w:val="00FA7414"/>
    <w:rsid w:val="00FA74EE"/>
    <w:rsid w:val="00FA7737"/>
    <w:rsid w:val="00FB061D"/>
    <w:rsid w:val="00FB08E9"/>
    <w:rsid w:val="00FB0DC4"/>
    <w:rsid w:val="00FB0EBA"/>
    <w:rsid w:val="00FB16B4"/>
    <w:rsid w:val="00FB1858"/>
    <w:rsid w:val="00FB19D9"/>
    <w:rsid w:val="00FB1B51"/>
    <w:rsid w:val="00FB234D"/>
    <w:rsid w:val="00FB2885"/>
    <w:rsid w:val="00FB3705"/>
    <w:rsid w:val="00FB380C"/>
    <w:rsid w:val="00FB42B0"/>
    <w:rsid w:val="00FB4843"/>
    <w:rsid w:val="00FB4D24"/>
    <w:rsid w:val="00FB4E3B"/>
    <w:rsid w:val="00FB51C9"/>
    <w:rsid w:val="00FB5260"/>
    <w:rsid w:val="00FB5849"/>
    <w:rsid w:val="00FC013D"/>
    <w:rsid w:val="00FC1468"/>
    <w:rsid w:val="00FC1B74"/>
    <w:rsid w:val="00FC2D3D"/>
    <w:rsid w:val="00FC2DC3"/>
    <w:rsid w:val="00FC3622"/>
    <w:rsid w:val="00FC39A9"/>
    <w:rsid w:val="00FC39B3"/>
    <w:rsid w:val="00FC39ED"/>
    <w:rsid w:val="00FC3BC2"/>
    <w:rsid w:val="00FC4153"/>
    <w:rsid w:val="00FC49A6"/>
    <w:rsid w:val="00FC4D33"/>
    <w:rsid w:val="00FC4DBB"/>
    <w:rsid w:val="00FC51F0"/>
    <w:rsid w:val="00FC54FE"/>
    <w:rsid w:val="00FC55F7"/>
    <w:rsid w:val="00FC5CA3"/>
    <w:rsid w:val="00FC5E54"/>
    <w:rsid w:val="00FC5FD9"/>
    <w:rsid w:val="00FC6024"/>
    <w:rsid w:val="00FC6781"/>
    <w:rsid w:val="00FC6C8F"/>
    <w:rsid w:val="00FC744C"/>
    <w:rsid w:val="00FC750B"/>
    <w:rsid w:val="00FC7A08"/>
    <w:rsid w:val="00FD0226"/>
    <w:rsid w:val="00FD0671"/>
    <w:rsid w:val="00FD0767"/>
    <w:rsid w:val="00FD09E6"/>
    <w:rsid w:val="00FD0D29"/>
    <w:rsid w:val="00FD0E9F"/>
    <w:rsid w:val="00FD0F85"/>
    <w:rsid w:val="00FD0FCF"/>
    <w:rsid w:val="00FD1857"/>
    <w:rsid w:val="00FD18C3"/>
    <w:rsid w:val="00FD1C47"/>
    <w:rsid w:val="00FD1D91"/>
    <w:rsid w:val="00FD1DDD"/>
    <w:rsid w:val="00FD1EFF"/>
    <w:rsid w:val="00FD2023"/>
    <w:rsid w:val="00FD3314"/>
    <w:rsid w:val="00FD37C3"/>
    <w:rsid w:val="00FD39BA"/>
    <w:rsid w:val="00FD3A00"/>
    <w:rsid w:val="00FD4ACD"/>
    <w:rsid w:val="00FD504E"/>
    <w:rsid w:val="00FD51C7"/>
    <w:rsid w:val="00FD5984"/>
    <w:rsid w:val="00FD5E18"/>
    <w:rsid w:val="00FD60EE"/>
    <w:rsid w:val="00FD61BD"/>
    <w:rsid w:val="00FD62E0"/>
    <w:rsid w:val="00FD6312"/>
    <w:rsid w:val="00FD6603"/>
    <w:rsid w:val="00FD696D"/>
    <w:rsid w:val="00FD6C0F"/>
    <w:rsid w:val="00FD7878"/>
    <w:rsid w:val="00FD7E18"/>
    <w:rsid w:val="00FE00D9"/>
    <w:rsid w:val="00FE07A3"/>
    <w:rsid w:val="00FE0CA3"/>
    <w:rsid w:val="00FE0E09"/>
    <w:rsid w:val="00FE1975"/>
    <w:rsid w:val="00FE1B65"/>
    <w:rsid w:val="00FE1C24"/>
    <w:rsid w:val="00FE1F28"/>
    <w:rsid w:val="00FE2834"/>
    <w:rsid w:val="00FE2C5F"/>
    <w:rsid w:val="00FE2E0C"/>
    <w:rsid w:val="00FE2FE0"/>
    <w:rsid w:val="00FE3563"/>
    <w:rsid w:val="00FE365E"/>
    <w:rsid w:val="00FE3CEC"/>
    <w:rsid w:val="00FE3EF3"/>
    <w:rsid w:val="00FE47CB"/>
    <w:rsid w:val="00FE4B4E"/>
    <w:rsid w:val="00FE4E52"/>
    <w:rsid w:val="00FE59E8"/>
    <w:rsid w:val="00FE5B44"/>
    <w:rsid w:val="00FE5D63"/>
    <w:rsid w:val="00FE6355"/>
    <w:rsid w:val="00FE713F"/>
    <w:rsid w:val="00FE71E0"/>
    <w:rsid w:val="00FE74B5"/>
    <w:rsid w:val="00FE7A41"/>
    <w:rsid w:val="00FF02B2"/>
    <w:rsid w:val="00FF058B"/>
    <w:rsid w:val="00FF0AB5"/>
    <w:rsid w:val="00FF0F1C"/>
    <w:rsid w:val="00FF1015"/>
    <w:rsid w:val="00FF16D0"/>
    <w:rsid w:val="00FF1CB1"/>
    <w:rsid w:val="00FF1F7F"/>
    <w:rsid w:val="00FF26C2"/>
    <w:rsid w:val="00FF2EB2"/>
    <w:rsid w:val="00FF33A2"/>
    <w:rsid w:val="00FF3635"/>
    <w:rsid w:val="00FF3747"/>
    <w:rsid w:val="00FF3B79"/>
    <w:rsid w:val="00FF44EB"/>
    <w:rsid w:val="00FF4877"/>
    <w:rsid w:val="00FF4DB8"/>
    <w:rsid w:val="00FF4F39"/>
    <w:rsid w:val="00FF5611"/>
    <w:rsid w:val="00FF56EF"/>
    <w:rsid w:val="00FF6348"/>
    <w:rsid w:val="00FF6AB6"/>
    <w:rsid w:val="00FF6B41"/>
    <w:rsid w:val="00FF72C1"/>
    <w:rsid w:val="00FF76EA"/>
    <w:rsid w:val="00FF7DE8"/>
    <w:rsid w:val="014448B9"/>
    <w:rsid w:val="01B240F0"/>
    <w:rsid w:val="021A47E1"/>
    <w:rsid w:val="03524080"/>
    <w:rsid w:val="0419142B"/>
    <w:rsid w:val="0544323A"/>
    <w:rsid w:val="07934570"/>
    <w:rsid w:val="07FA25BC"/>
    <w:rsid w:val="09D93C0F"/>
    <w:rsid w:val="09E477FC"/>
    <w:rsid w:val="0B8653CE"/>
    <w:rsid w:val="0CBB7EB3"/>
    <w:rsid w:val="0D406215"/>
    <w:rsid w:val="0E375AD3"/>
    <w:rsid w:val="0F0F371E"/>
    <w:rsid w:val="0F6753A2"/>
    <w:rsid w:val="12E85C10"/>
    <w:rsid w:val="132157E3"/>
    <w:rsid w:val="13C804F0"/>
    <w:rsid w:val="145F564B"/>
    <w:rsid w:val="151B259E"/>
    <w:rsid w:val="17CA1104"/>
    <w:rsid w:val="191506E7"/>
    <w:rsid w:val="1A2C7E3B"/>
    <w:rsid w:val="1A96680E"/>
    <w:rsid w:val="1AEA67FA"/>
    <w:rsid w:val="1B932BEF"/>
    <w:rsid w:val="1C9C1381"/>
    <w:rsid w:val="1D3257BA"/>
    <w:rsid w:val="1D3333F1"/>
    <w:rsid w:val="1D4951D2"/>
    <w:rsid w:val="1DE26FD4"/>
    <w:rsid w:val="1F770F18"/>
    <w:rsid w:val="212B5F63"/>
    <w:rsid w:val="2226506A"/>
    <w:rsid w:val="223D2FF8"/>
    <w:rsid w:val="22AA152E"/>
    <w:rsid w:val="236B60D3"/>
    <w:rsid w:val="24324F5E"/>
    <w:rsid w:val="248C527D"/>
    <w:rsid w:val="252F4919"/>
    <w:rsid w:val="2556539A"/>
    <w:rsid w:val="261253E8"/>
    <w:rsid w:val="27885BC9"/>
    <w:rsid w:val="284110B6"/>
    <w:rsid w:val="294C5F8F"/>
    <w:rsid w:val="2C1C4904"/>
    <w:rsid w:val="2CE846DC"/>
    <w:rsid w:val="2F502F5D"/>
    <w:rsid w:val="2FC66277"/>
    <w:rsid w:val="300C30E8"/>
    <w:rsid w:val="306151DE"/>
    <w:rsid w:val="30834AFB"/>
    <w:rsid w:val="309F072D"/>
    <w:rsid w:val="30BE0B26"/>
    <w:rsid w:val="31A9186F"/>
    <w:rsid w:val="322609A7"/>
    <w:rsid w:val="335B2D33"/>
    <w:rsid w:val="336932DD"/>
    <w:rsid w:val="347F1726"/>
    <w:rsid w:val="3509164C"/>
    <w:rsid w:val="37CB61A5"/>
    <w:rsid w:val="3A8C7ABE"/>
    <w:rsid w:val="3B15281B"/>
    <w:rsid w:val="3C2C2C25"/>
    <w:rsid w:val="3C485FFF"/>
    <w:rsid w:val="3E0E156F"/>
    <w:rsid w:val="3E2D2C9A"/>
    <w:rsid w:val="3FD45640"/>
    <w:rsid w:val="40717ADD"/>
    <w:rsid w:val="41957197"/>
    <w:rsid w:val="43821597"/>
    <w:rsid w:val="447172D5"/>
    <w:rsid w:val="45D554A8"/>
    <w:rsid w:val="465C05E6"/>
    <w:rsid w:val="46820E06"/>
    <w:rsid w:val="499D618E"/>
    <w:rsid w:val="4B360114"/>
    <w:rsid w:val="4C870EEE"/>
    <w:rsid w:val="4C8756A0"/>
    <w:rsid w:val="4D766FE4"/>
    <w:rsid w:val="4F714FE0"/>
    <w:rsid w:val="4FF54569"/>
    <w:rsid w:val="500C6B0F"/>
    <w:rsid w:val="50DB7739"/>
    <w:rsid w:val="52B05B55"/>
    <w:rsid w:val="53326AE3"/>
    <w:rsid w:val="5386149C"/>
    <w:rsid w:val="57111D70"/>
    <w:rsid w:val="58F4035D"/>
    <w:rsid w:val="59464F2E"/>
    <w:rsid w:val="5A4D772E"/>
    <w:rsid w:val="5AF80855"/>
    <w:rsid w:val="5C13264C"/>
    <w:rsid w:val="5C4F0595"/>
    <w:rsid w:val="5CC42583"/>
    <w:rsid w:val="5D403E6C"/>
    <w:rsid w:val="5D8B6C11"/>
    <w:rsid w:val="5E561DF1"/>
    <w:rsid w:val="5F1D40E1"/>
    <w:rsid w:val="5FE96B3C"/>
    <w:rsid w:val="643C3794"/>
    <w:rsid w:val="693453D4"/>
    <w:rsid w:val="69C87404"/>
    <w:rsid w:val="6C575EDF"/>
    <w:rsid w:val="71345556"/>
    <w:rsid w:val="72BB134A"/>
    <w:rsid w:val="73252357"/>
    <w:rsid w:val="75BA00BE"/>
    <w:rsid w:val="768967F7"/>
    <w:rsid w:val="798570BA"/>
    <w:rsid w:val="7ABD68CE"/>
    <w:rsid w:val="7C6463E2"/>
    <w:rsid w:val="7D3B2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0" w:name="toc 1" w:locked="1"/>
    <w:lsdException w:uiPriority="0" w:name="toc 2" w:locked="1"/>
    <w:lsdException w:uiPriority="0" w:name="toc 3" w:locked="1"/>
    <w:lsdException w:uiPriority="0" w:name="toc 4" w:locked="1"/>
    <w:lsdException w:qFormat="1" w:unhideWhenUsed="0"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0" w:name="footnote text" w:locked="1"/>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ocked="1"/>
    <w:lsdException w:qFormat="1" w:unhideWhenUsed="0" w:uiPriority="0" w:semiHidden="0" w:name="caption"/>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0" w:semiHidden="0" w:name="annotation reference"/>
    <w:lsdException w:uiPriority="0" w:name="line number" w:locked="1"/>
    <w:lsdException w:qFormat="1" w:unhideWhenUsed="0" w:uiPriority="0" w:semiHidden="0" w:name="page number"/>
    <w:lsdException w:uiPriority="0" w:name="endnote reference" w:locked="1"/>
    <w:lsdException w:uiPriority="0" w:name="endnote text" w:locked="1"/>
    <w:lsdException w:unhideWhenUsed="0" w:uiPriority="0" w:semiHidden="0" w:name="table of authorities" w:locked="1"/>
    <w:lsdException w:uiPriority="0" w:name="macro"/>
    <w:lsdException w:uiPriority="0" w:name="toa heading" w:locked="1"/>
    <w:lsdException w:qFormat="1" w:unhideWhenUsed="0" w:uiPriority="0" w:semiHidden="0" w:name="List"/>
    <w:lsdException w:unhideWhenUsed="0" w:uiPriority="0" w:semiHidden="0" w:name="List Bullet"/>
    <w:lsdException w:uiPriority="0" w:name="List Number"/>
    <w:lsdException w:qFormat="1" w:uiPriority="0" w:semiHidden="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nhideWhenUsed="0" w:uiPriority="0" w:semiHidden="0" w:name="List Continue 2" w:locked="1"/>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ocked="1"/>
    <w:lsdException w:uiPriority="0" w:name="Salutation" w:locked="1"/>
    <w:lsdException w:qFormat="1" w:unhideWhenUsed="0" w:uiPriority="0" w:semiHidden="0" w:name="Date"/>
    <w:lsdException w:uiPriority="0" w:name="Body Text First Indent" w:locked="1"/>
    <w:lsdException w:qFormat="1" w:uiPriority="0" w:semiHidden="0" w:name="Body Text First Indent 2" w:locked="1"/>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ocked="1"/>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ocked="1"/>
    <w:lsdException w:qFormat="1" w:unhideWhenUsed="0" w:uiPriority="99"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qFormat="1" w:unhideWhenUsed="0" w:uiPriority="0" w:semiHidden="0" w:name="HTML Preformatted"/>
    <w:lsdException w:uiPriority="0" w:name="HTML Sample" w:locked="1"/>
    <w:lsdException w:uiPriority="0" w:name="HTML Typewriter" w:locked="1"/>
    <w:lsdException w:uiPriority="0" w:name="HTML Variable" w:locked="1"/>
    <w:lsdException w:uiPriority="99" w:name="Normal Table"/>
    <w:lsdException w:qFormat="1" w:unhideWhenUsed="0" w:uiPriority="0" w:semiHidden="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qFormat="1" w:unhideWhenUsed="0" w:uiPriority="0" w:semiHidden="0" w:name="Table Elegant"/>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Arial Unicode MS"/>
      <w:kern w:val="2"/>
      <w:sz w:val="24"/>
      <w:lang w:val="en-US" w:eastAsia="zh-CN" w:bidi="ar-SA"/>
    </w:rPr>
  </w:style>
  <w:style w:type="paragraph" w:styleId="2">
    <w:name w:val="heading 1"/>
    <w:basedOn w:val="1"/>
    <w:next w:val="1"/>
    <w:link w:val="50"/>
    <w:qFormat/>
    <w:uiPriority w:val="9"/>
    <w:pPr>
      <w:keepNext/>
      <w:spacing w:line="360" w:lineRule="auto"/>
      <w:jc w:val="left"/>
      <w:outlineLvl w:val="0"/>
    </w:pPr>
    <w:rPr>
      <w:b/>
      <w:sz w:val="30"/>
    </w:rPr>
  </w:style>
  <w:style w:type="paragraph" w:styleId="3">
    <w:name w:val="heading 2"/>
    <w:basedOn w:val="1"/>
    <w:next w:val="1"/>
    <w:qFormat/>
    <w:uiPriority w:val="0"/>
    <w:pPr>
      <w:keepNext/>
      <w:jc w:val="center"/>
      <w:outlineLvl w:val="1"/>
    </w:pPr>
    <w:rPr>
      <w:spacing w:val="-24"/>
      <w:sz w:val="28"/>
    </w:rPr>
  </w:style>
  <w:style w:type="paragraph" w:styleId="4">
    <w:name w:val="heading 3"/>
    <w:basedOn w:val="1"/>
    <w:next w:val="1"/>
    <w:qFormat/>
    <w:uiPriority w:val="0"/>
    <w:pPr>
      <w:keepNext/>
      <w:keepLines/>
      <w:adjustRightInd w:val="0"/>
      <w:spacing w:before="260" w:after="260"/>
      <w:textAlignment w:val="baseline"/>
      <w:outlineLvl w:val="2"/>
    </w:pPr>
    <w:rPr>
      <w:b/>
      <w:kern w:val="0"/>
      <w:sz w:val="28"/>
      <w:shd w:val="clear" w:color="auto" w:fill="FFFFFF"/>
    </w:rPr>
  </w:style>
  <w:style w:type="paragraph" w:styleId="5">
    <w:name w:val="heading 4"/>
    <w:basedOn w:val="1"/>
    <w:next w:val="1"/>
    <w:link w:val="200"/>
    <w:unhideWhenUsed/>
    <w:qFormat/>
    <w:locked/>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4">
    <w:name w:val="Default Paragraph Font"/>
    <w:semiHidden/>
    <w:unhideWhenUsed/>
    <w:qFormat/>
    <w:uiPriority w:val="1"/>
  </w:style>
  <w:style w:type="table" w:default="1" w:styleId="30">
    <w:name w:val="Normal Table"/>
    <w:semiHidden/>
    <w:unhideWhenUsed/>
    <w:uiPriority w:val="99"/>
    <w:tblPr>
      <w:tblCellMar>
        <w:top w:w="0" w:type="dxa"/>
        <w:left w:w="108" w:type="dxa"/>
        <w:bottom w:w="0" w:type="dxa"/>
        <w:right w:w="108" w:type="dxa"/>
      </w:tblCellMar>
    </w:tblPr>
  </w:style>
  <w:style w:type="paragraph" w:styleId="6">
    <w:name w:val="Note Heading"/>
    <w:basedOn w:val="1"/>
    <w:next w:val="1"/>
    <w:qFormat/>
    <w:uiPriority w:val="0"/>
    <w:pPr>
      <w:jc w:val="center"/>
    </w:pPr>
  </w:style>
  <w:style w:type="paragraph" w:styleId="7">
    <w:name w:val="Normal Indent"/>
    <w:basedOn w:val="1"/>
    <w:link w:val="104"/>
    <w:qFormat/>
    <w:uiPriority w:val="99"/>
    <w:pPr>
      <w:ind w:firstLine="420"/>
    </w:pPr>
  </w:style>
  <w:style w:type="paragraph" w:styleId="8">
    <w:name w:val="caption"/>
    <w:basedOn w:val="1"/>
    <w:next w:val="1"/>
    <w:qFormat/>
    <w:uiPriority w:val="0"/>
    <w:pPr>
      <w:adjustRightInd w:val="0"/>
      <w:snapToGrid w:val="0"/>
      <w:ind w:firstLine="200" w:firstLineChars="200"/>
      <w:jc w:val="center"/>
    </w:pPr>
    <w:rPr>
      <w:rFonts w:eastAsia="Arial" w:cs="楷体_GB2312"/>
    </w:rPr>
  </w:style>
  <w:style w:type="paragraph" w:styleId="9">
    <w:name w:val="Document Map"/>
    <w:basedOn w:val="1"/>
    <w:qFormat/>
    <w:uiPriority w:val="0"/>
    <w:pPr>
      <w:shd w:val="clear" w:color="auto" w:fill="000080"/>
    </w:pPr>
  </w:style>
  <w:style w:type="paragraph" w:styleId="10">
    <w:name w:val="annotation text"/>
    <w:basedOn w:val="1"/>
    <w:link w:val="47"/>
    <w:qFormat/>
    <w:uiPriority w:val="0"/>
    <w:pPr>
      <w:jc w:val="left"/>
    </w:pPr>
  </w:style>
  <w:style w:type="paragraph" w:styleId="11">
    <w:name w:val="Body Text 3"/>
    <w:basedOn w:val="1"/>
    <w:qFormat/>
    <w:uiPriority w:val="0"/>
    <w:pPr>
      <w:spacing w:after="120"/>
    </w:pPr>
    <w:rPr>
      <w:sz w:val="16"/>
    </w:rPr>
  </w:style>
  <w:style w:type="paragraph" w:styleId="12">
    <w:name w:val="Body Text"/>
    <w:basedOn w:val="1"/>
    <w:link w:val="61"/>
    <w:qFormat/>
    <w:uiPriority w:val="0"/>
    <w:pPr>
      <w:spacing w:line="360" w:lineRule="auto"/>
      <w:ind w:firstLine="200" w:firstLineChars="200"/>
    </w:pPr>
  </w:style>
  <w:style w:type="paragraph" w:styleId="13">
    <w:name w:val="Body Text Indent"/>
    <w:basedOn w:val="1"/>
    <w:link w:val="180"/>
    <w:qFormat/>
    <w:uiPriority w:val="0"/>
    <w:pPr>
      <w:spacing w:line="360" w:lineRule="auto"/>
      <w:ind w:firstLine="480" w:firstLineChars="200"/>
    </w:pPr>
  </w:style>
  <w:style w:type="paragraph" w:styleId="14">
    <w:name w:val="List 2"/>
    <w:basedOn w:val="1"/>
    <w:unhideWhenUsed/>
    <w:qFormat/>
    <w:locked/>
    <w:uiPriority w:val="0"/>
    <w:pPr>
      <w:ind w:left="100" w:leftChars="200" w:hanging="200" w:hangingChars="200"/>
      <w:contextualSpacing/>
    </w:pPr>
  </w:style>
  <w:style w:type="paragraph" w:styleId="15">
    <w:name w:val="Block Text"/>
    <w:basedOn w:val="1"/>
    <w:qFormat/>
    <w:uiPriority w:val="0"/>
    <w:pPr>
      <w:spacing w:line="320" w:lineRule="exact"/>
      <w:ind w:left="113" w:right="113"/>
      <w:jc w:val="center"/>
    </w:pPr>
    <w:rPr>
      <w:b/>
      <w:sz w:val="13"/>
    </w:rPr>
  </w:style>
  <w:style w:type="paragraph" w:styleId="16">
    <w:name w:val="toc 5"/>
    <w:basedOn w:val="1"/>
    <w:next w:val="1"/>
    <w:semiHidden/>
    <w:qFormat/>
    <w:locked/>
    <w:uiPriority w:val="0"/>
    <w:pPr>
      <w:widowControl/>
      <w:adjustRightInd w:val="0"/>
      <w:snapToGrid w:val="0"/>
      <w:spacing w:line="360" w:lineRule="auto"/>
      <w:ind w:left="840" w:firstLine="560" w:firstLineChars="200"/>
      <w:jc w:val="left"/>
    </w:pPr>
    <w:rPr>
      <w:rFonts w:eastAsia="仿宋_GB2312" w:cs="Times New Roman"/>
      <w:color w:val="000000"/>
      <w:sz w:val="20"/>
    </w:rPr>
  </w:style>
  <w:style w:type="paragraph" w:styleId="17">
    <w:name w:val="Plain Text"/>
    <w:basedOn w:val="1"/>
    <w:link w:val="56"/>
    <w:qFormat/>
    <w:uiPriority w:val="0"/>
    <w:rPr>
      <w:rFonts w:ascii="等线" w:hAnsi="Wingdings 2"/>
    </w:rPr>
  </w:style>
  <w:style w:type="paragraph" w:styleId="18">
    <w:name w:val="Date"/>
    <w:basedOn w:val="1"/>
    <w:next w:val="1"/>
    <w:qFormat/>
    <w:uiPriority w:val="0"/>
  </w:style>
  <w:style w:type="paragraph" w:styleId="19">
    <w:name w:val="Body Text Indent 2"/>
    <w:basedOn w:val="1"/>
    <w:qFormat/>
    <w:uiPriority w:val="0"/>
    <w:pPr>
      <w:spacing w:line="460" w:lineRule="exact"/>
      <w:ind w:left="660"/>
    </w:pPr>
  </w:style>
  <w:style w:type="paragraph" w:styleId="20">
    <w:name w:val="Balloon Text"/>
    <w:basedOn w:val="1"/>
    <w:link w:val="52"/>
    <w:qFormat/>
    <w:uiPriority w:val="99"/>
    <w:rPr>
      <w:sz w:val="18"/>
    </w:rPr>
  </w:style>
  <w:style w:type="paragraph" w:styleId="21">
    <w:name w:val="footer"/>
    <w:basedOn w:val="1"/>
    <w:link w:val="42"/>
    <w:qFormat/>
    <w:uiPriority w:val="99"/>
    <w:pPr>
      <w:tabs>
        <w:tab w:val="center" w:pos="4153"/>
        <w:tab w:val="right" w:pos="8306"/>
      </w:tabs>
      <w:snapToGrid w:val="0"/>
      <w:jc w:val="left"/>
    </w:pPr>
    <w:rPr>
      <w:sz w:val="18"/>
    </w:rPr>
  </w:style>
  <w:style w:type="paragraph" w:styleId="22">
    <w:name w:val="header"/>
    <w:basedOn w:val="1"/>
    <w:link w:val="88"/>
    <w:qFormat/>
    <w:uiPriority w:val="99"/>
    <w:pPr>
      <w:pBdr>
        <w:bottom w:val="single" w:color="auto" w:sz="6" w:space="1"/>
      </w:pBdr>
      <w:tabs>
        <w:tab w:val="center" w:pos="4153"/>
        <w:tab w:val="right" w:pos="8306"/>
      </w:tabs>
      <w:snapToGrid w:val="0"/>
      <w:jc w:val="center"/>
    </w:pPr>
    <w:rPr>
      <w:sz w:val="18"/>
    </w:rPr>
  </w:style>
  <w:style w:type="paragraph" w:styleId="23">
    <w:name w:val="List"/>
    <w:basedOn w:val="1"/>
    <w:link w:val="55"/>
    <w:qFormat/>
    <w:uiPriority w:val="0"/>
    <w:pPr>
      <w:ind w:left="200" w:hanging="200" w:hangingChars="200"/>
    </w:pPr>
  </w:style>
  <w:style w:type="paragraph" w:styleId="24">
    <w:name w:val="Body Text Indent 3"/>
    <w:basedOn w:val="1"/>
    <w:qFormat/>
    <w:uiPriority w:val="0"/>
    <w:pPr>
      <w:spacing w:line="460" w:lineRule="exact"/>
      <w:ind w:left="479" w:leftChars="228" w:firstLine="360" w:firstLineChars="150"/>
    </w:pPr>
  </w:style>
  <w:style w:type="paragraph" w:styleId="25">
    <w:name w:val="Body Text 2"/>
    <w:basedOn w:val="1"/>
    <w:qFormat/>
    <w:uiPriority w:val="0"/>
    <w:pPr>
      <w:spacing w:line="360" w:lineRule="auto"/>
    </w:pPr>
    <w:rPr>
      <w:b/>
      <w:caps/>
    </w:rPr>
  </w:style>
  <w:style w:type="paragraph" w:styleId="2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楷体_GB2312" w:hAnsi="楷体_GB2312"/>
      <w:kern w:val="0"/>
    </w:rPr>
  </w:style>
  <w:style w:type="paragraph" w:styleId="27">
    <w:name w:val="Normal (Web)"/>
    <w:basedOn w:val="1"/>
    <w:qFormat/>
    <w:uiPriority w:val="99"/>
    <w:pPr>
      <w:widowControl/>
      <w:spacing w:before="100" w:beforeAutospacing="1" w:after="100" w:afterAutospacing="1"/>
      <w:jc w:val="left"/>
    </w:pPr>
    <w:rPr>
      <w:rFonts w:ascii="等线" w:hAnsi="等线"/>
      <w:kern w:val="0"/>
    </w:rPr>
  </w:style>
  <w:style w:type="paragraph" w:styleId="28">
    <w:name w:val="annotation subject"/>
    <w:basedOn w:val="10"/>
    <w:next w:val="10"/>
    <w:qFormat/>
    <w:uiPriority w:val="0"/>
    <w:rPr>
      <w:b/>
    </w:rPr>
  </w:style>
  <w:style w:type="paragraph" w:styleId="29">
    <w:name w:val="Body Text First Indent 2"/>
    <w:basedOn w:val="13"/>
    <w:link w:val="196"/>
    <w:unhideWhenUsed/>
    <w:qFormat/>
    <w:locked/>
    <w:uiPriority w:val="0"/>
    <w:pPr>
      <w:spacing w:after="120" w:line="240" w:lineRule="auto"/>
      <w:ind w:left="420" w:leftChars="200" w:firstLine="420"/>
    </w:pPr>
    <w:rPr>
      <w:sz w:val="21"/>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2">
    <w:name w:val="Table Theme"/>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3">
    <w:name w:val="Table Elegant"/>
    <w:basedOn w:val="30"/>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rFonts w:cs="Times New Roman"/>
        <w:caps/>
        <w:color w:val="auto"/>
      </w:rPr>
      <w:tblPr/>
      <w:tcPr>
        <w:tcBorders>
          <w:top w:val="nil"/>
          <w:left w:val="nil"/>
          <w:bottom w:val="nil"/>
          <w:right w:val="nil"/>
          <w:insideH w:val="nil"/>
          <w:insideV w:val="nil"/>
          <w:tl2br w:val="nil"/>
          <w:tr2bl w:val="nil"/>
        </w:tcBorders>
      </w:tcPr>
    </w:tblStylePr>
  </w:style>
  <w:style w:type="character" w:styleId="35">
    <w:name w:val="Strong"/>
    <w:qFormat/>
    <w:uiPriority w:val="0"/>
    <w:rPr>
      <w:b/>
    </w:rPr>
  </w:style>
  <w:style w:type="character" w:styleId="36">
    <w:name w:val="page number"/>
    <w:qFormat/>
    <w:uiPriority w:val="0"/>
    <w:rPr>
      <w:rFonts w:cs="Arial Unicode MS"/>
    </w:rPr>
  </w:style>
  <w:style w:type="character" w:styleId="37">
    <w:name w:val="FollowedHyperlink"/>
    <w:qFormat/>
    <w:locked/>
    <w:uiPriority w:val="0"/>
    <w:rPr>
      <w:color w:val="800080"/>
      <w:u w:val="single"/>
    </w:rPr>
  </w:style>
  <w:style w:type="character" w:styleId="38">
    <w:name w:val="Emphasis"/>
    <w:qFormat/>
    <w:uiPriority w:val="0"/>
    <w:rPr>
      <w:color w:val="CC0000"/>
    </w:rPr>
  </w:style>
  <w:style w:type="character" w:styleId="39">
    <w:name w:val="Hyperlink"/>
    <w:qFormat/>
    <w:uiPriority w:val="0"/>
    <w:rPr>
      <w:color w:val="000000"/>
      <w:u w:val="none"/>
    </w:rPr>
  </w:style>
  <w:style w:type="character" w:styleId="40">
    <w:name w:val="annotation reference"/>
    <w:qFormat/>
    <w:uiPriority w:val="0"/>
    <w:rPr>
      <w:sz w:val="21"/>
    </w:rPr>
  </w:style>
  <w:style w:type="character" w:customStyle="1" w:styleId="41">
    <w:name w:val="15"/>
    <w:qFormat/>
    <w:uiPriority w:val="0"/>
    <w:rPr>
      <w:rFonts w:ascii="永中宋体" w:hAnsi="永中宋体"/>
      <w:sz w:val="24"/>
    </w:rPr>
  </w:style>
  <w:style w:type="character" w:customStyle="1" w:styleId="42">
    <w:name w:val="页脚 字符"/>
    <w:link w:val="21"/>
    <w:qFormat/>
    <w:locked/>
    <w:uiPriority w:val="99"/>
    <w:rPr>
      <w:kern w:val="2"/>
      <w:sz w:val="18"/>
    </w:rPr>
  </w:style>
  <w:style w:type="character" w:customStyle="1" w:styleId="43">
    <w:name w:val="样式5 Char"/>
    <w:link w:val="44"/>
    <w:qFormat/>
    <w:locked/>
    <w:uiPriority w:val="0"/>
    <w:rPr>
      <w:sz w:val="24"/>
    </w:rPr>
  </w:style>
  <w:style w:type="paragraph" w:customStyle="1" w:styleId="44">
    <w:name w:val="样式5"/>
    <w:basedOn w:val="1"/>
    <w:link w:val="43"/>
    <w:qFormat/>
    <w:uiPriority w:val="0"/>
    <w:pPr>
      <w:spacing w:line="360" w:lineRule="auto"/>
      <w:ind w:firstLine="1446" w:firstLineChars="200"/>
    </w:pPr>
    <w:rPr>
      <w:kern w:val="0"/>
    </w:rPr>
  </w:style>
  <w:style w:type="character" w:customStyle="1" w:styleId="45">
    <w:name w:val="表格内容 Char"/>
    <w:link w:val="46"/>
    <w:qFormat/>
    <w:locked/>
    <w:uiPriority w:val="0"/>
    <w:rPr>
      <w:sz w:val="21"/>
    </w:rPr>
  </w:style>
  <w:style w:type="paragraph" w:customStyle="1" w:styleId="46">
    <w:name w:val="表格内容"/>
    <w:basedOn w:val="7"/>
    <w:next w:val="7"/>
    <w:link w:val="45"/>
    <w:qFormat/>
    <w:uiPriority w:val="0"/>
    <w:pPr>
      <w:adjustRightInd w:val="0"/>
      <w:snapToGrid w:val="0"/>
      <w:ind w:firstLine="0"/>
      <w:jc w:val="center"/>
    </w:pPr>
    <w:rPr>
      <w:kern w:val="0"/>
    </w:rPr>
  </w:style>
  <w:style w:type="character" w:customStyle="1" w:styleId="47">
    <w:name w:val="批注文字 字符"/>
    <w:link w:val="10"/>
    <w:qFormat/>
    <w:locked/>
    <w:uiPriority w:val="0"/>
    <w:rPr>
      <w:kern w:val="2"/>
      <w:sz w:val="21"/>
    </w:rPr>
  </w:style>
  <w:style w:type="character" w:customStyle="1" w:styleId="48">
    <w:name w:val="样式 标题 2标题2节标题1.1H2h2第一层条4.1二级标题标题 lxb2二级标题 Char表标题单位... Char"/>
    <w:link w:val="49"/>
    <w:qFormat/>
    <w:locked/>
    <w:uiPriority w:val="0"/>
    <w:rPr>
      <w:rFonts w:eastAsia="等线"/>
      <w:b/>
      <w:sz w:val="28"/>
      <w:lang w:val="en-US" w:eastAsia="zh-CN"/>
    </w:rPr>
  </w:style>
  <w:style w:type="paragraph" w:customStyle="1" w:styleId="49">
    <w:name w:val="样式 标题 2标题2节标题1.1H2h2第一层条4.1二级标题标题 lxb2二级标题 Char表标题单位..."/>
    <w:basedOn w:val="3"/>
    <w:link w:val="48"/>
    <w:qFormat/>
    <w:uiPriority w:val="0"/>
    <w:pPr>
      <w:keepLines/>
      <w:adjustRightInd w:val="0"/>
      <w:spacing w:before="260" w:after="260"/>
      <w:jc w:val="left"/>
      <w:textAlignment w:val="baseline"/>
    </w:pPr>
    <w:rPr>
      <w:rFonts w:cs="等线"/>
      <w:b/>
      <w:bCs/>
      <w:spacing w:val="0"/>
      <w:kern w:val="0"/>
    </w:rPr>
  </w:style>
  <w:style w:type="character" w:customStyle="1" w:styleId="50">
    <w:name w:val="标题 1 字符"/>
    <w:link w:val="2"/>
    <w:qFormat/>
    <w:locked/>
    <w:uiPriority w:val="9"/>
    <w:rPr>
      <w:rFonts w:ascii="Times New Roman" w:hAnsi="Times New Roman" w:eastAsia="宋体"/>
      <w:b/>
      <w:kern w:val="2"/>
      <w:sz w:val="30"/>
    </w:rPr>
  </w:style>
  <w:style w:type="character" w:customStyle="1" w:styleId="51">
    <w:name w:val="unnamed31"/>
    <w:qFormat/>
    <w:uiPriority w:val="0"/>
    <w:rPr>
      <w:rFonts w:cs="Arial Unicode MS"/>
    </w:rPr>
  </w:style>
  <w:style w:type="character" w:customStyle="1" w:styleId="52">
    <w:name w:val="批注框文本 字符"/>
    <w:link w:val="20"/>
    <w:qFormat/>
    <w:locked/>
    <w:uiPriority w:val="99"/>
    <w:rPr>
      <w:rFonts w:eastAsia="等线"/>
      <w:kern w:val="2"/>
      <w:sz w:val="18"/>
      <w:lang w:val="en-US" w:eastAsia="zh-CN"/>
    </w:rPr>
  </w:style>
  <w:style w:type="character" w:customStyle="1" w:styleId="53">
    <w:name w:val="报告表格 Char"/>
    <w:link w:val="54"/>
    <w:qFormat/>
    <w:locked/>
    <w:uiPriority w:val="0"/>
    <w:rPr>
      <w:sz w:val="21"/>
    </w:rPr>
  </w:style>
  <w:style w:type="paragraph" w:customStyle="1" w:styleId="54">
    <w:name w:val="报告表格"/>
    <w:basedOn w:val="1"/>
    <w:link w:val="53"/>
    <w:qFormat/>
    <w:uiPriority w:val="0"/>
    <w:pPr>
      <w:autoSpaceDE w:val="0"/>
      <w:autoSpaceDN w:val="0"/>
      <w:adjustRightInd w:val="0"/>
      <w:spacing w:before="40" w:after="40"/>
      <w:jc w:val="center"/>
      <w:textAlignment w:val="bottom"/>
    </w:pPr>
    <w:rPr>
      <w:kern w:val="0"/>
    </w:rPr>
  </w:style>
  <w:style w:type="character" w:customStyle="1" w:styleId="55">
    <w:name w:val="列表 字符"/>
    <w:link w:val="23"/>
    <w:qFormat/>
    <w:locked/>
    <w:uiPriority w:val="0"/>
    <w:rPr>
      <w:kern w:val="2"/>
      <w:sz w:val="21"/>
    </w:rPr>
  </w:style>
  <w:style w:type="character" w:customStyle="1" w:styleId="56">
    <w:name w:val="纯文本 字符"/>
    <w:link w:val="17"/>
    <w:qFormat/>
    <w:locked/>
    <w:uiPriority w:val="0"/>
    <w:rPr>
      <w:rFonts w:ascii="等线" w:hAnsi="Wingdings 2" w:eastAsia="等线"/>
      <w:kern w:val="2"/>
      <w:sz w:val="21"/>
      <w:lang w:val="en-US" w:eastAsia="zh-CN"/>
    </w:rPr>
  </w:style>
  <w:style w:type="character" w:customStyle="1" w:styleId="57">
    <w:name w:val="德胜表格内容 Char"/>
    <w:link w:val="58"/>
    <w:qFormat/>
    <w:locked/>
    <w:uiPriority w:val="0"/>
    <w:rPr>
      <w:snapToGrid w:val="0"/>
      <w:color w:val="0000FF"/>
      <w:sz w:val="21"/>
    </w:rPr>
  </w:style>
  <w:style w:type="paragraph" w:customStyle="1" w:styleId="58">
    <w:name w:val="德胜表格内容"/>
    <w:basedOn w:val="1"/>
    <w:link w:val="57"/>
    <w:qFormat/>
    <w:uiPriority w:val="0"/>
    <w:pPr>
      <w:adjustRightInd w:val="0"/>
      <w:snapToGrid w:val="0"/>
      <w:spacing w:line="360" w:lineRule="auto"/>
      <w:jc w:val="center"/>
    </w:pPr>
    <w:rPr>
      <w:color w:val="0000FF"/>
      <w:kern w:val="0"/>
      <w:szCs w:val="21"/>
    </w:rPr>
  </w:style>
  <w:style w:type="character" w:customStyle="1" w:styleId="59">
    <w:name w:val="表格正文(康健城) Char"/>
    <w:link w:val="60"/>
    <w:qFormat/>
    <w:uiPriority w:val="0"/>
    <w:rPr>
      <w:kern w:val="2"/>
      <w:sz w:val="21"/>
      <w:szCs w:val="21"/>
    </w:rPr>
  </w:style>
  <w:style w:type="paragraph" w:customStyle="1" w:styleId="60">
    <w:name w:val="表格正文(康健城)"/>
    <w:basedOn w:val="1"/>
    <w:link w:val="59"/>
    <w:qFormat/>
    <w:uiPriority w:val="0"/>
    <w:pPr>
      <w:adjustRightInd w:val="0"/>
      <w:snapToGrid w:val="0"/>
      <w:jc w:val="center"/>
    </w:pPr>
    <w:rPr>
      <w:szCs w:val="21"/>
    </w:rPr>
  </w:style>
  <w:style w:type="character" w:customStyle="1" w:styleId="61">
    <w:name w:val="正文文本 字符"/>
    <w:link w:val="12"/>
    <w:qFormat/>
    <w:locked/>
    <w:uiPriority w:val="0"/>
    <w:rPr>
      <w:rFonts w:ascii="Times New Roman" w:hAnsi="Times New Roman" w:eastAsia="宋体"/>
      <w:kern w:val="2"/>
      <w:sz w:val="24"/>
    </w:rPr>
  </w:style>
  <w:style w:type="character" w:customStyle="1" w:styleId="62">
    <w:name w:val="表格左齐 Char"/>
    <w:link w:val="63"/>
    <w:qFormat/>
    <w:locked/>
    <w:uiPriority w:val="0"/>
    <w:rPr>
      <w:rFonts w:ascii="Yu Mincho Light" w:hAnsi="楷体_GB2312" w:eastAsia="Yu Mincho Light"/>
      <w:color w:val="000000"/>
      <w:kern w:val="2"/>
      <w:sz w:val="24"/>
    </w:rPr>
  </w:style>
  <w:style w:type="paragraph" w:customStyle="1" w:styleId="63">
    <w:name w:val="表格左齐"/>
    <w:basedOn w:val="1"/>
    <w:link w:val="62"/>
    <w:qFormat/>
    <w:uiPriority w:val="0"/>
    <w:pPr>
      <w:adjustRightInd w:val="0"/>
      <w:snapToGrid w:val="0"/>
      <w:ind w:left="10" w:leftChars="10"/>
    </w:pPr>
    <w:rPr>
      <w:rFonts w:ascii="Yu Mincho Light" w:hAnsi="楷体_GB2312" w:eastAsia="Yu Mincho Light"/>
      <w:color w:val="000000"/>
      <w:szCs w:val="24"/>
    </w:rPr>
  </w:style>
  <w:style w:type="character" w:customStyle="1" w:styleId="64">
    <w:name w:val="正文-1 Char"/>
    <w:link w:val="65"/>
    <w:qFormat/>
    <w:locked/>
    <w:uiPriority w:val="0"/>
    <w:rPr>
      <w:kern w:val="2"/>
      <w:sz w:val="24"/>
      <w:lang w:val="en-US" w:eastAsia="zh-CN"/>
    </w:rPr>
  </w:style>
  <w:style w:type="paragraph" w:customStyle="1" w:styleId="65">
    <w:name w:val="正文-1"/>
    <w:link w:val="64"/>
    <w:qFormat/>
    <w:uiPriority w:val="0"/>
    <w:pPr>
      <w:spacing w:line="480" w:lineRule="exact"/>
      <w:ind w:firstLine="200" w:firstLineChars="200"/>
      <w:jc w:val="both"/>
    </w:pPr>
    <w:rPr>
      <w:rFonts w:ascii="Arial Unicode MS" w:hAnsi="Arial Unicode MS" w:eastAsia="等线" w:cs="等线"/>
      <w:kern w:val="2"/>
      <w:sz w:val="24"/>
      <w:lang w:val="en-US" w:eastAsia="zh-CN" w:bidi="ar-SA"/>
    </w:rPr>
  </w:style>
  <w:style w:type="character" w:customStyle="1" w:styleId="66">
    <w:name w:val="正文01 Char"/>
    <w:link w:val="67"/>
    <w:qFormat/>
    <w:locked/>
    <w:uiPriority w:val="0"/>
    <w:rPr>
      <w:sz w:val="24"/>
    </w:rPr>
  </w:style>
  <w:style w:type="paragraph" w:customStyle="1" w:styleId="67">
    <w:name w:val="正文01"/>
    <w:basedOn w:val="1"/>
    <w:link w:val="66"/>
    <w:qFormat/>
    <w:uiPriority w:val="0"/>
    <w:pPr>
      <w:widowControl/>
      <w:spacing w:line="460" w:lineRule="exact"/>
      <w:jc w:val="left"/>
    </w:pPr>
    <w:rPr>
      <w:kern w:val="0"/>
      <w:szCs w:val="24"/>
    </w:rPr>
  </w:style>
  <w:style w:type="character" w:customStyle="1" w:styleId="68">
    <w:name w:val="apple-style-span"/>
    <w:qFormat/>
    <w:uiPriority w:val="0"/>
    <w:rPr>
      <w:rFonts w:cs="Arial Unicode MS"/>
    </w:rPr>
  </w:style>
  <w:style w:type="character" w:customStyle="1" w:styleId="69">
    <w:name w:val="正文格式 Char"/>
    <w:link w:val="70"/>
    <w:qFormat/>
    <w:uiPriority w:val="0"/>
    <w:rPr>
      <w:rFonts w:eastAsia="Yu Mincho Light"/>
      <w:kern w:val="2"/>
      <w:sz w:val="28"/>
      <w:szCs w:val="28"/>
    </w:rPr>
  </w:style>
  <w:style w:type="paragraph" w:customStyle="1" w:styleId="70">
    <w:name w:val="正文格式"/>
    <w:next w:val="1"/>
    <w:link w:val="69"/>
    <w:qFormat/>
    <w:uiPriority w:val="0"/>
    <w:pPr>
      <w:spacing w:before="156" w:beforeLines="50" w:line="440" w:lineRule="exact"/>
      <w:ind w:firstLine="560" w:firstLineChars="200"/>
    </w:pPr>
    <w:rPr>
      <w:rFonts w:ascii="Arial Unicode MS" w:hAnsi="Arial Unicode MS" w:eastAsia="Yu Mincho Light" w:cs="Arial Unicode MS"/>
      <w:kern w:val="2"/>
      <w:sz w:val="28"/>
      <w:szCs w:val="28"/>
      <w:lang w:val="en-US" w:eastAsia="zh-CN" w:bidi="ar-SA"/>
    </w:rPr>
  </w:style>
  <w:style w:type="character" w:customStyle="1" w:styleId="71">
    <w:name w:val="样式 宋体 小四 行距: 1.5 倍行距 Char"/>
    <w:link w:val="72"/>
    <w:qFormat/>
    <w:locked/>
    <w:uiPriority w:val="0"/>
    <w:rPr>
      <w:rFonts w:eastAsia="等线"/>
      <w:kern w:val="2"/>
      <w:sz w:val="24"/>
      <w:lang w:val="en-US" w:eastAsia="zh-CN"/>
    </w:rPr>
  </w:style>
  <w:style w:type="paragraph" w:customStyle="1" w:styleId="72">
    <w:name w:val="样式 宋体 小四 行距: 1.5 倍行距"/>
    <w:basedOn w:val="1"/>
    <w:link w:val="71"/>
    <w:qFormat/>
    <w:uiPriority w:val="0"/>
    <w:pPr>
      <w:spacing w:line="360" w:lineRule="auto"/>
      <w:ind w:firstLine="480" w:firstLineChars="200"/>
    </w:pPr>
    <w:rPr>
      <w:rFonts w:cs="等线"/>
    </w:rPr>
  </w:style>
  <w:style w:type="character" w:customStyle="1" w:styleId="73">
    <w:name w:val="表格 Char"/>
    <w:link w:val="74"/>
    <w:qFormat/>
    <w:locked/>
    <w:uiPriority w:val="0"/>
    <w:rPr>
      <w:rFonts w:ascii="等线" w:hAnsi="等线" w:eastAsia="等线"/>
      <w:kern w:val="2"/>
      <w:sz w:val="24"/>
      <w:lang w:val="en-US" w:eastAsia="zh-CN"/>
    </w:rPr>
  </w:style>
  <w:style w:type="paragraph" w:customStyle="1" w:styleId="74">
    <w:name w:val="表格"/>
    <w:basedOn w:val="1"/>
    <w:link w:val="73"/>
    <w:qFormat/>
    <w:uiPriority w:val="0"/>
    <w:pPr>
      <w:jc w:val="center"/>
    </w:pPr>
    <w:rPr>
      <w:rFonts w:ascii="等线" w:hAnsi="等线"/>
      <w:szCs w:val="24"/>
    </w:rPr>
  </w:style>
  <w:style w:type="character" w:customStyle="1" w:styleId="75">
    <w:name w:val="正文(康健城) Char"/>
    <w:link w:val="76"/>
    <w:qFormat/>
    <w:locked/>
    <w:uiPriority w:val="0"/>
    <w:rPr>
      <w:sz w:val="24"/>
    </w:rPr>
  </w:style>
  <w:style w:type="paragraph" w:customStyle="1" w:styleId="76">
    <w:name w:val="正文(康健城)"/>
    <w:basedOn w:val="1"/>
    <w:link w:val="75"/>
    <w:qFormat/>
    <w:uiPriority w:val="0"/>
    <w:pPr>
      <w:adjustRightInd w:val="0"/>
      <w:snapToGrid w:val="0"/>
      <w:spacing w:line="360" w:lineRule="auto"/>
      <w:ind w:firstLine="480" w:firstLineChars="200"/>
      <w:textAlignment w:val="baseline"/>
    </w:pPr>
    <w:rPr>
      <w:kern w:val="0"/>
      <w:szCs w:val="24"/>
    </w:rPr>
  </w:style>
  <w:style w:type="character" w:customStyle="1" w:styleId="77">
    <w:name w:val="样式 标题 3小标题小节标题标题3H3h33rd level第二层条标题4标题 3 Char标题 3 Cha...1 Char"/>
    <w:link w:val="78"/>
    <w:qFormat/>
    <w:locked/>
    <w:uiPriority w:val="0"/>
    <w:rPr>
      <w:rFonts w:eastAsia="等线"/>
      <w:b/>
      <w:sz w:val="24"/>
      <w:lang w:val="en-US" w:eastAsia="zh-CN"/>
    </w:rPr>
  </w:style>
  <w:style w:type="paragraph" w:customStyle="1" w:styleId="78">
    <w:name w:val="样式 标题 3小标题小节标题标题3H3h33rd level第二层条标题4标题 3 Char标题 3 Cha...1"/>
    <w:basedOn w:val="4"/>
    <w:link w:val="77"/>
    <w:qFormat/>
    <w:uiPriority w:val="0"/>
    <w:pPr>
      <w:spacing w:before="60" w:after="60" w:line="360" w:lineRule="auto"/>
      <w:jc w:val="left"/>
    </w:pPr>
    <w:rPr>
      <w:bCs/>
      <w:sz w:val="24"/>
      <w:shd w:val="clear" w:color="auto" w:fill="auto"/>
    </w:rPr>
  </w:style>
  <w:style w:type="character" w:customStyle="1" w:styleId="79">
    <w:name w:val="表内容 Char"/>
    <w:link w:val="80"/>
    <w:qFormat/>
    <w:uiPriority w:val="0"/>
    <w:rPr>
      <w:rFonts w:eastAsia="Arial"/>
      <w:spacing w:val="-10"/>
      <w:kern w:val="2"/>
      <w:sz w:val="21"/>
      <w:szCs w:val="24"/>
    </w:rPr>
  </w:style>
  <w:style w:type="paragraph" w:customStyle="1" w:styleId="80">
    <w:name w:val="表内容"/>
    <w:basedOn w:val="81"/>
    <w:link w:val="79"/>
    <w:qFormat/>
    <w:uiPriority w:val="0"/>
    <w:pPr>
      <w:framePr w:hSpace="0" w:wrap="around" w:hAnchor="text" w:yAlign="inline"/>
      <w:adjustRightInd/>
      <w:snapToGrid/>
    </w:pPr>
    <w:rPr>
      <w:rFonts w:eastAsia="Arial"/>
      <w:b w:val="0"/>
      <w:spacing w:val="-10"/>
      <w:sz w:val="21"/>
    </w:rPr>
  </w:style>
  <w:style w:type="paragraph" w:customStyle="1" w:styleId="81">
    <w:name w:val="表头"/>
    <w:basedOn w:val="1"/>
    <w:qFormat/>
    <w:uiPriority w:val="0"/>
    <w:pPr>
      <w:framePr w:hSpace="180" w:wrap="around" w:vAnchor="margin" w:hAnchor="margin" w:y="542"/>
      <w:adjustRightInd w:val="0"/>
      <w:snapToGrid w:val="0"/>
      <w:jc w:val="center"/>
    </w:pPr>
    <w:rPr>
      <w:b/>
      <w:szCs w:val="24"/>
    </w:rPr>
  </w:style>
  <w:style w:type="character" w:customStyle="1" w:styleId="82">
    <w:name w:val="表格文字 Char Char"/>
    <w:link w:val="83"/>
    <w:qFormat/>
    <w:locked/>
    <w:uiPriority w:val="0"/>
    <w:rPr>
      <w:sz w:val="21"/>
    </w:rPr>
  </w:style>
  <w:style w:type="paragraph" w:customStyle="1" w:styleId="83">
    <w:name w:val="表格文字"/>
    <w:basedOn w:val="1"/>
    <w:link w:val="82"/>
    <w:qFormat/>
    <w:uiPriority w:val="0"/>
    <w:pPr>
      <w:autoSpaceDE w:val="0"/>
      <w:autoSpaceDN w:val="0"/>
      <w:adjustRightInd w:val="0"/>
      <w:spacing w:before="60" w:after="60"/>
      <w:jc w:val="left"/>
      <w:textAlignment w:val="bottom"/>
    </w:pPr>
    <w:rPr>
      <w:kern w:val="0"/>
    </w:rPr>
  </w:style>
  <w:style w:type="character" w:customStyle="1" w:styleId="84">
    <w:name w:val="报告 Char"/>
    <w:link w:val="85"/>
    <w:qFormat/>
    <w:locked/>
    <w:uiPriority w:val="0"/>
    <w:rPr>
      <w:rFonts w:ascii="仿宋_GB2312" w:hAnsi="仿宋_GB2312"/>
      <w:sz w:val="24"/>
    </w:rPr>
  </w:style>
  <w:style w:type="paragraph" w:customStyle="1" w:styleId="85">
    <w:name w:val="报告"/>
    <w:basedOn w:val="1"/>
    <w:link w:val="84"/>
    <w:qFormat/>
    <w:uiPriority w:val="0"/>
    <w:pPr>
      <w:adjustRightInd w:val="0"/>
      <w:spacing w:line="360" w:lineRule="auto"/>
      <w:ind w:firstLine="505"/>
      <w:textAlignment w:val="center"/>
    </w:pPr>
    <w:rPr>
      <w:rFonts w:ascii="仿宋_GB2312" w:hAnsi="仿宋_GB2312"/>
      <w:kern w:val="0"/>
    </w:rPr>
  </w:style>
  <w:style w:type="character" w:customStyle="1" w:styleId="86">
    <w:name w:val="tit031"/>
    <w:qFormat/>
    <w:uiPriority w:val="0"/>
    <w:rPr>
      <w:b/>
      <w:color w:val="990000"/>
      <w:spacing w:val="15"/>
      <w:sz w:val="24"/>
    </w:rPr>
  </w:style>
  <w:style w:type="character" w:customStyle="1" w:styleId="87">
    <w:name w:val="unnamed11"/>
    <w:qFormat/>
    <w:uiPriority w:val="0"/>
    <w:rPr>
      <w:rFonts w:cs="Arial Unicode MS"/>
    </w:rPr>
  </w:style>
  <w:style w:type="character" w:customStyle="1" w:styleId="88">
    <w:name w:val="页眉 字符"/>
    <w:link w:val="22"/>
    <w:qFormat/>
    <w:locked/>
    <w:uiPriority w:val="99"/>
    <w:rPr>
      <w:rFonts w:eastAsia="等线"/>
      <w:kern w:val="2"/>
      <w:sz w:val="18"/>
      <w:lang w:val="en-US" w:eastAsia="zh-CN"/>
    </w:rPr>
  </w:style>
  <w:style w:type="character" w:customStyle="1" w:styleId="89">
    <w:name w:val="表题 Char"/>
    <w:link w:val="90"/>
    <w:qFormat/>
    <w:locked/>
    <w:uiPriority w:val="0"/>
    <w:rPr>
      <w:rFonts w:hAnsi="等线"/>
      <w:b/>
      <w:kern w:val="2"/>
      <w:sz w:val="24"/>
      <w:lang w:val="en-US" w:eastAsia="zh-CN"/>
    </w:rPr>
  </w:style>
  <w:style w:type="paragraph" w:customStyle="1" w:styleId="90">
    <w:name w:val="表题"/>
    <w:link w:val="89"/>
    <w:qFormat/>
    <w:uiPriority w:val="0"/>
    <w:pPr>
      <w:spacing w:line="480" w:lineRule="exact"/>
      <w:jc w:val="center"/>
    </w:pPr>
    <w:rPr>
      <w:rFonts w:ascii="Arial Unicode MS" w:hAnsi="等线" w:eastAsia="等线" w:cs="Arial Unicode MS"/>
      <w:b/>
      <w:kern w:val="2"/>
      <w:sz w:val="21"/>
      <w:szCs w:val="24"/>
      <w:lang w:val="en-US" w:eastAsia="zh-CN" w:bidi="ar-SA"/>
    </w:rPr>
  </w:style>
  <w:style w:type="character" w:customStyle="1" w:styleId="91">
    <w:name w:val="p141"/>
    <w:qFormat/>
    <w:uiPriority w:val="0"/>
    <w:rPr>
      <w:rFonts w:ascii="等线" w:hAnsi="等线" w:eastAsia="等线"/>
      <w:sz w:val="21"/>
    </w:rPr>
  </w:style>
  <w:style w:type="character" w:customStyle="1" w:styleId="92">
    <w:name w:val="样式 样式 样式 首行缩进:  2 字符1 + 首行缩进:  2 字符 + 首行缩进:  2 字符 Char"/>
    <w:link w:val="93"/>
    <w:qFormat/>
    <w:locked/>
    <w:uiPriority w:val="0"/>
    <w:rPr>
      <w:rFonts w:eastAsia="等线"/>
      <w:sz w:val="24"/>
      <w:lang w:val="en-US" w:eastAsia="zh-CN"/>
    </w:rPr>
  </w:style>
  <w:style w:type="paragraph" w:customStyle="1" w:styleId="93">
    <w:name w:val="样式 样式 样式 首行缩进:  2 字符1 + 首行缩进:  2 字符 + 首行缩进:  2 字符"/>
    <w:basedOn w:val="1"/>
    <w:link w:val="92"/>
    <w:qFormat/>
    <w:uiPriority w:val="0"/>
    <w:pPr>
      <w:widowControl/>
      <w:spacing w:line="360" w:lineRule="auto"/>
      <w:ind w:firstLine="480" w:firstLineChars="200"/>
    </w:pPr>
    <w:rPr>
      <w:rFonts w:cs="等线"/>
      <w:kern w:val="0"/>
    </w:rPr>
  </w:style>
  <w:style w:type="character" w:customStyle="1" w:styleId="94">
    <w:name w:val="表格文字1 Char"/>
    <w:link w:val="95"/>
    <w:qFormat/>
    <w:locked/>
    <w:uiPriority w:val="0"/>
    <w:rPr>
      <w:rFonts w:eastAsia="等线"/>
      <w:kern w:val="2"/>
      <w:sz w:val="24"/>
      <w:lang w:val="zh-CN" w:eastAsia="zh-CN"/>
    </w:rPr>
  </w:style>
  <w:style w:type="paragraph" w:customStyle="1" w:styleId="95">
    <w:name w:val="表格文字1"/>
    <w:basedOn w:val="1"/>
    <w:link w:val="94"/>
    <w:qFormat/>
    <w:uiPriority w:val="0"/>
    <w:pPr>
      <w:spacing w:line="400" w:lineRule="atLeast"/>
      <w:jc w:val="center"/>
    </w:pPr>
    <w:rPr>
      <w:lang w:val="zh-CN"/>
    </w:rPr>
  </w:style>
  <w:style w:type="character" w:customStyle="1" w:styleId="96">
    <w:name w:val="占位符文本1"/>
    <w:semiHidden/>
    <w:qFormat/>
    <w:uiPriority w:val="0"/>
    <w:rPr>
      <w:rFonts w:cs="Arial Unicode MS"/>
      <w:color w:val="808080"/>
    </w:rPr>
  </w:style>
  <w:style w:type="character" w:customStyle="1" w:styleId="97">
    <w:name w:val="No Spacing Char"/>
    <w:link w:val="98"/>
    <w:qFormat/>
    <w:locked/>
    <w:uiPriority w:val="0"/>
    <w:rPr>
      <w:rFonts w:ascii="Verdana" w:hAnsi="Verdana" w:eastAsia="Verdana" w:cs="Arial Unicode MS"/>
      <w:sz w:val="22"/>
      <w:szCs w:val="22"/>
      <w:lang w:val="en-US" w:eastAsia="zh-CN" w:bidi="ar-SA"/>
    </w:rPr>
  </w:style>
  <w:style w:type="paragraph" w:customStyle="1" w:styleId="98">
    <w:name w:val="无间隔1"/>
    <w:link w:val="97"/>
    <w:qFormat/>
    <w:uiPriority w:val="1"/>
    <w:rPr>
      <w:rFonts w:ascii="Verdana" w:hAnsi="Verdana" w:eastAsia="Verdana" w:cs="Arial Unicode MS"/>
      <w:sz w:val="22"/>
      <w:szCs w:val="22"/>
      <w:lang w:val="en-US" w:eastAsia="zh-CN" w:bidi="ar-SA"/>
    </w:rPr>
  </w:style>
  <w:style w:type="character" w:customStyle="1" w:styleId="99">
    <w:name w:val="p Char"/>
    <w:link w:val="100"/>
    <w:qFormat/>
    <w:locked/>
    <w:uiPriority w:val="0"/>
  </w:style>
  <w:style w:type="paragraph" w:customStyle="1" w:styleId="100">
    <w:name w:val="p"/>
    <w:basedOn w:val="101"/>
    <w:link w:val="99"/>
    <w:qFormat/>
    <w:uiPriority w:val="0"/>
    <w:pPr>
      <w:adjustRightInd w:val="0"/>
      <w:snapToGrid w:val="0"/>
      <w:ind w:firstLine="1446" w:firstLineChars="200"/>
      <w:jc w:val="left"/>
    </w:pPr>
    <w:rPr>
      <w:kern w:val="0"/>
      <w:sz w:val="20"/>
    </w:rPr>
  </w:style>
  <w:style w:type="paragraph" w:customStyle="1" w:styleId="101">
    <w:name w:val="样式1"/>
    <w:basedOn w:val="1"/>
    <w:qFormat/>
    <w:uiPriority w:val="0"/>
    <w:pPr>
      <w:spacing w:line="360" w:lineRule="auto"/>
      <w:ind w:firstLine="510"/>
    </w:pPr>
  </w:style>
  <w:style w:type="character" w:customStyle="1" w:styleId="102">
    <w:name w:val="-表格 Char"/>
    <w:link w:val="103"/>
    <w:qFormat/>
    <w:locked/>
    <w:uiPriority w:val="0"/>
    <w:rPr>
      <w:rFonts w:ascii="等线" w:eastAsia="等线"/>
      <w:snapToGrid w:val="0"/>
      <w:kern w:val="2"/>
      <w:sz w:val="21"/>
    </w:rPr>
  </w:style>
  <w:style w:type="paragraph" w:customStyle="1" w:styleId="103">
    <w:name w:val="-表格"/>
    <w:basedOn w:val="74"/>
    <w:next w:val="1"/>
    <w:link w:val="102"/>
    <w:qFormat/>
    <w:uiPriority w:val="0"/>
    <w:pPr>
      <w:widowControl/>
      <w:tabs>
        <w:tab w:val="left" w:pos="3696"/>
      </w:tabs>
    </w:pPr>
    <w:rPr>
      <w:szCs w:val="20"/>
    </w:rPr>
  </w:style>
  <w:style w:type="character" w:customStyle="1" w:styleId="104">
    <w:name w:val="正文缩进 字符1"/>
    <w:link w:val="7"/>
    <w:qFormat/>
    <w:locked/>
    <w:uiPriority w:val="0"/>
    <w:rPr>
      <w:kern w:val="2"/>
      <w:sz w:val="21"/>
    </w:rPr>
  </w:style>
  <w:style w:type="character" w:customStyle="1" w:styleId="105">
    <w:name w:val="bumpedfont15"/>
    <w:qFormat/>
    <w:uiPriority w:val="0"/>
  </w:style>
  <w:style w:type="character" w:customStyle="1" w:styleId="106">
    <w:name w:val="报告 Char Char"/>
    <w:qFormat/>
    <w:uiPriority w:val="0"/>
    <w:rPr>
      <w:rFonts w:eastAsia="等线"/>
      <w:sz w:val="24"/>
      <w:lang w:val="en-US" w:eastAsia="zh-CN" w:bidi="ar-SA"/>
    </w:rPr>
  </w:style>
  <w:style w:type="character" w:customStyle="1" w:styleId="107">
    <w:name w:val="纯文本 Char1"/>
    <w:qFormat/>
    <w:uiPriority w:val="0"/>
    <w:rPr>
      <w:rFonts w:ascii="等线" w:hAnsi="Wingdings 2"/>
      <w:kern w:val="2"/>
      <w:sz w:val="21"/>
    </w:rPr>
  </w:style>
  <w:style w:type="paragraph" w:customStyle="1" w:styleId="108">
    <w:name w:val="正文文本缩进1"/>
    <w:basedOn w:val="1"/>
    <w:qFormat/>
    <w:uiPriority w:val="0"/>
    <w:pPr>
      <w:spacing w:line="336" w:lineRule="auto"/>
      <w:ind w:firstLine="540"/>
    </w:pPr>
    <w:rPr>
      <w:spacing w:val="10"/>
    </w:rPr>
  </w:style>
  <w:style w:type="paragraph" w:customStyle="1" w:styleId="109">
    <w:name w:val="表格样式"/>
    <w:basedOn w:val="1"/>
    <w:qFormat/>
    <w:uiPriority w:val="0"/>
    <w:pPr>
      <w:adjustRightInd w:val="0"/>
      <w:snapToGrid w:val="0"/>
      <w:jc w:val="center"/>
      <w:textAlignment w:val="center"/>
    </w:pPr>
    <w:rPr>
      <w:sz w:val="28"/>
    </w:rPr>
  </w:style>
  <w:style w:type="paragraph" w:customStyle="1" w:styleId="110">
    <w:name w:val="报告表正文"/>
    <w:basedOn w:val="1"/>
    <w:qFormat/>
    <w:uiPriority w:val="0"/>
    <w:pPr>
      <w:adjustRightInd w:val="0"/>
      <w:spacing w:line="312" w:lineRule="auto"/>
      <w:ind w:left="113" w:right="113" w:firstLine="482"/>
      <w:jc w:val="left"/>
      <w:textAlignment w:val="baseline"/>
    </w:pPr>
    <w:rPr>
      <w:kern w:val="0"/>
    </w:rPr>
  </w:style>
  <w:style w:type="paragraph" w:customStyle="1" w:styleId="111">
    <w:name w:val="Char Char Char"/>
    <w:basedOn w:val="1"/>
    <w:qFormat/>
    <w:uiPriority w:val="0"/>
    <w:pPr>
      <w:spacing w:line="360" w:lineRule="auto"/>
    </w:pPr>
    <w:rPr>
      <w:szCs w:val="24"/>
    </w:rPr>
  </w:style>
  <w:style w:type="paragraph" w:customStyle="1" w:styleId="112">
    <w:name w:val="Char Char Char Char"/>
    <w:basedOn w:val="1"/>
    <w:qFormat/>
    <w:uiPriority w:val="0"/>
  </w:style>
  <w:style w:type="paragraph" w:customStyle="1" w:styleId="113">
    <w:name w:val="标题1"/>
    <w:basedOn w:val="1"/>
    <w:next w:val="1"/>
    <w:qFormat/>
    <w:uiPriority w:val="0"/>
    <w:pPr>
      <w:numPr>
        <w:ilvl w:val="0"/>
        <w:numId w:val="1"/>
      </w:numPr>
      <w:spacing w:line="440" w:lineRule="exact"/>
    </w:pPr>
  </w:style>
  <w:style w:type="paragraph" w:customStyle="1" w:styleId="114">
    <w:name w:val="正文(首缩进)"/>
    <w:basedOn w:val="1"/>
    <w:qFormat/>
    <w:uiPriority w:val="0"/>
    <w:pPr>
      <w:adjustRightInd w:val="0"/>
      <w:snapToGrid w:val="0"/>
      <w:spacing w:line="360" w:lineRule="auto"/>
      <w:ind w:firstLine="200" w:firstLineChars="200"/>
    </w:pPr>
    <w:rPr>
      <w:rFonts w:ascii="楷体_GB2312" w:hAnsi="楷体_GB2312" w:cs="楷体_GB2312"/>
      <w:szCs w:val="28"/>
    </w:rPr>
  </w:style>
  <w:style w:type="paragraph" w:customStyle="1" w:styleId="115">
    <w:name w:val="xl31"/>
    <w:basedOn w:val="1"/>
    <w:qFormat/>
    <w:uiPriority w:val="0"/>
    <w:pPr>
      <w:widowControl/>
      <w:spacing w:before="100" w:beforeAutospacing="1" w:after="100" w:afterAutospacing="1"/>
      <w:jc w:val="center"/>
      <w:textAlignment w:val="center"/>
    </w:pPr>
    <w:rPr>
      <w:rFonts w:ascii="Courier New" w:hAnsi="Courier New" w:eastAsia="Arial Unicode MS"/>
      <w:kern w:val="0"/>
      <w:szCs w:val="24"/>
    </w:rPr>
  </w:style>
  <w:style w:type="paragraph" w:customStyle="1" w:styleId="116">
    <w:name w:val="1文章"/>
    <w:basedOn w:val="1"/>
    <w:qFormat/>
    <w:uiPriority w:val="0"/>
    <w:pPr>
      <w:spacing w:line="360" w:lineRule="auto"/>
      <w:ind w:firstLine="573"/>
    </w:pPr>
    <w:rPr>
      <w:rFonts w:eastAsia="Cambria Math"/>
      <w:sz w:val="28"/>
    </w:rPr>
  </w:style>
  <w:style w:type="paragraph" w:customStyle="1" w:styleId="117">
    <w:name w:val="报告书表格"/>
    <w:basedOn w:val="1"/>
    <w:qFormat/>
    <w:uiPriority w:val="0"/>
    <w:pPr>
      <w:adjustRightInd w:val="0"/>
      <w:spacing w:before="60" w:after="60" w:line="240" w:lineRule="atLeast"/>
      <w:jc w:val="center"/>
      <w:textAlignment w:val="baseline"/>
    </w:pPr>
    <w:rPr>
      <w:kern w:val="0"/>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Arial Unicode MS"/>
      <w:kern w:val="0"/>
    </w:rPr>
  </w:style>
  <w:style w:type="paragraph" w:customStyle="1" w:styleId="119">
    <w:name w:val="样式 正文"/>
    <w:basedOn w:val="1"/>
    <w:next w:val="1"/>
    <w:qFormat/>
    <w:uiPriority w:val="0"/>
    <w:pPr>
      <w:spacing w:line="360" w:lineRule="auto"/>
      <w:ind w:firstLine="200" w:firstLineChars="200"/>
    </w:pPr>
    <w:rPr>
      <w:szCs w:val="32"/>
    </w:rPr>
  </w:style>
  <w:style w:type="paragraph" w:customStyle="1" w:styleId="120">
    <w:name w:val="01表格"/>
    <w:basedOn w:val="1"/>
    <w:next w:val="1"/>
    <w:qFormat/>
    <w:uiPriority w:val="0"/>
    <w:pPr>
      <w:overflowPunct w:val="0"/>
      <w:topLinePunct/>
      <w:adjustRightInd w:val="0"/>
      <w:snapToGrid w:val="0"/>
      <w:jc w:val="center"/>
    </w:pPr>
    <w:rPr>
      <w:kern w:val="0"/>
      <w:szCs w:val="21"/>
    </w:rPr>
  </w:style>
  <w:style w:type="paragraph" w:customStyle="1" w:styleId="121">
    <w:name w:val="标题-3"/>
    <w:basedOn w:val="1"/>
    <w:qFormat/>
    <w:uiPriority w:val="0"/>
    <w:pPr>
      <w:spacing w:line="480" w:lineRule="exact"/>
      <w:ind w:firstLine="482" w:firstLineChars="200"/>
    </w:pPr>
    <w:rPr>
      <w:rFonts w:cs="等线"/>
      <w:b/>
      <w:bCs/>
    </w:rPr>
  </w:style>
  <w:style w:type="paragraph" w:customStyle="1" w:styleId="122">
    <w:name w:val="表格正文"/>
    <w:basedOn w:val="1"/>
    <w:qFormat/>
    <w:uiPriority w:val="0"/>
    <w:pPr>
      <w:adjustRightInd w:val="0"/>
      <w:spacing w:line="240" w:lineRule="atLeast"/>
      <w:textAlignment w:val="baseline"/>
    </w:pPr>
  </w:style>
  <w:style w:type="paragraph" w:customStyle="1" w:styleId="123">
    <w:name w:val="中文报告书样式"/>
    <w:basedOn w:val="1"/>
    <w:qFormat/>
    <w:uiPriority w:val="0"/>
    <w:pPr>
      <w:adjustRightInd w:val="0"/>
      <w:spacing w:line="480" w:lineRule="atLeast"/>
      <w:ind w:firstLine="482"/>
      <w:textAlignment w:val="baseline"/>
    </w:pPr>
    <w:rPr>
      <w:kern w:val="24"/>
    </w:rPr>
  </w:style>
  <w:style w:type="paragraph" w:customStyle="1" w:styleId="124">
    <w:name w:val="Char Char Char Char Char Char Char Char Char"/>
    <w:basedOn w:val="1"/>
    <w:qFormat/>
    <w:uiPriority w:val="0"/>
  </w:style>
  <w:style w:type="paragraph" w:customStyle="1" w:styleId="125">
    <w:name w:val="样式 小四 行距: 1.5 倍行距 首行缩进:  2 字符"/>
    <w:basedOn w:val="1"/>
    <w:qFormat/>
    <w:uiPriority w:val="0"/>
    <w:pPr>
      <w:spacing w:line="360" w:lineRule="auto"/>
      <w:ind w:firstLine="200" w:firstLineChars="200"/>
    </w:pPr>
    <w:rPr>
      <w:rFonts w:cs="等线"/>
    </w:rPr>
  </w:style>
  <w:style w:type="paragraph" w:customStyle="1" w:styleId="126">
    <w:name w:val="Char Char Char Char Char Char Char Char Char1 Char"/>
    <w:basedOn w:val="1"/>
    <w:qFormat/>
    <w:uiPriority w:val="0"/>
  </w:style>
  <w:style w:type="paragraph" w:customStyle="1" w:styleId="127">
    <w:name w:val="流程图"/>
    <w:basedOn w:val="1"/>
    <w:qFormat/>
    <w:uiPriority w:val="0"/>
    <w:pPr>
      <w:tabs>
        <w:tab w:val="center" w:pos="0"/>
      </w:tabs>
    </w:pPr>
    <w:rPr>
      <w:rFonts w:eastAsia="Cambria Math"/>
    </w:rPr>
  </w:style>
  <w:style w:type="paragraph" w:customStyle="1" w:styleId="128">
    <w:name w:val="默认段落字体 Para Char Char"/>
    <w:basedOn w:val="1"/>
    <w:qFormat/>
    <w:uiPriority w:val="0"/>
    <w:rPr>
      <w:rFonts w:ascii="Yu Mincho Light" w:hAnsi="等线" w:eastAsia="Yu Mincho Light"/>
    </w:rPr>
  </w:style>
  <w:style w:type="paragraph" w:customStyle="1" w:styleId="129">
    <w:name w:val="正文首行缩进1"/>
    <w:basedOn w:val="12"/>
    <w:qFormat/>
    <w:uiPriority w:val="0"/>
    <w:pPr>
      <w:spacing w:after="120"/>
      <w:ind w:firstLine="420"/>
    </w:pPr>
  </w:style>
  <w:style w:type="paragraph" w:customStyle="1" w:styleId="130">
    <w:name w:val="居中正文"/>
    <w:basedOn w:val="129"/>
    <w:qFormat/>
    <w:uiPriority w:val="0"/>
    <w:pPr>
      <w:adjustRightInd w:val="0"/>
      <w:spacing w:before="120" w:after="0"/>
      <w:ind w:firstLine="0"/>
      <w:jc w:val="center"/>
      <w:textAlignment w:val="baseline"/>
    </w:pPr>
    <w:rPr>
      <w:rFonts w:ascii="等线"/>
      <w:kern w:val="28"/>
    </w:rPr>
  </w:style>
  <w:style w:type="paragraph" w:customStyle="1" w:styleId="131">
    <w:name w:val="Char Char Char1 Char Char Char Char Char Char Char Char Char Char Char Char Char"/>
    <w:basedOn w:val="1"/>
    <w:qFormat/>
    <w:uiPriority w:val="0"/>
  </w:style>
  <w:style w:type="paragraph" w:customStyle="1" w:styleId="132">
    <w:name w:val="Char Char Char Char Char Char Char Char Char Char"/>
    <w:basedOn w:val="1"/>
    <w:qFormat/>
    <w:uiPriority w:val="0"/>
    <w:pPr>
      <w:spacing w:line="240" w:lineRule="exact"/>
      <w:ind w:firstLine="200" w:firstLineChars="200"/>
    </w:pPr>
  </w:style>
  <w:style w:type="paragraph" w:customStyle="1" w:styleId="133">
    <w:name w:val="样式 正文缩进正文（首行缩进两字） + 宋体 行距: 1.5 倍行距"/>
    <w:basedOn w:val="7"/>
    <w:qFormat/>
    <w:uiPriority w:val="0"/>
    <w:pPr>
      <w:adjustRightInd w:val="0"/>
      <w:spacing w:line="300" w:lineRule="auto"/>
      <w:ind w:firstLine="482"/>
      <w:jc w:val="left"/>
      <w:textAlignment w:val="baseline"/>
    </w:pPr>
    <w:rPr>
      <w:rFonts w:ascii="等线" w:hAnsi="等线"/>
    </w:rPr>
  </w:style>
  <w:style w:type="paragraph" w:customStyle="1" w:styleId="134">
    <w:name w:val="Char1"/>
    <w:basedOn w:val="1"/>
    <w:qFormat/>
    <w:uiPriority w:val="0"/>
  </w:style>
  <w:style w:type="paragraph" w:customStyle="1" w:styleId="135">
    <w:name w:val="表"/>
    <w:basedOn w:val="1"/>
    <w:qFormat/>
    <w:uiPriority w:val="0"/>
    <w:pPr>
      <w:spacing w:line="240" w:lineRule="exact"/>
    </w:pPr>
    <w:rPr>
      <w:rFonts w:ascii="Yu Mincho Light" w:hAnsi="等线" w:eastAsia="Yu Mincho Light"/>
      <w:sz w:val="18"/>
    </w:rPr>
  </w:style>
  <w:style w:type="paragraph" w:customStyle="1" w:styleId="136">
    <w:name w:val="xl3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Courier New" w:hAnsi="Courier New" w:eastAsia="Arial Unicode MS"/>
      <w:kern w:val="0"/>
    </w:rPr>
  </w:style>
  <w:style w:type="paragraph" w:customStyle="1" w:styleId="137">
    <w:name w:val="Char"/>
    <w:basedOn w:val="1"/>
    <w:qFormat/>
    <w:uiPriority w:val="0"/>
    <w:rPr>
      <w:sz w:val="18"/>
    </w:rPr>
  </w:style>
  <w:style w:type="paragraph" w:customStyle="1" w:styleId="138">
    <w:name w:val="zhang正文"/>
    <w:basedOn w:val="13"/>
    <w:qFormat/>
    <w:uiPriority w:val="0"/>
    <w:pPr>
      <w:autoSpaceDE w:val="0"/>
      <w:autoSpaceDN w:val="0"/>
      <w:adjustRightInd w:val="0"/>
      <w:snapToGrid w:val="0"/>
      <w:spacing w:line="500" w:lineRule="exact"/>
      <w:ind w:firstLine="539" w:firstLineChars="0"/>
      <w:textAlignment w:val="baseline"/>
    </w:pPr>
    <w:rPr>
      <w:rFonts w:eastAsia="Cambria Math"/>
      <w:kern w:val="0"/>
      <w:sz w:val="28"/>
    </w:rPr>
  </w:style>
  <w:style w:type="paragraph" w:customStyle="1" w:styleId="139">
    <w:name w:val="表格标题"/>
    <w:basedOn w:val="1"/>
    <w:qFormat/>
    <w:uiPriority w:val="0"/>
    <w:pPr>
      <w:spacing w:line="540" w:lineRule="exact"/>
      <w:jc w:val="center"/>
    </w:pPr>
    <w:rPr>
      <w:rFonts w:ascii="等线" w:hAnsi="等线"/>
      <w:b/>
    </w:rPr>
  </w:style>
  <w:style w:type="paragraph" w:customStyle="1" w:styleId="140">
    <w:name w:val="段落"/>
    <w:basedOn w:val="1"/>
    <w:qFormat/>
    <w:uiPriority w:val="0"/>
    <w:pPr>
      <w:tabs>
        <w:tab w:val="left" w:pos="1021"/>
      </w:tabs>
      <w:adjustRightInd w:val="0"/>
      <w:snapToGrid w:val="0"/>
      <w:spacing w:line="360" w:lineRule="auto"/>
      <w:ind w:firstLine="560" w:firstLineChars="200"/>
    </w:pPr>
    <w:rPr>
      <w:color w:val="0000FF"/>
      <w:kern w:val="0"/>
      <w:sz w:val="28"/>
    </w:rPr>
  </w:style>
  <w:style w:type="paragraph" w:customStyle="1" w:styleId="141">
    <w:name w:val="Char2"/>
    <w:basedOn w:val="1"/>
    <w:qFormat/>
    <w:uiPriority w:val="0"/>
    <w:rPr>
      <w:szCs w:val="24"/>
    </w:rPr>
  </w:style>
  <w:style w:type="paragraph" w:customStyle="1" w:styleId="142">
    <w:name w:val="简单回函地址"/>
    <w:basedOn w:val="1"/>
    <w:qFormat/>
    <w:uiPriority w:val="0"/>
  </w:style>
  <w:style w:type="paragraph" w:customStyle="1" w:styleId="143">
    <w:name w:val="列表段落1"/>
    <w:basedOn w:val="1"/>
    <w:qFormat/>
    <w:uiPriority w:val="0"/>
    <w:pPr>
      <w:ind w:firstLine="420" w:firstLineChars="200"/>
    </w:pPr>
    <w:rPr>
      <w:rFonts w:ascii="Verdana" w:hAnsi="Verdana" w:eastAsia="Verdana"/>
      <w:szCs w:val="22"/>
    </w:rPr>
  </w:style>
  <w:style w:type="paragraph" w:customStyle="1" w:styleId="144">
    <w:name w:val="目录 31"/>
    <w:basedOn w:val="1"/>
    <w:next w:val="1"/>
    <w:qFormat/>
    <w:uiPriority w:val="0"/>
    <w:pPr>
      <w:spacing w:line="360" w:lineRule="auto"/>
    </w:pPr>
    <w:rPr>
      <w:spacing w:val="-6"/>
    </w:rPr>
  </w:style>
  <w:style w:type="paragraph" w:customStyle="1" w:styleId="145">
    <w:name w:val="样式 报告表正文 + 首行缩进:  2 字符 行距: 1.5 倍行距"/>
    <w:basedOn w:val="1"/>
    <w:qFormat/>
    <w:uiPriority w:val="0"/>
    <w:pPr>
      <w:adjustRightInd w:val="0"/>
      <w:spacing w:line="360" w:lineRule="auto"/>
      <w:ind w:left="113" w:right="113" w:firstLine="480" w:firstLineChars="200"/>
    </w:pPr>
    <w:rPr>
      <w:rFonts w:cs="等线"/>
      <w:kern w:val="0"/>
      <w:szCs w:val="24"/>
    </w:rPr>
  </w:style>
  <w:style w:type="paragraph" w:customStyle="1" w:styleId="146">
    <w:name w:val="样式 规划正文 + 仿宋_GB2312 三号 首行缩进:  2 字符 行距: 单倍行距"/>
    <w:basedOn w:val="1"/>
    <w:qFormat/>
    <w:uiPriority w:val="0"/>
    <w:pPr>
      <w:ind w:firstLine="560" w:firstLineChars="200"/>
    </w:pPr>
    <w:rPr>
      <w:rFonts w:ascii="Yu Mincho Light" w:eastAsia="Yu Mincho Light" w:cs="等线"/>
      <w:sz w:val="28"/>
      <w:szCs w:val="28"/>
    </w:rPr>
  </w:style>
  <w:style w:type="paragraph" w:customStyle="1" w:styleId="147">
    <w:name w:val="样式 样式4 + 首行缩进:  1.92 字符"/>
    <w:basedOn w:val="1"/>
    <w:qFormat/>
    <w:uiPriority w:val="0"/>
    <w:pPr>
      <w:snapToGrid w:val="0"/>
      <w:spacing w:line="300" w:lineRule="auto"/>
      <w:ind w:firstLine="538" w:firstLineChars="192"/>
    </w:pPr>
    <w:rPr>
      <w:sz w:val="28"/>
    </w:rPr>
  </w:style>
  <w:style w:type="paragraph" w:customStyle="1" w:styleId="148">
    <w:name w:val="xl30"/>
    <w:basedOn w:val="1"/>
    <w:qFormat/>
    <w:uiPriority w:val="0"/>
    <w:pPr>
      <w:widowControl/>
      <w:pBdr>
        <w:left w:val="single" w:color="auto" w:sz="12" w:space="0"/>
        <w:right w:val="single" w:color="auto" w:sz="4" w:space="0"/>
      </w:pBdr>
      <w:spacing w:before="100" w:after="100"/>
      <w:jc w:val="center"/>
    </w:pPr>
    <w:rPr>
      <w:rFonts w:ascii="等线" w:hAnsi="等线"/>
      <w:kern w:val="0"/>
    </w:rPr>
  </w:style>
  <w:style w:type="paragraph" w:customStyle="1" w:styleId="149">
    <w:name w:val="_Style 12"/>
    <w:basedOn w:val="1"/>
    <w:next w:val="25"/>
    <w:qFormat/>
    <w:uiPriority w:val="0"/>
    <w:pPr>
      <w:spacing w:line="360" w:lineRule="auto"/>
    </w:pPr>
    <w:rPr>
      <w:rFonts w:eastAsia="Arial"/>
      <w:sz w:val="28"/>
    </w:rPr>
  </w:style>
  <w:style w:type="paragraph" w:customStyle="1" w:styleId="150">
    <w:name w:val="修订1"/>
    <w:semiHidden/>
    <w:qFormat/>
    <w:uiPriority w:val="0"/>
    <w:rPr>
      <w:rFonts w:ascii="Arial Unicode MS" w:hAnsi="Arial Unicode MS" w:eastAsia="等线" w:cs="Arial Unicode MS"/>
      <w:kern w:val="2"/>
      <w:sz w:val="21"/>
      <w:lang w:val="en-US" w:eastAsia="zh-CN" w:bidi="ar-SA"/>
    </w:rPr>
  </w:style>
  <w:style w:type="paragraph" w:customStyle="1" w:styleId="151">
    <w:name w:val="p0"/>
    <w:basedOn w:val="1"/>
    <w:qFormat/>
    <w:uiPriority w:val="0"/>
    <w:pPr>
      <w:widowControl/>
    </w:pPr>
    <w:rPr>
      <w:kern w:val="0"/>
      <w:szCs w:val="21"/>
    </w:rPr>
  </w:style>
  <w:style w:type="paragraph" w:customStyle="1" w:styleId="152">
    <w:name w:val="默认段落字体 Para Char Char Char Char"/>
    <w:basedOn w:val="1"/>
    <w:qFormat/>
    <w:uiPriority w:val="0"/>
  </w:style>
  <w:style w:type="paragraph" w:customStyle="1" w:styleId="153">
    <w:name w:val="Table Paragraph"/>
    <w:basedOn w:val="1"/>
    <w:qFormat/>
    <w:uiPriority w:val="1"/>
    <w:pPr>
      <w:jc w:val="left"/>
    </w:pPr>
    <w:rPr>
      <w:rFonts w:ascii="Arial" w:hAnsi="Arial"/>
      <w:kern w:val="0"/>
      <w:sz w:val="22"/>
      <w:szCs w:val="22"/>
      <w:lang w:eastAsia="en-US"/>
    </w:rPr>
  </w:style>
  <w:style w:type="paragraph" w:customStyle="1" w:styleId="154">
    <w:name w:val="xl22"/>
    <w:basedOn w:val="1"/>
    <w:qFormat/>
    <w:uiPriority w:val="0"/>
    <w:pPr>
      <w:widowControl/>
      <w:spacing w:before="100" w:beforeAutospacing="1" w:after="100" w:afterAutospacing="1"/>
      <w:jc w:val="center"/>
    </w:pPr>
    <w:rPr>
      <w:rFonts w:ascii="等线" w:hAnsi="等线"/>
      <w:kern w:val="0"/>
    </w:rPr>
  </w:style>
  <w:style w:type="paragraph" w:customStyle="1" w:styleId="155">
    <w:name w:val="Char Char Char Char Char Char Char"/>
    <w:basedOn w:val="1"/>
    <w:qFormat/>
    <w:uiPriority w:val="0"/>
    <w:pPr>
      <w:widowControl/>
      <w:spacing w:after="160" w:line="240" w:lineRule="exact"/>
      <w:jc w:val="left"/>
    </w:pPr>
    <w:rPr>
      <w:rFonts w:ascii="永中宋体" w:hAnsi="永中宋体" w:eastAsia="Yu Mincho Light"/>
      <w:kern w:val="0"/>
      <w:sz w:val="30"/>
      <w:szCs w:val="30"/>
      <w:lang w:eastAsia="en-US"/>
    </w:rPr>
  </w:style>
  <w:style w:type="paragraph" w:customStyle="1" w:styleId="156">
    <w:name w:val="Char Char Char3 Char Char Char Char Char Char Char"/>
    <w:basedOn w:val="1"/>
    <w:qFormat/>
    <w:uiPriority w:val="0"/>
  </w:style>
  <w:style w:type="paragraph" w:customStyle="1" w:styleId="157">
    <w:name w:val="2"/>
    <w:basedOn w:val="1"/>
    <w:next w:val="19"/>
    <w:qFormat/>
    <w:uiPriority w:val="0"/>
    <w:pPr>
      <w:spacing w:after="120" w:line="480" w:lineRule="auto"/>
      <w:ind w:left="420" w:leftChars="200"/>
    </w:pPr>
    <w:rPr>
      <w:szCs w:val="24"/>
    </w:rPr>
  </w:style>
  <w:style w:type="paragraph" w:customStyle="1" w:styleId="158">
    <w:name w:val="标题2"/>
    <w:unhideWhenUsed/>
    <w:qFormat/>
    <w:uiPriority w:val="2"/>
    <w:pPr>
      <w:outlineLvl w:val="2"/>
    </w:pPr>
    <w:rPr>
      <w:rFonts w:ascii="Arial" w:hAnsi="Arial" w:eastAsia="等线" w:cs="Arial Unicode MS"/>
      <w:kern w:val="2"/>
      <w:sz w:val="21"/>
      <w:szCs w:val="22"/>
      <w:lang w:val="en-US" w:eastAsia="zh-CN" w:bidi="ar-SA"/>
    </w:rPr>
  </w:style>
  <w:style w:type="paragraph" w:customStyle="1" w:styleId="159">
    <w:name w:val="目录 21"/>
    <w:basedOn w:val="1"/>
    <w:next w:val="1"/>
    <w:semiHidden/>
    <w:qFormat/>
    <w:uiPriority w:val="0"/>
    <w:pPr>
      <w:ind w:left="420" w:leftChars="200"/>
    </w:pPr>
  </w:style>
  <w:style w:type="paragraph" w:customStyle="1" w:styleId="160">
    <w:name w:val="正文标准样式"/>
    <w:basedOn w:val="1"/>
    <w:qFormat/>
    <w:uiPriority w:val="0"/>
    <w:pPr>
      <w:adjustRightInd w:val="0"/>
      <w:spacing w:line="300" w:lineRule="auto"/>
      <w:ind w:firstLine="482"/>
      <w:textAlignment w:val="baseline"/>
    </w:pPr>
    <w:rPr>
      <w:kern w:val="0"/>
    </w:rPr>
  </w:style>
  <w:style w:type="paragraph" w:customStyle="1" w:styleId="161">
    <w:name w:val="1表格"/>
    <w:basedOn w:val="1"/>
    <w:qFormat/>
    <w:uiPriority w:val="0"/>
    <w:pPr>
      <w:snapToGrid w:val="0"/>
      <w:spacing w:line="160" w:lineRule="atLeast"/>
      <w:jc w:val="center"/>
    </w:pPr>
    <w:rPr>
      <w:rFonts w:eastAsia="Yu Mincho Light"/>
    </w:rPr>
  </w:style>
  <w:style w:type="paragraph" w:customStyle="1" w:styleId="162">
    <w:name w:val="表格文字2"/>
    <w:basedOn w:val="83"/>
    <w:qFormat/>
    <w:uiPriority w:val="0"/>
    <w:pPr>
      <w:autoSpaceDE/>
      <w:autoSpaceDN/>
      <w:spacing w:after="0"/>
      <w:jc w:val="center"/>
      <w:textAlignment w:val="baseline"/>
    </w:pPr>
    <w:rPr>
      <w:rFonts w:ascii="等线"/>
    </w:rPr>
  </w:style>
  <w:style w:type="paragraph" w:customStyle="1" w:styleId="163">
    <w:name w:val="01正文"/>
    <w:basedOn w:val="1"/>
    <w:qFormat/>
    <w:uiPriority w:val="0"/>
    <w:pPr>
      <w:adjustRightInd w:val="0"/>
      <w:snapToGrid w:val="0"/>
      <w:spacing w:line="480" w:lineRule="exact"/>
      <w:ind w:firstLine="200" w:firstLineChars="200"/>
    </w:pPr>
    <w:rPr>
      <w:color w:val="000000"/>
      <w:szCs w:val="21"/>
    </w:rPr>
  </w:style>
  <w:style w:type="paragraph" w:customStyle="1" w:styleId="164">
    <w:name w:val="标题4"/>
    <w:basedOn w:val="1"/>
    <w:qFormat/>
    <w:uiPriority w:val="0"/>
    <w:pPr>
      <w:spacing w:line="360" w:lineRule="auto"/>
      <w:ind w:left="-7" w:leftChars="-3" w:firstLine="554" w:firstLineChars="230"/>
      <w:jc w:val="left"/>
    </w:pPr>
    <w:rPr>
      <w:b/>
      <w:bCs/>
      <w:szCs w:val="24"/>
    </w:rPr>
  </w:style>
  <w:style w:type="paragraph" w:customStyle="1" w:styleId="165">
    <w:name w:val="样式2"/>
    <w:basedOn w:val="1"/>
    <w:qFormat/>
    <w:uiPriority w:val="0"/>
    <w:pPr>
      <w:adjustRightInd w:val="0"/>
      <w:spacing w:line="288" w:lineRule="auto"/>
      <w:ind w:left="170"/>
      <w:jc w:val="left"/>
    </w:pPr>
    <w:rPr>
      <w:b/>
      <w:kern w:val="0"/>
    </w:rPr>
  </w:style>
  <w:style w:type="paragraph" w:customStyle="1" w:styleId="166">
    <w:name w:val="Char Char2"/>
    <w:basedOn w:val="1"/>
    <w:qFormat/>
    <w:uiPriority w:val="0"/>
  </w:style>
  <w:style w:type="paragraph" w:customStyle="1" w:styleId="167">
    <w:name w:val="目录 11"/>
    <w:basedOn w:val="1"/>
    <w:next w:val="1"/>
    <w:qFormat/>
    <w:uiPriority w:val="0"/>
  </w:style>
  <w:style w:type="paragraph" w:customStyle="1" w:styleId="168">
    <w:name w:val="正文缩进2"/>
    <w:basedOn w:val="1"/>
    <w:qFormat/>
    <w:uiPriority w:val="0"/>
    <w:pPr>
      <w:ind w:firstLine="420"/>
    </w:pPr>
  </w:style>
  <w:style w:type="paragraph" w:customStyle="1" w:styleId="169">
    <w:name w:val="样式 正文首行缩进:  2 字符 + 首行缩进:  2 字符"/>
    <w:basedOn w:val="1"/>
    <w:qFormat/>
    <w:uiPriority w:val="0"/>
    <w:pPr>
      <w:spacing w:line="360" w:lineRule="auto"/>
      <w:ind w:firstLine="480" w:firstLineChars="200"/>
    </w:pPr>
    <w:rPr>
      <w:rFonts w:cs="等线"/>
    </w:rPr>
  </w:style>
  <w:style w:type="paragraph" w:customStyle="1" w:styleId="170">
    <w:name w:val="样式4"/>
    <w:basedOn w:val="1"/>
    <w:next w:val="1"/>
    <w:qFormat/>
    <w:uiPriority w:val="0"/>
    <w:pPr>
      <w:spacing w:line="440" w:lineRule="exact"/>
    </w:pPr>
  </w:style>
  <w:style w:type="paragraph" w:customStyle="1" w:styleId="171">
    <w:name w:val="表格1"/>
    <w:basedOn w:val="1"/>
    <w:qFormat/>
    <w:uiPriority w:val="0"/>
    <w:pPr>
      <w:adjustRightInd w:val="0"/>
      <w:spacing w:line="20" w:lineRule="atLeast"/>
      <w:jc w:val="center"/>
      <w:textAlignment w:val="center"/>
    </w:pPr>
    <w:rPr>
      <w:kern w:val="0"/>
    </w:rPr>
  </w:style>
  <w:style w:type="paragraph" w:customStyle="1" w:styleId="172">
    <w:name w:val="目录 41"/>
    <w:basedOn w:val="1"/>
    <w:next w:val="1"/>
    <w:qFormat/>
    <w:uiPriority w:val="0"/>
    <w:pPr>
      <w:widowControl/>
      <w:ind w:left="1260" w:leftChars="600"/>
      <w:jc w:val="left"/>
    </w:pPr>
    <w:rPr>
      <w:rFonts w:ascii="Arial" w:hAnsi="Arial"/>
      <w:szCs w:val="24"/>
    </w:rPr>
  </w:style>
  <w:style w:type="paragraph" w:customStyle="1" w:styleId="173">
    <w:name w:val="Default"/>
    <w:qFormat/>
    <w:uiPriority w:val="0"/>
    <w:pPr>
      <w:widowControl w:val="0"/>
      <w:autoSpaceDE w:val="0"/>
      <w:autoSpaceDN w:val="0"/>
      <w:adjustRightInd w:val="0"/>
    </w:pPr>
    <w:rPr>
      <w:rFonts w:ascii="等线" w:hAnsi="Arial Unicode MS" w:eastAsia="等线" w:cs="等线"/>
      <w:color w:val="000000"/>
      <w:sz w:val="24"/>
      <w:szCs w:val="24"/>
      <w:lang w:val="en-US" w:eastAsia="zh-CN" w:bidi="ar-SA"/>
    </w:rPr>
  </w:style>
  <w:style w:type="paragraph" w:customStyle="1" w:styleId="174">
    <w:name w:val="xl2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rPr>
  </w:style>
  <w:style w:type="paragraph" w:customStyle="1" w:styleId="175">
    <w:name w:val="0正文"/>
    <w:basedOn w:val="13"/>
    <w:qFormat/>
    <w:uiPriority w:val="0"/>
    <w:pPr>
      <w:ind w:firstLine="720"/>
    </w:pPr>
    <w:rPr>
      <w:szCs w:val="22"/>
    </w:rPr>
  </w:style>
  <w:style w:type="paragraph" w:customStyle="1" w:styleId="176">
    <w:name w:val="p16"/>
    <w:basedOn w:val="1"/>
    <w:qFormat/>
    <w:uiPriority w:val="0"/>
    <w:pPr>
      <w:widowControl/>
      <w:spacing w:before="60" w:after="60" w:line="300" w:lineRule="auto"/>
      <w:ind w:firstLine="420"/>
    </w:pPr>
    <w:rPr>
      <w:kern w:val="0"/>
      <w:szCs w:val="24"/>
    </w:rPr>
  </w:style>
  <w:style w:type="paragraph" w:customStyle="1" w:styleId="177">
    <w:name w:val="xl26"/>
    <w:basedOn w:val="1"/>
    <w:qFormat/>
    <w:uiPriority w:val="0"/>
    <w:pPr>
      <w:widowControl/>
      <w:spacing w:before="100" w:beforeAutospacing="1" w:after="100" w:afterAutospacing="1"/>
      <w:jc w:val="center"/>
    </w:pPr>
    <w:rPr>
      <w:rFonts w:ascii="Courier New" w:hAnsi="Courier New" w:eastAsia="Arial Unicode MS"/>
      <w:kern w:val="0"/>
      <w:szCs w:val="24"/>
    </w:rPr>
  </w:style>
  <w:style w:type="paragraph" w:customStyle="1" w:styleId="178">
    <w:name w:val="表格内部"/>
    <w:basedOn w:val="1"/>
    <w:qFormat/>
    <w:uiPriority w:val="0"/>
    <w:pPr>
      <w:adjustRightInd w:val="0"/>
      <w:snapToGrid w:val="0"/>
      <w:spacing w:line="300" w:lineRule="auto"/>
      <w:jc w:val="center"/>
    </w:pPr>
    <w:rPr>
      <w:rFonts w:ascii="楷体_GB2312" w:hAnsi="楷体_GB2312" w:eastAsia="Yu Mincho Light"/>
      <w:szCs w:val="24"/>
    </w:rPr>
  </w:style>
  <w:style w:type="paragraph" w:customStyle="1" w:styleId="179">
    <w:name w:val="_Style 2"/>
    <w:basedOn w:val="1"/>
    <w:qFormat/>
    <w:uiPriority w:val="0"/>
    <w:pPr>
      <w:ind w:firstLine="420" w:firstLineChars="200"/>
    </w:pPr>
    <w:rPr>
      <w:sz w:val="28"/>
      <w:szCs w:val="24"/>
    </w:rPr>
  </w:style>
  <w:style w:type="character" w:customStyle="1" w:styleId="180">
    <w:name w:val="正文文本缩进 字符"/>
    <w:link w:val="13"/>
    <w:qFormat/>
    <w:uiPriority w:val="0"/>
    <w:rPr>
      <w:kern w:val="2"/>
      <w:sz w:val="24"/>
    </w:rPr>
  </w:style>
  <w:style w:type="paragraph" w:customStyle="1" w:styleId="181">
    <w:name w:val="Char Char1 Char Char Char Char"/>
    <w:basedOn w:val="1"/>
    <w:semiHidden/>
    <w:qFormat/>
    <w:uiPriority w:val="0"/>
    <w:pPr>
      <w:adjustRightInd w:val="0"/>
      <w:snapToGrid w:val="0"/>
      <w:spacing w:line="360" w:lineRule="auto"/>
      <w:ind w:firstLine="200" w:firstLineChars="200"/>
    </w:pPr>
    <w:rPr>
      <w:rFonts w:ascii="等线"/>
      <w:szCs w:val="24"/>
    </w:rPr>
  </w:style>
  <w:style w:type="paragraph" w:customStyle="1" w:styleId="182">
    <w:name w:val="正文首行缩进 21"/>
    <w:basedOn w:val="13"/>
    <w:link w:val="183"/>
    <w:qFormat/>
    <w:locked/>
    <w:uiPriority w:val="0"/>
    <w:pPr>
      <w:spacing w:after="120" w:line="240" w:lineRule="auto"/>
      <w:ind w:left="420" w:leftChars="200" w:firstLine="420"/>
    </w:pPr>
    <w:rPr>
      <w:sz w:val="21"/>
    </w:rPr>
  </w:style>
  <w:style w:type="character" w:customStyle="1" w:styleId="183">
    <w:name w:val="正文首行缩进 2 Char"/>
    <w:link w:val="182"/>
    <w:qFormat/>
    <w:uiPriority w:val="0"/>
    <w:rPr>
      <w:kern w:val="2"/>
      <w:sz w:val="21"/>
    </w:rPr>
  </w:style>
  <w:style w:type="character" w:customStyle="1" w:styleId="184">
    <w:name w:val="未处理的提及1"/>
    <w:unhideWhenUsed/>
    <w:qFormat/>
    <w:uiPriority w:val="99"/>
    <w:rPr>
      <w:color w:val="605E5C"/>
      <w:shd w:val="clear" w:color="auto" w:fill="E1DFDD"/>
    </w:rPr>
  </w:style>
  <w:style w:type="character" w:customStyle="1" w:styleId="185">
    <w:name w:val="正文缩进 字符"/>
    <w:qFormat/>
    <w:locked/>
    <w:uiPriority w:val="0"/>
    <w:rPr>
      <w:kern w:val="2"/>
      <w:sz w:val="21"/>
    </w:rPr>
  </w:style>
  <w:style w:type="table" w:customStyle="1" w:styleId="186">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187">
    <w:name w:val="正文1"/>
    <w:qFormat/>
    <w:uiPriority w:val="0"/>
    <w:pPr>
      <w:jc w:val="both"/>
    </w:pPr>
    <w:rPr>
      <w:rFonts w:ascii="Calibri" w:hAnsi="Calibri" w:eastAsia="宋体" w:cs="Calibri"/>
      <w:kern w:val="2"/>
      <w:sz w:val="21"/>
      <w:szCs w:val="21"/>
      <w:lang w:val="en-US" w:eastAsia="zh-CN" w:bidi="ar-SA"/>
    </w:rPr>
  </w:style>
  <w:style w:type="paragraph" w:customStyle="1" w:styleId="188">
    <w:name w:val="列表段落2"/>
    <w:basedOn w:val="1"/>
    <w:qFormat/>
    <w:uiPriority w:val="34"/>
    <w:pPr>
      <w:ind w:firstLine="420" w:firstLineChars="200"/>
    </w:pPr>
  </w:style>
  <w:style w:type="paragraph" w:customStyle="1" w:styleId="189">
    <w:name w:val="正文lcc"/>
    <w:basedOn w:val="1"/>
    <w:qFormat/>
    <w:uiPriority w:val="0"/>
    <w:pPr>
      <w:adjustRightInd w:val="0"/>
      <w:snapToGrid w:val="0"/>
      <w:spacing w:line="360" w:lineRule="auto"/>
      <w:ind w:firstLine="200" w:firstLineChars="200"/>
    </w:pPr>
    <w:rPr>
      <w:rFonts w:ascii="Calibri" w:hAnsi="Calibri" w:eastAsia="Times New Roman" w:cs="Calibri"/>
      <w:kern w:val="0"/>
      <w:szCs w:val="24"/>
    </w:rPr>
  </w:style>
  <w:style w:type="paragraph" w:customStyle="1" w:styleId="190">
    <w:name w:val="正正"/>
    <w:basedOn w:val="1"/>
    <w:link w:val="191"/>
    <w:qFormat/>
    <w:uiPriority w:val="0"/>
    <w:pPr>
      <w:spacing w:line="312" w:lineRule="auto"/>
      <w:ind w:firstLine="200" w:firstLineChars="200"/>
    </w:pPr>
    <w:rPr>
      <w:rFonts w:cs="Times New Roman"/>
      <w:szCs w:val="24"/>
    </w:rPr>
  </w:style>
  <w:style w:type="character" w:customStyle="1" w:styleId="191">
    <w:name w:val="正正 Char"/>
    <w:link w:val="190"/>
    <w:qFormat/>
    <w:uiPriority w:val="0"/>
    <w:rPr>
      <w:rFonts w:ascii="Times New Roman" w:hAnsi="Times New Roman" w:eastAsia="宋体" w:cs="Times New Roman"/>
      <w:kern w:val="2"/>
      <w:sz w:val="21"/>
      <w:szCs w:val="24"/>
    </w:rPr>
  </w:style>
  <w:style w:type="paragraph" w:customStyle="1" w:styleId="192">
    <w:name w:val="样式 样式 样式 表头 + 段前: 0.5 行 段后: 0.5 行 + 段后: 0.5 行 + 段前: 0.5 行"/>
    <w:basedOn w:val="1"/>
    <w:qFormat/>
    <w:uiPriority w:val="0"/>
    <w:pPr>
      <w:framePr w:hSpace="180" w:wrap="around" w:vAnchor="margin" w:hAnchor="margin" w:y="542"/>
      <w:adjustRightInd w:val="0"/>
      <w:snapToGrid w:val="0"/>
      <w:spacing w:before="120" w:line="312" w:lineRule="auto"/>
      <w:ind w:firstLine="200" w:firstLineChars="200"/>
      <w:jc w:val="center"/>
    </w:pPr>
    <w:rPr>
      <w:rFonts w:cs="宋体"/>
      <w:b/>
    </w:rPr>
  </w:style>
  <w:style w:type="paragraph" w:customStyle="1" w:styleId="193">
    <w:name w:val="样式 样式 样式 样式 样式 样式 文本 + 首行缩进:  2 字符 + 首行缩进:  2 字符 + 首行缩进:  2 字符1 ..."/>
    <w:basedOn w:val="1"/>
    <w:qFormat/>
    <w:uiPriority w:val="0"/>
    <w:pPr>
      <w:spacing w:line="440" w:lineRule="exact"/>
      <w:ind w:firstLine="200" w:firstLineChars="200"/>
    </w:pPr>
    <w:rPr>
      <w:rFonts w:ascii="宋体" w:cs="宋体"/>
      <w:spacing w:val="-8"/>
      <w:sz w:val="26"/>
      <w:szCs w:val="26"/>
    </w:rPr>
  </w:style>
  <w:style w:type="paragraph" w:customStyle="1" w:styleId="194">
    <w:name w:val="样式 样式 样式 样式 文本 + 首行缩进:  2 字符 + 首行缩进:  2 字符 + 首行缩进:  2 字符2 + 首行缩进..."/>
    <w:basedOn w:val="1"/>
    <w:qFormat/>
    <w:uiPriority w:val="0"/>
    <w:pPr>
      <w:spacing w:line="440" w:lineRule="exact"/>
      <w:ind w:firstLine="200" w:firstLineChars="200"/>
    </w:pPr>
    <w:rPr>
      <w:rFonts w:ascii="宋体" w:cs="宋体"/>
      <w:spacing w:val="-8"/>
      <w:sz w:val="26"/>
      <w:szCs w:val="26"/>
    </w:rPr>
  </w:style>
  <w:style w:type="paragraph" w:customStyle="1" w:styleId="195">
    <w:name w:val="3"/>
    <w:basedOn w:val="190"/>
    <w:qFormat/>
    <w:uiPriority w:val="0"/>
    <w:rPr>
      <w:rFonts w:eastAsia="黑体"/>
    </w:rPr>
  </w:style>
  <w:style w:type="character" w:customStyle="1" w:styleId="196">
    <w:name w:val="正文文本首行缩进 2 字符"/>
    <w:basedOn w:val="180"/>
    <w:link w:val="29"/>
    <w:semiHidden/>
    <w:qFormat/>
    <w:uiPriority w:val="0"/>
    <w:rPr>
      <w:kern w:val="2"/>
      <w:sz w:val="21"/>
    </w:rPr>
  </w:style>
  <w:style w:type="character" w:customStyle="1" w:styleId="197">
    <w:name w:val="表格文字 Char"/>
    <w:qFormat/>
    <w:uiPriority w:val="0"/>
    <w:rPr>
      <w:rFonts w:ascii="宋体" w:hAnsi="宋体" w:eastAsia="宋体"/>
      <w:kern w:val="2"/>
      <w:sz w:val="21"/>
      <w:szCs w:val="21"/>
      <w:lang w:val="en-US" w:eastAsia="zh-CN" w:bidi="ar-SA"/>
    </w:rPr>
  </w:style>
  <w:style w:type="paragraph" w:customStyle="1" w:styleId="198">
    <w:name w:val="正文何昌泽"/>
    <w:basedOn w:val="1"/>
    <w:qFormat/>
    <w:uiPriority w:val="0"/>
    <w:pPr>
      <w:adjustRightInd w:val="0"/>
      <w:snapToGrid w:val="0"/>
      <w:spacing w:line="360" w:lineRule="auto"/>
      <w:ind w:firstLine="200" w:firstLineChars="200"/>
    </w:pPr>
    <w:rPr>
      <w:rFonts w:ascii="Calibri" w:hAnsi="Calibri" w:cs="Times New Roman"/>
      <w:kern w:val="0"/>
      <w:szCs w:val="24"/>
    </w:rPr>
  </w:style>
  <w:style w:type="character" w:customStyle="1" w:styleId="199">
    <w:name w:val="fontstyle11"/>
    <w:qFormat/>
    <w:uiPriority w:val="0"/>
    <w:rPr>
      <w:rFonts w:hint="default" w:ascii="Times New Roman" w:hAnsi="Times New Roman" w:cs="Times New Roman"/>
      <w:color w:val="000000"/>
      <w:sz w:val="24"/>
      <w:szCs w:val="24"/>
    </w:rPr>
  </w:style>
  <w:style w:type="character" w:customStyle="1" w:styleId="200">
    <w:name w:val="标题 4 字符"/>
    <w:basedOn w:val="34"/>
    <w:link w:val="5"/>
    <w:semiHidden/>
    <w:qFormat/>
    <w:uiPriority w:val="0"/>
    <w:rPr>
      <w:rFonts w:asciiTheme="majorHAnsi" w:hAnsiTheme="majorHAnsi" w:eastAsiaTheme="majorEastAsia" w:cstheme="majorBidi"/>
      <w:b/>
      <w:bCs/>
      <w:kern w:val="2"/>
      <w:sz w:val="28"/>
      <w:szCs w:val="28"/>
    </w:rPr>
  </w:style>
  <w:style w:type="character" w:customStyle="1" w:styleId="201">
    <w:name w:val="表格 Char Char"/>
    <w:qFormat/>
    <w:uiPriority w:val="0"/>
    <w:rPr>
      <w:rFonts w:ascii="Times New Roman" w:hAnsi="Times New Roman" w:eastAsia="宋体"/>
      <w:kern w:val="2"/>
      <w:sz w:val="21"/>
      <w:szCs w:val="21"/>
      <w:lang w:val="en-US" w:eastAsia="zh-CN" w:bidi="ar-SA"/>
    </w:rPr>
  </w:style>
  <w:style w:type="paragraph" w:styleId="202">
    <w:name w:val="List Paragraph"/>
    <w:basedOn w:val="1"/>
    <w:qFormat/>
    <w:uiPriority w:val="99"/>
    <w:pPr>
      <w:ind w:firstLine="420" w:firstLineChars="200"/>
    </w:pPr>
  </w:style>
  <w:style w:type="paragraph" w:customStyle="1" w:styleId="203">
    <w:name w:val="正文首行缩进 22"/>
    <w:basedOn w:val="13"/>
    <w:semiHidden/>
    <w:qFormat/>
    <w:uiPriority w:val="0"/>
    <w:pPr>
      <w:spacing w:before="100" w:beforeAutospacing="1" w:after="120" w:line="240" w:lineRule="auto"/>
      <w:ind w:left="420" w:leftChars="200" w:firstLine="420"/>
    </w:pPr>
    <w:rPr>
      <w:rFonts w:ascii="宋体" w:hAnsi="宋体" w:cs="Times New Roman"/>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24.png"/><Relationship Id="rId41" Type="http://schemas.openxmlformats.org/officeDocument/2006/relationships/image" Target="media/image23.wmf"/><Relationship Id="rId40" Type="http://schemas.openxmlformats.org/officeDocument/2006/relationships/oleObject" Target="embeddings/oleObject11.bin"/><Relationship Id="rId4" Type="http://schemas.openxmlformats.org/officeDocument/2006/relationships/footer" Target="footer1.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wmf"/><Relationship Id="rId36" Type="http://schemas.openxmlformats.org/officeDocument/2006/relationships/oleObject" Target="embeddings/oleObject10.bin"/><Relationship Id="rId35" Type="http://schemas.openxmlformats.org/officeDocument/2006/relationships/image" Target="media/image19.wmf"/><Relationship Id="rId34" Type="http://schemas.openxmlformats.org/officeDocument/2006/relationships/oleObject" Target="embeddings/oleObject9.bin"/><Relationship Id="rId33" Type="http://schemas.openxmlformats.org/officeDocument/2006/relationships/image" Target="media/image18.wmf"/><Relationship Id="rId32" Type="http://schemas.openxmlformats.org/officeDocument/2006/relationships/oleObject" Target="embeddings/oleObject8.bin"/><Relationship Id="rId31" Type="http://schemas.openxmlformats.org/officeDocument/2006/relationships/image" Target="media/image17.wmf"/><Relationship Id="rId30" Type="http://schemas.openxmlformats.org/officeDocument/2006/relationships/oleObject" Target="embeddings/oleObject7.bin"/><Relationship Id="rId3" Type="http://schemas.openxmlformats.org/officeDocument/2006/relationships/header" Target="header1.xml"/><Relationship Id="rId29" Type="http://schemas.openxmlformats.org/officeDocument/2006/relationships/image" Target="media/image16.wmf"/><Relationship Id="rId28" Type="http://schemas.openxmlformats.org/officeDocument/2006/relationships/oleObject" Target="embeddings/oleObject6.bin"/><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7.wmf"/><Relationship Id="rId17" Type="http://schemas.openxmlformats.org/officeDocument/2006/relationships/oleObject" Target="embeddings/oleObject4.bin"/><Relationship Id="rId16" Type="http://schemas.openxmlformats.org/officeDocument/2006/relationships/image" Target="media/image6.wmf"/><Relationship Id="rId15" Type="http://schemas.openxmlformats.org/officeDocument/2006/relationships/oleObject" Target="embeddings/oleObject3.bin"/><Relationship Id="rId14" Type="http://schemas.openxmlformats.org/officeDocument/2006/relationships/image" Target="media/image5.wmf"/><Relationship Id="rId13" Type="http://schemas.openxmlformats.org/officeDocument/2006/relationships/oleObject" Target="embeddings/oleObject2.bin"/><Relationship Id="rId12" Type="http://schemas.openxmlformats.org/officeDocument/2006/relationships/image" Target="media/image4.wmf"/><Relationship Id="rId11" Type="http://schemas.openxmlformats.org/officeDocument/2006/relationships/oleObject" Target="embeddings/oleObject1.bin"/><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CCE09C-F569-42E3-AAED-10D02D5374FF}">
  <ds:schemaRefs/>
</ds:datastoreItem>
</file>

<file path=docProps/app.xml><?xml version="1.0" encoding="utf-8"?>
<Properties xmlns="http://schemas.openxmlformats.org/officeDocument/2006/extended-properties" xmlns:vt="http://schemas.openxmlformats.org/officeDocument/2006/docPropsVTypes">
  <Template>Normal</Template>
  <Company>corp</Company>
  <Pages>1</Pages>
  <Words>12952</Words>
  <Characters>73827</Characters>
  <Lines>615</Lines>
  <Paragraphs>173</Paragraphs>
  <TotalTime>12</TotalTime>
  <ScaleCrop>false</ScaleCrop>
  <LinksUpToDate>false</LinksUpToDate>
  <CharactersWithSpaces>86606</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2020-12-22T07:53:00Z</dcterms:created>
  <dc:creator>your name</dc:creator>
  <cp:lastModifiedBy>Administrator</cp:lastModifiedBy>
  <cp:lastPrinted>2020-12-23T01:29:00Z</cp:lastPrinted>
  <dcterms:modified xsi:type="dcterms:W3CDTF">2020-12-23T08:27:50Z</dcterms:modified>
  <dc:title>建设项目基本情况</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