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峨边彝族自治县散装水泥管理办法</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（征求意见稿）</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黑体" w:hAnsi="黑体" w:eastAsia="黑体" w:cs="黑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第一条</w:t>
      </w:r>
      <w:r>
        <w:rPr>
          <w:rFonts w:hint="eastAsia" w:ascii="仿宋_GB2312" w:hAnsi="仿宋_GB2312" w:eastAsia="仿宋_GB2312" w:cs="仿宋_GB2312"/>
          <w:sz w:val="32"/>
          <w:szCs w:val="32"/>
          <w:lang w:val="en-US" w:eastAsia="zh-CN"/>
        </w:rPr>
        <w:t xml:space="preserve">  为进一步加强我县建设工程管理，规范建筑材料使用，节约资源能源，减少污染物排放，保护自然生态环境，根据《中华人民共和国建筑法》《中华人民共和国环境保护法》《中华人民共和国循环经济促进法》《建设工程质量管理条例》《四川散装水泥管理条例》等相关法律法规规定，结合我县实际，特制定本办法。</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第二条</w:t>
      </w:r>
      <w:r>
        <w:rPr>
          <w:rFonts w:hint="eastAsia" w:ascii="仿宋_GB2312" w:hAnsi="仿宋_GB2312" w:eastAsia="仿宋_GB2312" w:cs="仿宋_GB2312"/>
          <w:sz w:val="32"/>
          <w:szCs w:val="32"/>
          <w:lang w:val="en-US" w:eastAsia="zh-CN"/>
        </w:rPr>
        <w:t xml:space="preserve">  本办法下列用语的含义：</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（一）散装水泥，是指不使用包装袋，直接通过专用设备出厂、运输、储存和使用的水泥。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（二）预拌混凝土，是指由水泥、集料、水以及所需的外加剂和掺合料等，在搅拌站按照一定比例计量、拌制后，通过专用设备运输、使用的拌合物。</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（三）预拌砂浆，是指由水泥、砂以及所需的外加剂和掺合料等，在搅拌站按一定比例计量、拌制后，通过专用设备运输、使用的拌合物。预拌砂浆包括干混砂浆和湿拌砂浆。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（四）混凝土预制构件，是指以混凝土为基本材料预先在工厂制成的梁、板、柱、管、建筑装饰配件等供施工现场装配的建筑构件。</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第三条</w:t>
      </w:r>
      <w:r>
        <w:rPr>
          <w:rFonts w:hint="eastAsia" w:ascii="仿宋_GB2312" w:hAnsi="仿宋_GB2312" w:eastAsia="仿宋_GB2312" w:cs="仿宋_GB2312"/>
          <w:sz w:val="32"/>
          <w:szCs w:val="32"/>
          <w:lang w:val="en-US" w:eastAsia="zh-CN"/>
        </w:rPr>
        <w:t xml:space="preserve">  我县行政区域内散装水泥的发展应用，预拌混凝土、预拌砂浆和混凝土预制构件的生产、销售、运输、使用及监督管理，适用本办法。</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第四条</w:t>
      </w:r>
      <w:r>
        <w:rPr>
          <w:rFonts w:hint="eastAsia" w:ascii="仿宋_GB2312" w:hAnsi="仿宋_GB2312" w:eastAsia="仿宋_GB2312" w:cs="仿宋_GB2312"/>
          <w:sz w:val="32"/>
          <w:szCs w:val="32"/>
          <w:lang w:val="en-US" w:eastAsia="zh-CN"/>
        </w:rPr>
        <w:t xml:space="preserve">  水泥生产和使用应当坚持发展散装、限制袋装的原则。根据《四川散装水泥管理条例》第四条之规定:“县级以上地方人民政府住房城乡建设行政主管部门负责本行政区域内散装水泥、预拌混凝土、预拌砂浆和混凝土预制构件发展应用的监督管理工作。”峨边彝族自治县住房和城市建设局结合峨边彝族自治县实际,行使职权符合法律法规规定。</w:t>
      </w: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第五条</w:t>
      </w:r>
      <w:r>
        <w:rPr>
          <w:rFonts w:hint="eastAsia" w:ascii="仿宋_GB2312" w:hAnsi="仿宋_GB2312" w:eastAsia="仿宋_GB2312" w:cs="仿宋_GB2312"/>
          <w:sz w:val="32"/>
          <w:szCs w:val="32"/>
          <w:lang w:val="en-US" w:eastAsia="zh-CN"/>
        </w:rPr>
        <w:t xml:space="preserve">  自治县人民政府在符合散装水泥发展应用专项规划的前提下，维护企业平等的市场主体地位，不得限制预拌混凝土和预拌砂浆生产企业的设立及经营活动的市场竞争。设立散装水泥管理机构负责散装水泥发展应用的具体管理工作，所需经费纳入县级财政预算。</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第六条</w:t>
      </w:r>
      <w:r>
        <w:rPr>
          <w:rFonts w:hint="eastAsia" w:ascii="仿宋_GB2312" w:hAnsi="仿宋_GB2312" w:eastAsia="仿宋_GB2312" w:cs="仿宋_GB2312"/>
          <w:sz w:val="32"/>
          <w:szCs w:val="32"/>
          <w:lang w:val="en-US" w:eastAsia="zh-CN"/>
        </w:rPr>
        <w:t xml:space="preserve">  县住房和城乡建设局负责我县行政区域内散装水泥、预拌混凝土、预拌砂浆和混凝土预制构件发展应用的监督管理工作，具体职责为：</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（一）贯彻落实国家、省、市关于散装水泥的相关法律法规和政策，负责散装水泥发展应用在全县的宣传、推广和应用；</w:t>
      </w: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（二）编制我县散装水泥发展规划并组织实施，引导散装水泥生产、经营等相关企业在镇、村设立散装水泥销售网点，推进散装水泥在镇村的应用，鼓励镇、村两级使用预拌混凝土和预拌砂浆；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（三）推广生产新技术、新工艺、新设备，开发和引进适合农村应用散装水泥、预拌混凝土、预拌砂浆的配套装备；</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（四）负责行政区域内散装水泥、预拌混凝土、预拌砂浆和混凝土预制构件生产、销售、运输、使用的日常监督管理和行政执法。</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第七条</w:t>
      </w:r>
      <w:r>
        <w:rPr>
          <w:rFonts w:hint="eastAsia" w:ascii="仿宋_GB2312" w:hAnsi="仿宋_GB2312" w:eastAsia="仿宋_GB2312" w:cs="仿宋_GB2312"/>
          <w:sz w:val="32"/>
          <w:szCs w:val="32"/>
          <w:lang w:val="en-US" w:eastAsia="zh-CN"/>
        </w:rPr>
        <w:t xml:space="preserve">  县发改局、县经信局、县公安局、县财政局、县生态环境局、县市场和质量监管局、县交通运输局、县自然资源局、县水务局、县综合执法局等部门，按照各自职责做好散装水泥、预拌混凝土、预拌砂浆和混凝土预制构件发展应用的相关监督管理工作。</w:t>
      </w: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第八条</w:t>
      </w:r>
      <w:r>
        <w:rPr>
          <w:rFonts w:hint="eastAsia" w:ascii="仿宋_GB2312" w:hAnsi="仿宋_GB2312" w:eastAsia="仿宋_GB2312" w:cs="仿宋_GB2312"/>
          <w:sz w:val="32"/>
          <w:szCs w:val="32"/>
          <w:lang w:val="en-US" w:eastAsia="zh-CN"/>
        </w:rPr>
        <w:t xml:space="preserve">  各乡（镇）人民政府协助有关部门做好散装水泥发展应用工作，切实履行属地管理职责，开展辖区内建设工程领域散装水泥的宣传、使用和管理相关工作。</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第九条</w:t>
      </w:r>
      <w:r>
        <w:rPr>
          <w:rFonts w:hint="eastAsia" w:ascii="仿宋_GB2312" w:hAnsi="仿宋_GB2312" w:eastAsia="仿宋_GB2312" w:cs="仿宋_GB2312"/>
          <w:sz w:val="32"/>
          <w:szCs w:val="32"/>
          <w:lang w:val="en-US" w:eastAsia="zh-CN"/>
        </w:rPr>
        <w:t xml:space="preserve">  新建、改建、扩建预拌混凝土和预拌砂浆生产项目应当符合我县散装水泥发展应用规划，进行环境影响评价。</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第十章</w:t>
      </w:r>
      <w:r>
        <w:rPr>
          <w:rFonts w:hint="eastAsia" w:ascii="仿宋_GB2312" w:hAnsi="仿宋_GB2312" w:eastAsia="仿宋_GB2312" w:cs="仿宋_GB2312"/>
          <w:sz w:val="32"/>
          <w:szCs w:val="32"/>
          <w:lang w:val="en-US" w:eastAsia="zh-CN"/>
        </w:rPr>
        <w:t xml:space="preserve">  预拌混凝土生产企业应当依法取得建筑业企业专业承包资质，预拌砂浆生产企业应当按照国家有关规定向所在市（州）散装水泥管理机构登记备案，预拌砂浆的生产和应用应当符合国家和省相关技术标准、规程。新建、改建、扩建水泥生产项目，应当按照散装水泥发放能力不低于国家规定的标准和环境保护要求进行设计、建设。</w:t>
      </w: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第十一条</w:t>
      </w:r>
      <w:r>
        <w:rPr>
          <w:rFonts w:hint="eastAsia" w:ascii="仿宋_GB2312" w:hAnsi="仿宋_GB2312" w:eastAsia="仿宋_GB2312" w:cs="仿宋_GB2312"/>
          <w:color w:val="auto"/>
          <w:sz w:val="32"/>
          <w:szCs w:val="32"/>
          <w:lang w:val="en-US" w:eastAsia="zh-CN"/>
        </w:rPr>
        <w:t xml:space="preserve">  企业生产预拌混凝土、预拌砂浆和混凝土预制构件，应当全部使用散装水泥，产品应符合国家有关循环经济发展、资源综合利用、节能减排等规定，依法享受相关税收优惠。</w:t>
      </w: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第十二条</w:t>
      </w:r>
      <w:r>
        <w:rPr>
          <w:rFonts w:hint="eastAsia" w:ascii="仿宋_GB2312" w:hAnsi="仿宋_GB2312" w:eastAsia="仿宋_GB2312" w:cs="仿宋_GB2312"/>
          <w:color w:val="auto"/>
          <w:sz w:val="32"/>
          <w:szCs w:val="32"/>
          <w:lang w:val="en-US" w:eastAsia="zh-CN"/>
        </w:rPr>
        <w:t xml:space="preserve">  新建、改建预拌混凝土和预拌砂浆搅拌站，需严格执行《四川省绿色环保搅拌站建设、管理和评价标准》规定，应当按照无粉尘污染、低噪音生产、废弃物零排放的绿色环保标准进行设计和建设。</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第十三条</w:t>
      </w:r>
      <w:r>
        <w:rPr>
          <w:rFonts w:hint="eastAsia" w:ascii="仿宋_GB2312" w:hAnsi="仿宋_GB2312" w:eastAsia="仿宋_GB2312" w:cs="仿宋_GB2312"/>
          <w:color w:val="auto"/>
          <w:sz w:val="32"/>
          <w:szCs w:val="32"/>
          <w:lang w:val="en-US" w:eastAsia="zh-CN"/>
        </w:rPr>
        <w:t xml:space="preserve">  企业在生产过程要按照《预拌混凝土绿色生产及管理技术规程》要求，生产企业应当建立健全质量控制体系，严格质量和计量管理，产品应当符合质量标准和计量要求，还需按要求将样品送有资质的第三方检测机构进行检测并获取检测合格报告。</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第十四条</w:t>
      </w:r>
      <w:r>
        <w:rPr>
          <w:rFonts w:hint="eastAsia" w:ascii="仿宋_GB2312" w:hAnsi="仿宋_GB2312" w:eastAsia="仿宋_GB2312" w:cs="仿宋_GB2312"/>
          <w:color w:val="auto"/>
          <w:sz w:val="32"/>
          <w:szCs w:val="32"/>
          <w:lang w:val="en-US" w:eastAsia="zh-CN"/>
        </w:rPr>
        <w:t xml:space="preserve">  产生的固态及液态废物，需按照《预拌混凝土搅拌站废水废浆回收利用技术规程》进行处置，做到节约建筑资源，保护生态环境。</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第十五条</w:t>
      </w:r>
      <w:r>
        <w:rPr>
          <w:rFonts w:hint="eastAsia" w:ascii="仿宋_GB2312" w:hAnsi="仿宋_GB2312" w:eastAsia="仿宋_GB2312" w:cs="仿宋_GB2312"/>
          <w:color w:val="auto"/>
          <w:sz w:val="32"/>
          <w:szCs w:val="32"/>
          <w:lang w:val="en-US" w:eastAsia="zh-CN"/>
        </w:rPr>
        <w:t xml:space="preserve">  鼓励企业建立规模化、专业化的散装水泥、预拌混凝土和预拌砂浆现代运输服务体系，运输时应当使用符合国家标准的专用车辆。专用车辆应当符合核定载重量进行标准装载，严禁超载、超限、超速，防止抛洒滴漏，保持车辆清洁。专用车辆确需在交通管理限制路段通行、停靠的，应当按照公安机关交通管理部门规定的时间、路线、速度通行。</w:t>
      </w: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_GB2312" w:hAnsi="仿宋_GB2312" w:eastAsia="仿宋_GB2312" w:cs="仿宋_GB2312"/>
          <w:color w:val="C00000"/>
          <w:sz w:val="32"/>
          <w:szCs w:val="32"/>
          <w:highlight w:val="none"/>
          <w:lang w:val="en-US" w:eastAsia="zh-CN"/>
        </w:rPr>
      </w:pPr>
      <w:r>
        <w:rPr>
          <w:rFonts w:hint="eastAsia" w:ascii="仿宋_GB2312" w:hAnsi="仿宋_GB2312" w:eastAsia="仿宋_GB2312" w:cs="仿宋_GB2312"/>
          <w:b/>
          <w:bCs/>
          <w:color w:val="auto"/>
          <w:sz w:val="32"/>
          <w:szCs w:val="32"/>
          <w:lang w:val="en-US" w:eastAsia="zh-CN"/>
        </w:rPr>
        <w:t>第十六条</w:t>
      </w:r>
      <w:r>
        <w:rPr>
          <w:rFonts w:hint="eastAsia" w:ascii="仿宋_GB2312" w:hAnsi="仿宋_GB2312" w:eastAsia="仿宋_GB2312" w:cs="仿宋_GB2312"/>
          <w:color w:val="auto"/>
          <w:sz w:val="32"/>
          <w:szCs w:val="32"/>
          <w:lang w:val="en-US" w:eastAsia="zh-CN"/>
        </w:rPr>
        <w:t xml:space="preserve">  预拌混凝土到达施工现场后，由施工单位取样制作、养护的混凝土试块，加强混凝土浇筑、振捣和养护的过程管理，严禁在浇筑过程中加水，严禁散落的预拌混凝土用于结构构件的浇筑，混凝土浇筑后应及时进行保湿养护，</w:t>
      </w:r>
      <w:r>
        <w:rPr>
          <w:rFonts w:hint="eastAsia" w:ascii="仿宋_GB2312" w:hAnsi="仿宋_GB2312" w:eastAsia="仿宋_GB2312" w:cs="仿宋_GB2312"/>
          <w:color w:val="auto"/>
          <w:sz w:val="32"/>
          <w:szCs w:val="32"/>
          <w:highlight w:val="none"/>
          <w:lang w:val="en-US" w:eastAsia="zh-CN"/>
        </w:rPr>
        <w:t>养护方法和时间应符合要求，确保混凝土结构质量符合要求。</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监理单位应督促施工单位严格按标准规范要求进行混凝土的浇筑、振捣和养护。</w:t>
      </w:r>
      <w:r>
        <w:rPr>
          <w:rFonts w:hint="eastAsia" w:ascii="仿宋_GB2312" w:hAnsi="仿宋_GB2312" w:eastAsia="仿宋_GB2312" w:cs="仿宋_GB2312"/>
          <w:color w:val="auto"/>
          <w:sz w:val="32"/>
          <w:szCs w:val="32"/>
          <w:highlight w:val="none"/>
          <w:lang w:val="en-US" w:eastAsia="zh-CN"/>
        </w:rPr>
        <w:t>混凝土浇捣过程做好旁站监理并做好记录，做好混凝土试件取</w:t>
      </w:r>
      <w:r>
        <w:rPr>
          <w:rFonts w:hint="eastAsia" w:ascii="仿宋_GB2312" w:hAnsi="仿宋_GB2312" w:eastAsia="仿宋_GB2312" w:cs="仿宋_GB2312"/>
          <w:color w:val="auto"/>
          <w:sz w:val="32"/>
          <w:szCs w:val="32"/>
          <w:lang w:val="en-US" w:eastAsia="zh-CN"/>
        </w:rPr>
        <w:t>样、留置、送检的全过程见证，确保试件真实反映现场混凝土结构质量。</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第十七条</w:t>
      </w:r>
      <w:r>
        <w:rPr>
          <w:rFonts w:hint="eastAsia" w:ascii="仿宋_GB2312" w:hAnsi="仿宋_GB2312" w:eastAsia="仿宋_GB2312" w:cs="仿宋_GB2312"/>
          <w:color w:val="auto"/>
          <w:sz w:val="32"/>
          <w:szCs w:val="32"/>
          <w:lang w:val="en-US" w:eastAsia="zh-CN"/>
        </w:rPr>
        <w:t xml:space="preserve">  在县城规划区范围内实施的工程建设项目禁止施工现场搅拌混凝土、砂浆，禁止使用袋装水泥。</w:t>
      </w: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第十八条</w:t>
      </w:r>
      <w:r>
        <w:rPr>
          <w:rFonts w:hint="eastAsia" w:ascii="仿宋_GB2312" w:hAnsi="仿宋_GB2312" w:eastAsia="仿宋_GB2312" w:cs="仿宋_GB2312"/>
          <w:color w:val="auto"/>
          <w:sz w:val="32"/>
          <w:szCs w:val="32"/>
          <w:lang w:val="en-US" w:eastAsia="zh-CN"/>
        </w:rPr>
        <w:t xml:space="preserve"> 属于本办法第十七条规定区域内的建设工程项目,有下列情形中之一的,由建设单位或施工单位提出书面申请,经县级建设行政主管部门核准通过的,可以使用袋装水泥: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(一)散装水泥无法供应、运输到达施工现场的;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(二)使用特种水泥或者施工工艺有特殊要求的;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(三)水泥使用总量三十吨以下的。</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第十九条 </w:t>
      </w:r>
      <w:r>
        <w:rPr>
          <w:rFonts w:hint="eastAsia" w:ascii="仿宋_GB2312" w:hAnsi="仿宋_GB2312" w:eastAsia="仿宋_GB2312" w:cs="仿宋_GB2312"/>
          <w:color w:val="auto"/>
          <w:sz w:val="32"/>
          <w:szCs w:val="32"/>
          <w:lang w:val="en-US" w:eastAsia="zh-CN"/>
        </w:rPr>
        <w:t>属于本办法第十七条规定区域内的建设工程项目,有下列情形中之一的,由建设单位或施工单位提出书面申请,经县级建设行政主管部门核准通过的,可以现场搅拌混凝土和现场搅拌砂浆: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（一）混凝土使用总量二百立方米以下的;</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（二）砂浆使用总量一百吨以下的;</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（三）平原地区施工现场八十公里、其他地区施工现场四十公里运输距离内无预拌混凝土、预拌砂浆供应的。</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bCs/>
          <w:color w:val="auto"/>
          <w:sz w:val="32"/>
          <w:szCs w:val="32"/>
          <w:lang w:val="en-US" w:eastAsia="zh-CN"/>
        </w:rPr>
        <w:t>第二十条</w:t>
      </w:r>
      <w:r>
        <w:rPr>
          <w:rFonts w:hint="eastAsia" w:ascii="仿宋_GB2312" w:hAnsi="仿宋_GB2312" w:eastAsia="仿宋_GB2312" w:cs="仿宋_GB2312"/>
          <w:color w:val="auto"/>
          <w:sz w:val="32"/>
          <w:szCs w:val="32"/>
          <w:lang w:val="en-US" w:eastAsia="zh-CN"/>
        </w:rPr>
        <w:t xml:space="preserve">  交通、水利、能源等大中型建设工程项目配套设置的预拌混凝土、预拌砂浆临时搅拌站仅限于为该建设工程项目提供预拌混凝土、预拌砂浆，并应当在建设工程项目竣工验收后三个月内自行拆除。</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bCs/>
          <w:color w:val="auto"/>
          <w:sz w:val="32"/>
          <w:szCs w:val="32"/>
          <w:lang w:val="en-US" w:eastAsia="zh-CN"/>
        </w:rPr>
        <w:t>第二十一条</w:t>
      </w:r>
      <w:r>
        <w:rPr>
          <w:rFonts w:hint="eastAsia" w:ascii="仿宋_GB2312" w:hAnsi="仿宋_GB2312" w:eastAsia="仿宋_GB2312" w:cs="仿宋_GB2312"/>
          <w:color w:val="auto"/>
          <w:sz w:val="32"/>
          <w:szCs w:val="32"/>
          <w:lang w:val="en-US" w:eastAsia="zh-CN"/>
        </w:rPr>
        <w:t xml:space="preserve">  依照本办法规定使用预拌混凝土、预拌砂浆的建设工程项目，应当适用下列规定：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（一）建设单位不得要求施工单位使用袋装水泥；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（二）建设工程项目的招标人或者招标代理人应当将使用预拌混凝土、预拌砂浆的要求列入招标文件；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（三）设计单位应当按照使用预拌混凝土、预拌砂浆的要求进行设计，并在施工图设计文件中标明等级标准；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（四）施工图审查机构对未按照规定标明使用预拌混凝土、预拌砂浆等级的施工图设计文件，不予审查通过；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（五）施工单位应当按照施工图设计文件中使用预拌混凝土、预拌砂浆的要求进行施工；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（六）工程监理单位应当按照施工图设计文件中使用预拌混凝土、预拌砂浆的要求进行监理。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建设工程项目竣工验收时，应当将项目使用散装水泥、预拌混凝土和预拌砂浆的情况作为竣工验收的内容。</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bCs/>
          <w:color w:val="auto"/>
          <w:sz w:val="32"/>
          <w:szCs w:val="32"/>
          <w:lang w:val="en-US" w:eastAsia="zh-CN"/>
        </w:rPr>
        <w:t>第二十二条</w:t>
      </w:r>
      <w:r>
        <w:rPr>
          <w:rFonts w:hint="eastAsia" w:ascii="仿宋_GB2312" w:hAnsi="仿宋_GB2312" w:eastAsia="仿宋_GB2312" w:cs="仿宋_GB2312"/>
          <w:color w:val="auto"/>
          <w:sz w:val="32"/>
          <w:szCs w:val="32"/>
          <w:lang w:val="en-US" w:eastAsia="zh-CN"/>
        </w:rPr>
        <w:t xml:space="preserve">  县住房城乡建设行政主管部门应当对散装水泥、预拌混凝土、预拌砂浆、混凝土预制构件生产、使用企业进行信用监督管理，对违法违规和发生质量事故的企业进行重点监督管理，查处违法行为，并将监督管理情况及时向社会公告。</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bCs/>
          <w:color w:val="auto"/>
          <w:sz w:val="32"/>
          <w:szCs w:val="32"/>
          <w:lang w:val="en-US" w:eastAsia="zh-CN"/>
        </w:rPr>
        <w:t>第二十三条</w:t>
      </w:r>
      <w:r>
        <w:rPr>
          <w:rFonts w:hint="eastAsia" w:ascii="仿宋_GB2312" w:hAnsi="仿宋_GB2312" w:eastAsia="仿宋_GB2312" w:cs="仿宋_GB2312"/>
          <w:color w:val="auto"/>
          <w:sz w:val="32"/>
          <w:szCs w:val="32"/>
          <w:lang w:val="en-US" w:eastAsia="zh-CN"/>
        </w:rPr>
        <w:t xml:space="preserve">  对存在以下违法违规行为，按相关规定进行处罚：</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（一）违法使用袋装水泥的，县住房城乡建设行政主管部门或者城市管理行政执法部门责令停止违法行为、限期改正，处一万元以上五万元以下的罚款；拒不改正的，责令停止施工。</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（二）违法现场搅拌混凝土、砂浆的，县住房城乡建设行政主管部门或者城市管理行政执法部门责令停止违法行为、限期改正，处五万元以上十万元以下的罚款；拒不改正的，责令停止施工。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（三）违法设置移动式搅拌站的，由县住房城乡建设行政主管部门或者城市管理行政执法部门责令停止违法行为，处五万元以上十万元以下的罚款。</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bCs/>
          <w:color w:val="auto"/>
          <w:sz w:val="32"/>
          <w:szCs w:val="32"/>
          <w:lang w:val="en-US" w:eastAsia="zh-CN"/>
        </w:rPr>
        <w:t>第二十四条</w:t>
      </w:r>
      <w:r>
        <w:rPr>
          <w:rFonts w:hint="eastAsia" w:ascii="仿宋_GB2312" w:hAnsi="仿宋_GB2312" w:eastAsia="仿宋_GB2312" w:cs="仿宋_GB2312"/>
          <w:color w:val="auto"/>
          <w:sz w:val="32"/>
          <w:szCs w:val="32"/>
          <w:lang w:val="en-US" w:eastAsia="zh-CN"/>
        </w:rPr>
        <w:t xml:space="preserve">  违反本办法第二十一条第一款规定，由县住房城乡建设行政主管部门对建设单位、设计单位、施工图审查机构、施工单位、工程监理单位分别处二万元以上五万元以下的罚款；情节严重的，分别处五万元以上十万元以下的罚款。</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bCs/>
          <w:color w:val="auto"/>
          <w:sz w:val="32"/>
          <w:szCs w:val="32"/>
          <w:lang w:val="en-US" w:eastAsia="zh-CN"/>
        </w:rPr>
        <w:t>第二十五条</w:t>
      </w:r>
      <w:r>
        <w:rPr>
          <w:rFonts w:hint="eastAsia" w:ascii="仿宋_GB2312" w:hAnsi="仿宋_GB2312" w:eastAsia="仿宋_GB2312" w:cs="仿宋_GB2312"/>
          <w:color w:val="auto"/>
          <w:sz w:val="32"/>
          <w:szCs w:val="32"/>
          <w:lang w:val="en-US" w:eastAsia="zh-CN"/>
        </w:rPr>
        <w:t xml:space="preserve">  有关行政机关和散装水泥管理机构及其工作人员违反本条例规定，有下列行为之一的，由有关部门按照管理权限对直接负责的主管人员和其他直接责任人依法追究责任：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（一）对符合国家和省相关技术标准、规程的预拌砂浆企业不依法备案的；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（二）违反法律、法规规定限制市场竞争的；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（三）其他玩忽职守、徇私舞弊、滥用职权的。</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第二十六条</w:t>
      </w:r>
      <w:r>
        <w:rPr>
          <w:rFonts w:hint="eastAsia" w:ascii="仿宋_GB2312" w:hAnsi="仿宋_GB2312" w:eastAsia="仿宋_GB2312" w:cs="仿宋_GB2312"/>
          <w:sz w:val="32"/>
          <w:szCs w:val="32"/>
          <w:lang w:val="en-US" w:eastAsia="zh-CN"/>
        </w:rPr>
        <w:t xml:space="preserve">  本办法自颁布之日起实施，有效期5年。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Unicode"/>
    <w:panose1 w:val="020F0502020204030204"/>
    <w:charset w:val="00"/>
    <w:family w:val="swiss"/>
    <w:pitch w:val="default"/>
    <w:sig w:usb0="00000000" w:usb1="00000000" w:usb2="00000001" w:usb3="00000000" w:csb0="0000019F" w:csb1="00000000"/>
  </w:font>
  <w:font w:name="Lucida Sans Unicode">
    <w:panose1 w:val="020B0602030504020204"/>
    <w:charset w:val="00"/>
    <w:family w:val="auto"/>
    <w:pitch w:val="default"/>
    <w:sig w:usb0="80001AFF" w:usb1="0000396B" w:usb2="00000000" w:usb3="00000000" w:csb0="0000003F" w:csb1="D7F7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F66CF"/>
    <w:rsid w:val="04587396"/>
    <w:rsid w:val="068C1B87"/>
    <w:rsid w:val="0E070904"/>
    <w:rsid w:val="0EA469E4"/>
    <w:rsid w:val="103252E1"/>
    <w:rsid w:val="10BC4220"/>
    <w:rsid w:val="10CE1945"/>
    <w:rsid w:val="1150673B"/>
    <w:rsid w:val="12136F3A"/>
    <w:rsid w:val="13734AB4"/>
    <w:rsid w:val="167A7865"/>
    <w:rsid w:val="16DF6DD0"/>
    <w:rsid w:val="1A5661D9"/>
    <w:rsid w:val="1A5D3725"/>
    <w:rsid w:val="1C6B79F3"/>
    <w:rsid w:val="1E3A1019"/>
    <w:rsid w:val="1E5F696C"/>
    <w:rsid w:val="1FAF48F9"/>
    <w:rsid w:val="2128761A"/>
    <w:rsid w:val="23230943"/>
    <w:rsid w:val="25FD1137"/>
    <w:rsid w:val="28B241EC"/>
    <w:rsid w:val="2BE80FE0"/>
    <w:rsid w:val="2F7D7CA2"/>
    <w:rsid w:val="34223E83"/>
    <w:rsid w:val="35844233"/>
    <w:rsid w:val="365F3E80"/>
    <w:rsid w:val="3C576445"/>
    <w:rsid w:val="3D7331B6"/>
    <w:rsid w:val="3E927A9A"/>
    <w:rsid w:val="44FE0A00"/>
    <w:rsid w:val="47D33DC2"/>
    <w:rsid w:val="4B210BB9"/>
    <w:rsid w:val="4C3373B7"/>
    <w:rsid w:val="51782411"/>
    <w:rsid w:val="557430F6"/>
    <w:rsid w:val="57E36B63"/>
    <w:rsid w:val="58FA2C05"/>
    <w:rsid w:val="593C0D8E"/>
    <w:rsid w:val="5BE8387D"/>
    <w:rsid w:val="5DC937F8"/>
    <w:rsid w:val="5F2B231E"/>
    <w:rsid w:val="5F35081F"/>
    <w:rsid w:val="604C0585"/>
    <w:rsid w:val="62735CBD"/>
    <w:rsid w:val="634D0BA5"/>
    <w:rsid w:val="63A232B0"/>
    <w:rsid w:val="64175CC0"/>
    <w:rsid w:val="66B262C4"/>
    <w:rsid w:val="6AED12AA"/>
    <w:rsid w:val="6B0C34AE"/>
    <w:rsid w:val="6DE03B8B"/>
    <w:rsid w:val="6DEF6830"/>
    <w:rsid w:val="6E046A60"/>
    <w:rsid w:val="71DD1AA1"/>
    <w:rsid w:val="78D6184E"/>
    <w:rsid w:val="7DF027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53</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2021-06-08T02:38:00Z</dcterms:created>
  <dc:creator>Administrator</dc:creator>
  <cp:lastModifiedBy>Administrator</cp:lastModifiedBy>
  <dcterms:modified xsi:type="dcterms:W3CDTF">2021-11-12T07:03:14Z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71C94A056EF14B869A734BE8E3289CDA</vt:lpwstr>
  </property>
</Properties>
</file>