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16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w w:val="100"/>
          <w:sz w:val="44"/>
          <w:szCs w:val="44"/>
        </w:rPr>
        <w:t>关于</w:t>
      </w:r>
      <w:r>
        <w:rPr>
          <w:rFonts w:hint="eastAsia" w:ascii="方正小标宋简体" w:eastAsia="方正小标宋简体"/>
          <w:w w:val="100"/>
          <w:sz w:val="44"/>
          <w:szCs w:val="44"/>
          <w:lang w:val="en-US" w:eastAsia="zh-CN"/>
        </w:rPr>
        <w:t>调整安排</w:t>
      </w:r>
      <w:r>
        <w:rPr>
          <w:rFonts w:hint="eastAsia" w:ascii="方正小标宋简体" w:eastAsia="方正小标宋简体"/>
          <w:w w:val="100"/>
          <w:sz w:val="44"/>
          <w:szCs w:val="44"/>
          <w:lang w:eastAsia="zh-CN"/>
        </w:rPr>
        <w:t>使用</w:t>
      </w:r>
      <w:r>
        <w:rPr>
          <w:rFonts w:hint="default" w:ascii="方正小标宋简体" w:eastAsia="方正小标宋简体"/>
          <w:w w:val="100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/>
          <w:w w:val="100"/>
          <w:sz w:val="44"/>
          <w:szCs w:val="44"/>
          <w:lang w:val="en-US" w:eastAsia="zh-CN"/>
        </w:rPr>
        <w:t>5年</w:t>
      </w:r>
      <w:r>
        <w:rPr>
          <w:rFonts w:hint="eastAsia" w:ascii="方正小标宋简体" w:eastAsia="方正小标宋简体"/>
          <w:sz w:val="44"/>
          <w:szCs w:val="44"/>
        </w:rPr>
        <w:t>大中型水库移民</w:t>
      </w:r>
    </w:p>
    <w:p w14:paraId="1470A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w w:val="10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后期扶持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部分项目</w:t>
      </w:r>
      <w:r>
        <w:rPr>
          <w:rFonts w:hint="eastAsia" w:ascii="方正小标宋简体" w:eastAsia="方正小标宋简体"/>
          <w:w w:val="100"/>
          <w:sz w:val="44"/>
          <w:szCs w:val="44"/>
          <w:lang w:eastAsia="zh-CN"/>
        </w:rPr>
        <w:t>资金</w:t>
      </w:r>
      <w:r>
        <w:rPr>
          <w:rFonts w:hint="eastAsia" w:ascii="方正小标宋简体" w:eastAsia="方正小标宋简体"/>
          <w:w w:val="100"/>
          <w:sz w:val="44"/>
          <w:szCs w:val="44"/>
          <w:lang w:val="en-US" w:eastAsia="zh-CN"/>
        </w:rPr>
        <w:t>的方案</w:t>
      </w:r>
    </w:p>
    <w:bookmarkEnd w:id="0"/>
    <w:p w14:paraId="14803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w w:val="100"/>
          <w:sz w:val="32"/>
          <w:szCs w:val="32"/>
        </w:rPr>
      </w:pPr>
    </w:p>
    <w:p w14:paraId="37335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9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根据四川省财政厅、四川省水利厅《关于印发〈四川省大中型水库移民后期扶持资金管理办法〉的通知》要求，我局经实地查勘、协调，峨边彝族自治县乡村振兴“一桥一路”交通通道建设项目（四川省乐山市峨边彝族自治县百里林竹产业园区建设项目——马嘶溪村），因该项目涉及拆迁三个企业，截至目前未完成拆迁工作，且在移民后期扶持资金考核期内无法完成建设任务及资金拨付进度，故水务局、财政局、业主单位等相关部门会商，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将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2025年度峨边彝族自治县乡村振兴“一桥一路”交通通道建设项目（四川省乐山市峨边彝族自治县百里林竹产业园区建设项目——马嘶溪村）资金2190万元以及川财农〔2025〕68号剩余未安排省级资金203万元，共计2393万元，调整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安排用于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G245线峨边城市绕线公路工程（双河村—河沟村段）。建议调整使用上述资金，具体事项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请示如下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72960C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9" w:firstLineChars="0"/>
        <w:jc w:val="both"/>
        <w:textAlignment w:val="auto"/>
        <w:outlineLvl w:val="9"/>
        <w:rPr>
          <w:rFonts w:hint="eastAsia" w:ascii="Times New Roman" w:hAnsi="Times New Roman" w:eastAsia="黑体" w:cs="黑体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w w:val="100"/>
          <w:sz w:val="32"/>
          <w:szCs w:val="32"/>
          <w:lang w:val="en-US" w:eastAsia="zh-CN"/>
        </w:rPr>
        <w:t>结余</w:t>
      </w:r>
      <w:r>
        <w:rPr>
          <w:rFonts w:hint="eastAsia" w:ascii="Times New Roman" w:hAnsi="Times New Roman" w:eastAsia="黑体" w:cs="黑体"/>
          <w:w w:val="100"/>
          <w:sz w:val="32"/>
          <w:szCs w:val="32"/>
          <w:lang w:eastAsia="zh-CN"/>
        </w:rPr>
        <w:t>结存资金构成情况</w:t>
      </w:r>
    </w:p>
    <w:p w14:paraId="5E49E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1.收回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峨边彝族自治县乡村振兴“一桥一路”交通通道建设项目（四川省乐山市峨边彝族自治县百里林竹产业园区建设项目——马嘶溪村）结存资金2190万元（下达资金文号：川财农〔2024〕99号计划安排中央资金358万元、省级资金685万元，川财农〔2025〕45号计划安排中央资金606万元、川财农〔2025〕68号计划安排省级资金541万元）。</w:t>
      </w:r>
    </w:p>
    <w:p w14:paraId="3F866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川财农〔2025〕68号结余未安排省级资金203万元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。</w:t>
      </w:r>
    </w:p>
    <w:p w14:paraId="36E5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9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w w:val="100"/>
          <w:sz w:val="32"/>
          <w:szCs w:val="32"/>
          <w:lang w:val="en-US" w:eastAsia="zh-CN"/>
        </w:rPr>
        <w:t>二、安排项目组成情况</w:t>
      </w:r>
    </w:p>
    <w:p w14:paraId="61E14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按照“美丽四川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 xml:space="preserve"> 宜居乡村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”要求，在充分征求移民村项目需求的基础上，经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县政府组织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有关乡镇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和部门会同研究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审核确认，将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2025年峨边彝族自治县乡村振兴“一桥一路”交通通道建设项目（四川省乐山市峨边彝族自治县百里林竹产业园区建设项目——马嘶溪村）结存资金2190万元，川财农〔2025〕68号结余未安排省级资金203万元，共计2393万元调整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安排用于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G245线峨边城市绕线公路工程（双河村—河沟村段）。</w:t>
      </w:r>
    </w:p>
    <w:p w14:paraId="1BEC8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、组织领导</w:t>
      </w:r>
    </w:p>
    <w:p w14:paraId="0574F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成立以县政府分管领导为组长，相关行业部门及库区移民乡镇负责人为成员的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项目建设领导小组，领导小组下设办公室在县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水务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局，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县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水务局党组书记屈晓波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同志具体负责项目管理督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导，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相关责任部门牵头负责项目实施工作。</w:t>
      </w:r>
    </w:p>
    <w:p w14:paraId="7010D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、项目实施</w:t>
      </w:r>
    </w:p>
    <w:p w14:paraId="49475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（一）规范组织实施。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项目应严格执行项目法人责任制、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基本建设流程、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项目评审制、招标投标制、工程监理制和合同管理制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等项目建设制度。</w:t>
      </w:r>
    </w:p>
    <w:p w14:paraId="06957039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（二）鼓励村民自建。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符合《四川省人民政府关于推行农村小型公共基础设施村民自建的意见》和《乐山市扶贫和移民后扶基础设施项目村民自建指导意见（试行）》条件的项目，根据相关规定，按程序组织实施。</w:t>
      </w:r>
    </w:p>
    <w:p w14:paraId="048C497B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（三）项目建设期限。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根据省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水利厅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移民后期扶持项目管理要求，在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2026年9月30日前完成项目建设验收、审计和报账工作，对未按时完成项目，收回相关资金。</w:t>
      </w:r>
    </w:p>
    <w:p w14:paraId="47AE4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、项目管理</w:t>
      </w:r>
    </w:p>
    <w:p w14:paraId="098BA83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（一）建立公示制度。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严格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执行项目公示制度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项目实施过程中，在项目所在村公示项目名称、建设内容、资金使用、建设单位、施工单位和竣工验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收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情况，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接受群众监督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，保障移民权益。</w:t>
      </w:r>
    </w:p>
    <w:p w14:paraId="3A9DD6AB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（二）强化程序管理。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项目建设按照相应行业部门规定程序实施。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实施方案应由责任部门审批，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未经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责任部门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同意，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不得随意变动批复内容。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建设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竣工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后，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由业主负责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自查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验收，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责任部门负责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县级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验收。</w:t>
      </w:r>
    </w:p>
    <w:p w14:paraId="035AC2B5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（三）建立管护制度。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项目验收后，由施工单位和建设单位将项目移交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给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受益村组，并指导</w:t>
      </w:r>
      <w:r>
        <w:rPr>
          <w:rFonts w:hint="eastAsia" w:eastAsia="仿宋_GB2312" w:cs="仿宋_GB2312"/>
          <w:b w:val="0"/>
          <w:bCs w:val="0"/>
          <w:color w:val="auto"/>
          <w:sz w:val="32"/>
          <w:szCs w:val="32"/>
          <w:lang w:eastAsia="zh-CN"/>
        </w:rPr>
        <w:t>接收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村组建立后期管护机制，落实专人负责后期管护，确保项目发挥最大效益。</w:t>
      </w:r>
    </w:p>
    <w:p w14:paraId="3F52E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六、资金管理</w:t>
      </w:r>
    </w:p>
    <w:p w14:paraId="53260D30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（一）保障资金安全。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严格按规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定用途使用项目资金，严禁以任何名义、任何方式挤占挪用移民资金。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各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业主单位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根据项目实施进度向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责任部门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申请拨付资金，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责任部门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审核报县财政局审核，审核通过后，及时拨付资金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，防止滞留资金。</w:t>
      </w:r>
    </w:p>
    <w:p w14:paraId="3A70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sz w:val="32"/>
          <w:szCs w:val="32"/>
          <w:highlight w:val="none"/>
          <w:lang w:val="en-US" w:eastAsia="zh-CN"/>
        </w:rPr>
        <w:t>（二）严格绩效评价。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严格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绩效评价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制度，对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项目监管推进不力的乡镇，减少下次资金安排额度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；对工作出色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成绩显著的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乡镇，增加下次资金安排额度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对项目建设中发现的问题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eastAsia="zh-CN"/>
        </w:rPr>
        <w:t>及时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纠正违规违纪行为，确保项目资金安全。</w:t>
      </w:r>
    </w:p>
    <w:p w14:paraId="4F110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七、预期效益</w:t>
      </w:r>
    </w:p>
    <w:p w14:paraId="092F0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结合乡村振兴，补充移民生产生活短板，促进库区移民人均增收比农村居民高3%以上，移民群众满意度95%以上。</w:t>
      </w:r>
    </w:p>
    <w:p w14:paraId="5CDF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53" w:leftChars="304" w:right="0" w:rightChars="0" w:hanging="1280" w:hangingChars="40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</w:rPr>
      </w:pPr>
    </w:p>
    <w:p w14:paraId="67109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53" w:leftChars="304" w:right="0" w:rightChars="0" w:hanging="1280" w:hangingChars="40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1.2025年度大中型水库移民后期扶持项目收回结存、</w:t>
      </w:r>
    </w:p>
    <w:p w14:paraId="302AB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50" w:leftChars="603" w:right="0" w:rightChars="0" w:hanging="320" w:hangingChars="10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结余资金汇总表</w:t>
      </w:r>
    </w:p>
    <w:p w14:paraId="00347A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760" w:firstLineChars="55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2.调整安排使用2025年度大中型水库移民后期扶</w:t>
      </w:r>
    </w:p>
    <w:p w14:paraId="15D652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1920" w:firstLineChars="600"/>
        <w:jc w:val="both"/>
        <w:textAlignment w:val="auto"/>
        <w:outlineLvl w:val="9"/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持项目结余结存资金项目表</w:t>
      </w:r>
    </w:p>
    <w:p w14:paraId="33A46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</w:p>
    <w:p w14:paraId="6A31F9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</w:p>
    <w:p w14:paraId="47927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752" w:leftChars="760" w:right="0" w:rightChars="0" w:hanging="320" w:hangingChars="100"/>
        <w:jc w:val="center"/>
        <w:textAlignment w:val="auto"/>
        <w:outlineLvl w:val="9"/>
        <w:rPr>
          <w:rFonts w:hint="default" w:ascii="Times New Roman" w:hAnsi="Times New Roman" w:eastAsia="仿宋_GB2312" w:cs="仿宋_GB2312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 xml:space="preserve">          峨边彝族自治县人民政府</w:t>
      </w:r>
    </w:p>
    <w:p w14:paraId="33B51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_GB2312" w:cs="仿宋_GB2312"/>
          <w:w w:val="100"/>
          <w:sz w:val="32"/>
          <w:szCs w:val="32"/>
        </w:rPr>
        <w:sectPr>
          <w:footerReference r:id="rId3" w:type="default"/>
          <w:pgSz w:w="11906" w:h="16838"/>
          <w:pgMar w:top="2041" w:right="1491" w:bottom="1587" w:left="1474" w:header="851" w:footer="992" w:gutter="0"/>
          <w:pgNumType w:fmt="decimal"/>
          <w:cols w:space="0" w:num="1"/>
          <w:rtlGutter w:val="0"/>
          <w:docGrid w:type="lines" w:linePitch="440" w:charSpace="0"/>
        </w:sectPr>
      </w:pP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 w:cs="仿宋_GB2312"/>
          <w:w w:val="100"/>
          <w:sz w:val="32"/>
          <w:szCs w:val="32"/>
        </w:rPr>
        <w:t>日</w:t>
      </w:r>
    </w:p>
    <w:tbl>
      <w:tblPr>
        <w:tblStyle w:val="12"/>
        <w:tblpPr w:leftFromText="180" w:rightFromText="180" w:vertAnchor="text" w:horzAnchor="page" w:tblpX="1028" w:tblpY="762"/>
        <w:tblOverlap w:val="never"/>
        <w:tblW w:w="14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1066"/>
        <w:gridCol w:w="2253"/>
        <w:gridCol w:w="2387"/>
        <w:gridCol w:w="2813"/>
        <w:gridCol w:w="1245"/>
        <w:gridCol w:w="1350"/>
        <w:gridCol w:w="2760"/>
      </w:tblGrid>
      <w:tr w14:paraId="45D83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8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2025年度大中型水库移民后期扶持项目收回结存、结余资金汇总表</w:t>
            </w:r>
          </w:p>
        </w:tc>
      </w:tr>
      <w:tr w14:paraId="56AA6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资金年度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结存资金项目名称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收回结存资金原因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项目资金文件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规划投资（万元）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C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结余结存移民后扶资金（万元）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1DB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5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7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峨边彝族自治县乡村振兴“一桥一路”交通通道建设项目（四川省乐山市峨边彝族自治县百里林竹产业园区建设项目——马嘶溪村）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9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项目涉及明达集团、运新公司、荣成气体三个厂需拆迁。目前该三个厂还未拆迁，项目无法在考核期内完成建设任务和资金拨付进度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6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川财农〔2024〕99号计划安排中央资金358万元、省级资金685万元，川财农〔2025〕45号计划安排中央资金606万元、川财农〔2025〕68号计划安排省级资金541万元）以及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2190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峨边彝族自治县人民政府关于《关于审定印发峨边彝族自治县2025年度大中型水库移民后期扶持项目计划方案的通知》峨边府常定〔2024〕87号</w:t>
            </w:r>
          </w:p>
        </w:tc>
      </w:tr>
      <w:tr w14:paraId="38B5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结余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结余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川财农〔2025〕68号剩余未安排省级资金203万元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9F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90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D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54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23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81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23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C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2393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091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6469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1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  <w:t>1</w:t>
      </w:r>
    </w:p>
    <w:p w14:paraId="5FED9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  <w:sectPr>
          <w:pgSz w:w="16838" w:h="11906" w:orient="landscape"/>
          <w:pgMar w:top="1474" w:right="2041" w:bottom="1491" w:left="1587" w:header="851" w:footer="992" w:gutter="0"/>
          <w:pgNumType w:fmt="decimal"/>
          <w:cols w:space="0" w:num="1"/>
          <w:rtlGutter w:val="0"/>
          <w:docGrid w:type="lines" w:linePitch="440" w:charSpace="0"/>
        </w:sectPr>
      </w:pPr>
    </w:p>
    <w:p w14:paraId="532D9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1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  <w:t>2</w:t>
      </w:r>
    </w:p>
    <w:tbl>
      <w:tblPr>
        <w:tblStyle w:val="12"/>
        <w:tblW w:w="145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360"/>
        <w:gridCol w:w="1890"/>
        <w:gridCol w:w="720"/>
        <w:gridCol w:w="885"/>
        <w:gridCol w:w="1590"/>
        <w:gridCol w:w="1091"/>
        <w:gridCol w:w="2014"/>
        <w:gridCol w:w="780"/>
        <w:gridCol w:w="1080"/>
        <w:gridCol w:w="1335"/>
        <w:gridCol w:w="2423"/>
      </w:tblGrid>
      <w:tr w14:paraId="3B4D8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5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调整安排使用2025年度大中型水库移民后期扶持项目结余结存资金项目表</w:t>
            </w:r>
          </w:p>
        </w:tc>
      </w:tr>
      <w:tr w14:paraId="2617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指导单位</w:t>
            </w:r>
          </w:p>
        </w:tc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受益人数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A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拟投入后扶资金（万元）</w:t>
            </w:r>
          </w:p>
        </w:tc>
        <w:tc>
          <w:tcPr>
            <w:tcW w:w="2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4AAC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E5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39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6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村、组</w:t>
            </w: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87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E8B7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C1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受益人数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其中：后扶人口</w:t>
            </w: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1E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07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11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E12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15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F5C1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4E67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A8BA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ADC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45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2393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61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C7A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6D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D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中小微水利工程建设及维护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73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E1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89C5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01D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54F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E8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6B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AF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584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FE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53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5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乡村水务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6E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B0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B54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9043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C7D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47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3B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31E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943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45A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66D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D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移民美丽家园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沙坪镇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1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河沟村、双河村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G245线峨边城市绕线公路工程（双河村—河沟村段）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县交通运输局</w:t>
            </w: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0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新建G245线峨边城市绕线公路K6+911.007-K7+409.667（双河村—河沟村段）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2393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66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（下达资金文号：川财农〔2024〕99号计划安排中央资金358万元、省级资金685万元，川财农〔2025〕45号计划安排中央资金606万元、川财农〔2025〕68号计划安排省级资金744万元）。</w:t>
            </w:r>
          </w:p>
        </w:tc>
      </w:tr>
      <w:tr w14:paraId="61247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4454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0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C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生产开发及配套设施建设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BC9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9EC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08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98B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F67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1E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0F2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AC0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31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D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8D94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5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就业创业能力培训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97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CC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026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2E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D6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C6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71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95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C5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B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AB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1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D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4C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A3F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694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68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4AB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4F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11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6F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8A5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89A3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w w:val="100"/>
          <w:sz w:val="32"/>
          <w:szCs w:val="32"/>
          <w:lang w:val="en-US" w:eastAsia="zh-CN"/>
        </w:rPr>
      </w:pPr>
    </w:p>
    <w:p w14:paraId="223C8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w w:val="100"/>
          <w:sz w:val="32"/>
          <w:szCs w:val="32"/>
          <w:lang w:val="en-US" w:eastAsia="zh-CN"/>
        </w:rPr>
        <w:sectPr>
          <w:pgSz w:w="16838" w:h="11906" w:orient="landscape"/>
          <w:pgMar w:top="1474" w:right="2041" w:bottom="1491" w:left="1587" w:header="851" w:footer="992" w:gutter="0"/>
          <w:pgNumType w:fmt="decimal"/>
          <w:cols w:space="0" w:num="1"/>
          <w:rtlGutter w:val="0"/>
          <w:docGrid w:type="lines" w:linePitch="440" w:charSpace="0"/>
        </w:sectPr>
      </w:pPr>
    </w:p>
    <w:p w14:paraId="5638D7FA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ascii="Times New Roman" w:hAnsi="Times New Roman"/>
          <w:sz w:val="32"/>
          <w:szCs w:val="32"/>
        </w:rPr>
      </w:pPr>
    </w:p>
    <w:sectPr>
      <w:footerReference r:id="rId4" w:type="default"/>
      <w:pgSz w:w="11906" w:h="16838"/>
      <w:pgMar w:top="2041" w:right="1491" w:bottom="1587" w:left="1474" w:header="851" w:footer="992" w:gutter="0"/>
      <w:pgNumType w:fmt="decimal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4F376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97C29A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97C29A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42337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61E92C"/>
    <w:multiLevelType w:val="singleLevel"/>
    <w:tmpl w:val="E861E9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ZWM2ZDFjYTYxYTk2ZTZmYWIyNDdjZTE1MWQ4YTUifQ=="/>
  </w:docVars>
  <w:rsids>
    <w:rsidRoot w:val="762B42DD"/>
    <w:rsid w:val="04C256F2"/>
    <w:rsid w:val="073A38EF"/>
    <w:rsid w:val="07D93FA9"/>
    <w:rsid w:val="11C9558F"/>
    <w:rsid w:val="125B580B"/>
    <w:rsid w:val="1BED0219"/>
    <w:rsid w:val="30435523"/>
    <w:rsid w:val="34260F9E"/>
    <w:rsid w:val="39A24859"/>
    <w:rsid w:val="3AD9074E"/>
    <w:rsid w:val="4720083A"/>
    <w:rsid w:val="49912386"/>
    <w:rsid w:val="5CF60010"/>
    <w:rsid w:val="5F844F44"/>
    <w:rsid w:val="60E001E8"/>
    <w:rsid w:val="63AA5275"/>
    <w:rsid w:val="6BD21BA2"/>
    <w:rsid w:val="714E7112"/>
    <w:rsid w:val="762B42DD"/>
    <w:rsid w:val="7955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ESI仿宋-GB2312" w:hAnsi="CESI仿宋-GB2312" w:eastAsia="CESI仿宋-GB2312" w:cstheme="minorBidi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ind w:left="400" w:leftChars="400"/>
    </w:pPr>
    <w:rPr>
      <w:szCs w:val="24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4">
    <w:name w:val="正文（缩进）"/>
    <w:basedOn w:val="1"/>
    <w:next w:val="1"/>
    <w:autoRedefine/>
    <w:qFormat/>
    <w:uiPriority w:val="0"/>
    <w:pPr>
      <w:spacing w:before="156" w:beforeLines="50" w:after="156" w:afterLines="50"/>
      <w:ind w:firstLine="480"/>
    </w:pPr>
    <w:rPr>
      <w:kern w:val="0"/>
      <w:szCs w:val="20"/>
    </w:rPr>
  </w:style>
  <w:style w:type="paragraph" w:customStyle="1" w:styleId="15">
    <w:name w:val="UserStyle_0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before="0" w:beforeAutospacing="0" w:after="3" w:afterAutospacing="0" w:line="289" w:lineRule="atLeast"/>
      <w:ind w:left="0" w:right="298" w:firstLine="614"/>
      <w:jc w:val="center"/>
    </w:pPr>
    <w:rPr>
      <w:rFonts w:hint="eastAsia" w:ascii="微软雅黑" w:hAnsi="微软雅黑" w:eastAsia="微软雅黑" w:cs="微软雅黑"/>
      <w:color w:val="000000"/>
      <w:kern w:val="0"/>
      <w:sz w:val="28"/>
      <w:szCs w:val="22"/>
      <w:lang w:val="en-US" w:eastAsia="zh-CN" w:bidi="ar"/>
    </w:rPr>
  </w:style>
  <w:style w:type="table" w:customStyle="1" w:styleId="1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8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f746c66c-3197-4599-80e8-731e10f078fb</errorID>
      <errorWord>）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28362FDB</paraID>
      <start>87</start>
      <end>88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92cc4e-e94d-4c80-bba0-972c0e403c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2192</Words>
  <Characters>2351</Characters>
  <Lines>0</Lines>
  <Paragraphs>0</Paragraphs>
  <TotalTime>7</TotalTime>
  <ScaleCrop>false</ScaleCrop>
  <LinksUpToDate>false</LinksUpToDate>
  <CharactersWithSpaces>2438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2024-04-24T09:59:00Z</dcterms:created>
  <dc:creator>瑞雪</dc:creator>
  <cp:lastModifiedBy>碧云天</cp:lastModifiedBy>
  <cp:lastPrinted>2025-04-18T09:24:00Z</cp:lastPrinted>
  <dcterms:modified xsi:type="dcterms:W3CDTF">2026-05-14T06:56:27Z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7F5A5C853D5749768EC537E63AB2971C_13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