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Times New Roma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Times New Roma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28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both"/>
        <w:rPr>
          <w:rFonts w:hint="eastAsia" w:ascii="SimSun" w:hAnsi="Times New Roman" w:eastAsia="Times New Roma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720" w:lineRule="exact"/>
        <w:ind w:left="0" w:right="0"/>
        <w:jc w:val="center"/>
        <w:rPr>
          <w:rFonts w:hint="eastAsia" w:ascii="FangSong_GB2312" w:eastAsia="FangSong_GB2312" w:cs="FangSong_GB2312"/>
          <w:color w:val="000000"/>
          <w:kern w:val="0"/>
          <w:sz w:val="32"/>
          <w:szCs w:val="32"/>
          <w:lang w:val="en-US"/>
        </w:rPr>
      </w:pPr>
      <w:bookmarkStart w:id="5" w:name="_GoBack"/>
      <w:r>
        <w:rPr>
          <w:rFonts w:hint="eastAsia" w:ascii="FangSong_GB2312" w:hAnsi="Times New Roman" w:eastAsia="FangSong_GB2312" w:cs="FangSong_GB2312"/>
          <w:color w:val="000000"/>
          <w:kern w:val="0"/>
          <w:sz w:val="32"/>
          <w:szCs w:val="32"/>
          <w:lang w:val="en-US" w:eastAsia="zh-CN" w:bidi="ar"/>
        </w:rPr>
        <w:t>峨边府办发〔2023〕</w:t>
      </w:r>
      <w:r>
        <w:rPr>
          <w:rFonts w:hint="eastAsia" w:ascii="FangSong_GB2312" w:eastAsia="FangSong_GB2312" w:cs="FangSong_GB2312"/>
          <w:color w:val="000000"/>
          <w:kern w:val="0"/>
          <w:sz w:val="32"/>
          <w:szCs w:val="32"/>
          <w:lang w:val="en-US" w:eastAsia="zh-CN" w:bidi="ar"/>
        </w:rPr>
        <w:t>8</w:t>
      </w:r>
      <w:r>
        <w:rPr>
          <w:rFonts w:hint="eastAsia" w:ascii="FangSong_GB2312" w:hAnsi="Times New Roman" w:eastAsia="FangSong_GB2312" w:cs="FangSong_GB2312"/>
          <w:color w:val="000000"/>
          <w:kern w:val="0"/>
          <w:sz w:val="32"/>
          <w:szCs w:val="32"/>
          <w:lang w:val="en-US" w:eastAsia="zh-CN" w:bidi="ar"/>
        </w:rPr>
        <w:t>号</w:t>
      </w: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FangSong_GB2312" w:eastAsia="FangSong_GB2312" w:cs="FangSong_GB2312"/>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160" w:lineRule="exact"/>
        <w:ind w:left="0" w:right="0"/>
        <w:jc w:val="both"/>
        <w:rPr>
          <w:rFonts w:hint="eastAsia" w:ascii="FangSong_GB2312" w:eastAsia="FangSong_GB2312" w:cs="FangSong_GB2312"/>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640" w:lineRule="exact"/>
        <w:ind w:left="0" w:right="0"/>
        <w:jc w:val="center"/>
        <w:outlineLvl w:val="0"/>
        <w:rPr>
          <w:rFonts w:hint="eastAsia" w:ascii="FZXiaoBiaoSong-B05S" w:hAnsi="FZXiaoBiaoSong-B05S" w:eastAsia="FZXiaoBiaoSong-B05S" w:cs="FZXiaoBiaoSong-B05S"/>
          <w:color w:val="000000"/>
          <w:sz w:val="44"/>
          <w:szCs w:val="44"/>
          <w:lang w:val="en-US"/>
        </w:rPr>
      </w:pPr>
      <w:bookmarkStart w:id="0" w:name="_Toc29691"/>
      <w:bookmarkStart w:id="1" w:name="_Toc25337"/>
      <w:r>
        <w:rPr>
          <w:rFonts w:hint="eastAsia" w:ascii="FZXiaoBiaoSong-B05S" w:hAnsi="FZXiaoBiaoSong-B05S" w:eastAsia="FZXiaoBiaoSong-B05S" w:cs="FZXiaoBiaoSong-B05S"/>
          <w:color w:val="000000"/>
          <w:kern w:val="2"/>
          <w:sz w:val="44"/>
          <w:szCs w:val="44"/>
          <w:lang w:val="en-US" w:eastAsia="zh-CN" w:bidi="ar"/>
        </w:rPr>
        <w:t>峨边彝族自治县人民政府办公室</w:t>
      </w:r>
      <w:bookmarkEnd w:id="0"/>
      <w:bookmarkEnd w:id="1"/>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FZXiaoBiaoSong-B05S" w:hAnsi="FZXiaoBiaoSong-B05S" w:eastAsia="FZXiaoBiaoSong-B05S" w:cs="FZXiaoBiaoSong-B05S"/>
          <w:w w:val="98"/>
          <w:sz w:val="44"/>
          <w:szCs w:val="44"/>
          <w:lang w:val="en-US"/>
        </w:rPr>
      </w:pPr>
      <w:r>
        <w:rPr>
          <w:rFonts w:hint="eastAsia" w:ascii="Times New Roman" w:hAnsi="FZXiaoBiaoSong-B05S" w:eastAsia="FZXiaoBiaoSong-B05S" w:cs="FZXiaoBiaoSong-B05S"/>
          <w:bCs/>
          <w:w w:val="98"/>
          <w:kern w:val="2"/>
          <w:sz w:val="44"/>
          <w:szCs w:val="44"/>
          <w:lang w:val="en-US" w:eastAsia="zh-CN" w:bidi="ar"/>
        </w:rPr>
        <w:t>关于印发《峨边彝族自治县“十四五”卫生健康发展规划》</w:t>
      </w:r>
      <w:r>
        <w:rPr>
          <w:rFonts w:hint="eastAsia" w:ascii="Times New Roman" w:hAnsi="FZXiaoBiaoSong-B05S" w:eastAsia="FZXiaoBiaoSong-B05S" w:cs="FZXiaoBiaoSong-B05S"/>
          <w:bCs/>
          <w:spacing w:val="12"/>
          <w:w w:val="98"/>
          <w:kern w:val="2"/>
          <w:sz w:val="44"/>
          <w:szCs w:val="44"/>
          <w:lang w:val="en-US" w:eastAsia="zh-CN" w:bidi="ar"/>
        </w:rPr>
        <w:t>的</w:t>
      </w:r>
      <w:r>
        <w:rPr>
          <w:rFonts w:hint="eastAsia" w:ascii="FZXiaoBiaoSong-B05S" w:hAnsi="FZXiaoBiaoSong-B05S" w:eastAsia="FZXiaoBiaoSong-B05S" w:cs="FZXiaoBiaoSong-B05S"/>
          <w:spacing w:val="12"/>
          <w:w w:val="98"/>
          <w:kern w:val="2"/>
          <w:sz w:val="44"/>
          <w:szCs w:val="44"/>
          <w:lang w:val="en-US" w:eastAsia="zh-CN" w:bidi="ar"/>
        </w:rPr>
        <w:t>通知</w:t>
      </w:r>
    </w:p>
    <w:p>
      <w:pPr>
        <w:keepNext w:val="0"/>
        <w:keepLines w:val="0"/>
        <w:widowControl w:val="0"/>
        <w:suppressLineNumbers w:val="0"/>
        <w:autoSpaceDE w:val="0"/>
        <w:autoSpaceDN w:val="0"/>
        <w:adjustRightInd w:val="0"/>
        <w:spacing w:before="0" w:beforeAutospacing="0" w:after="0" w:afterAutospacing="0" w:line="760" w:lineRule="exact"/>
        <w:ind w:left="0" w:right="0"/>
        <w:jc w:val="center"/>
        <w:rPr>
          <w:rFonts w:hint="eastAsia" w:ascii="FangSong_GB2312" w:eastAsia="FangSong_GB2312" w:cs="FZXiaoBiaoSong-B05S"/>
          <w:color w:val="000000"/>
          <w:kern w:val="0"/>
          <w:sz w:val="32"/>
          <w:szCs w:val="32"/>
          <w:lang w:val="en-US"/>
        </w:rPr>
      </w:pPr>
    </w:p>
    <w:p>
      <w:pPr>
        <w:keepNext w:val="0"/>
        <w:keepLines w:val="0"/>
        <w:widowControl w:val="0"/>
        <w:suppressLineNumbers w:val="0"/>
        <w:spacing w:before="0" w:beforeAutospacing="0" w:after="0" w:afterAutospacing="0" w:line="600" w:lineRule="exact"/>
        <w:ind w:left="0" w:right="0"/>
        <w:jc w:val="both"/>
        <w:rPr>
          <w:rFonts w:hint="eastAsia" w:ascii="FangSong_GB2312" w:eastAsia="FangSong_GB2312" w:cs="FangSong_GB2312"/>
          <w:color w:val="000000"/>
          <w:sz w:val="32"/>
          <w:szCs w:val="32"/>
          <w:lang w:val="en-US"/>
        </w:rPr>
      </w:pPr>
      <w:r>
        <w:rPr>
          <w:rFonts w:hint="eastAsia" w:ascii="FangSong_GB2312" w:hAnsi="Times New Roman" w:eastAsia="FangSong_GB2312" w:cs="FangSong_GB2312"/>
          <w:color w:val="000000"/>
          <w:kern w:val="2"/>
          <w:sz w:val="32"/>
          <w:szCs w:val="32"/>
          <w:lang w:val="en-US" w:eastAsia="zh-CN" w:bidi="ar"/>
        </w:rPr>
        <w:t>各乡镇人民政府，县级各部门：</w:t>
      </w: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FangSong_GB2312" w:eastAsia="FangSong_GB2312" w:cs="FangSong_GB2312"/>
          <w:sz w:val="32"/>
          <w:szCs w:val="32"/>
          <w:lang w:val="en-US"/>
        </w:rPr>
      </w:pPr>
      <w:r>
        <w:rPr>
          <w:rFonts w:hint="eastAsia" w:ascii="FangSong_GB2312" w:hAnsi="Times New Roman" w:eastAsia="FangSong_GB2312" w:cs="FangSong_GB2312"/>
          <w:kern w:val="2"/>
          <w:sz w:val="32"/>
          <w:szCs w:val="32"/>
          <w:lang w:val="en-US" w:eastAsia="zh-CN" w:bidi="ar"/>
        </w:rPr>
        <w:t>《峨边彝族自治县“十四五”卫生健康发展规划》</w:t>
      </w:r>
      <w:r>
        <w:rPr>
          <w:rFonts w:hint="eastAsia" w:ascii="FangSong_GB2312" w:eastAsia="FangSong_GB2312" w:cs="FangSong_GB2312"/>
          <w:kern w:val="2"/>
          <w:sz w:val="32"/>
          <w:szCs w:val="32"/>
          <w:lang w:val="en-US" w:eastAsia="zh-CN" w:bidi="ar"/>
        </w:rPr>
        <w:t>已经自治县人民政府常务会议研究同意，现</w:t>
      </w:r>
      <w:r>
        <w:rPr>
          <w:rFonts w:hint="eastAsia" w:ascii="FangSong_GB2312" w:hAnsi="Times New Roman" w:eastAsia="FangSong_GB2312" w:cs="FangSong_GB2312"/>
          <w:kern w:val="2"/>
          <w:sz w:val="32"/>
          <w:szCs w:val="32"/>
          <w:lang w:val="en-US" w:eastAsia="zh-CN" w:bidi="ar"/>
        </w:rPr>
        <w:t>印发给你们，请遵照执行。</w:t>
      </w:r>
    </w:p>
    <w:p>
      <w:pPr>
        <w:keepNext w:val="0"/>
        <w:keepLines w:val="0"/>
        <w:widowControl/>
        <w:suppressLineNumbers w:val="0"/>
        <w:spacing w:before="0" w:beforeAutospacing="0" w:after="0" w:afterAutospacing="0" w:line="600" w:lineRule="exact"/>
        <w:ind w:left="0" w:right="0" w:firstLine="640" w:firstLineChars="200"/>
        <w:jc w:val="both"/>
        <w:rPr>
          <w:rFonts w:hint="eastAsia" w:ascii="FangSong_GB2312" w:hAnsi="FangSong_GB2312" w:eastAsia="FangSong_GB2312" w:cs="FangSong_GB2312"/>
          <w:color w:val="000000"/>
          <w:sz w:val="32"/>
          <w:szCs w:val="32"/>
          <w:lang w:val="en-US"/>
        </w:rPr>
      </w:pPr>
    </w:p>
    <w:p>
      <w:pPr>
        <w:keepNext w:val="0"/>
        <w:keepLines w:val="0"/>
        <w:widowControl/>
        <w:suppressLineNumbers w:val="0"/>
        <w:spacing w:before="0" w:beforeAutospacing="0" w:after="0" w:afterAutospacing="0" w:line="600" w:lineRule="exact"/>
        <w:ind w:left="0" w:right="0" w:firstLine="640" w:firstLineChars="200"/>
        <w:jc w:val="both"/>
        <w:rPr>
          <w:rFonts w:hint="eastAsia" w:ascii="FangSong_GB2312" w:hAnsi="FangSong_GB2312" w:eastAsia="FangSong_GB2312" w:cs="FangSong_GB2312"/>
          <w:color w:val="000000"/>
          <w:sz w:val="32"/>
          <w:szCs w:val="32"/>
          <w:lang w:val="en-US"/>
        </w:rPr>
      </w:pP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FangSong_GB2312" w:eastAsia="FangSong_GB2312" w:cs="FangSong_GB2312"/>
          <w:color w:val="000000"/>
          <w:sz w:val="32"/>
          <w:szCs w:val="32"/>
          <w:lang w:val="en-US"/>
        </w:rPr>
      </w:pPr>
      <w:r>
        <w:rPr>
          <w:rFonts w:hint="eastAsia" w:ascii="FangSong_GB2312" w:hAnsi="Times New Roman" w:eastAsia="FangSong_GB2312" w:cs="FangSong_GB2312"/>
          <w:color w:val="000000"/>
          <w:kern w:val="2"/>
          <w:sz w:val="32"/>
          <w:szCs w:val="32"/>
          <w:lang w:val="en-US" w:eastAsia="zh-CN" w:bidi="ar"/>
        </w:rPr>
        <w:t xml:space="preserve">                   峨边彝族自治县人民政府办公室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80" w:firstLineChars="150"/>
        <w:jc w:val="both"/>
        <w:textAlignment w:val="auto"/>
        <w:rPr>
          <w:rFonts w:hint="eastAsia" w:ascii="FangSong_GB2312" w:hAnsi="Arial Unicode MS" w:eastAsia="FangSong_GB2312" w:cs="FangSong_GB2312"/>
          <w:color w:val="000000"/>
          <w:kern w:val="2"/>
          <w:sz w:val="32"/>
          <w:szCs w:val="32"/>
          <w:lang w:val="en-US" w:eastAsia="zh-CN" w:bidi="ar"/>
        </w:rPr>
        <w:sectPr>
          <w:headerReference r:id="rId3" w:type="default"/>
          <w:footerReference r:id="rId4" w:type="default"/>
          <w:footerReference r:id="rId5" w:type="even"/>
          <w:pgSz w:w="11906" w:h="16838"/>
          <w:pgMar w:top="2041" w:right="1468" w:bottom="1587" w:left="1468" w:header="851" w:footer="992" w:gutter="0"/>
          <w:pgNumType w:fmt="decimal"/>
          <w:cols w:space="0" w:num="1"/>
          <w:rtlGutter w:val="0"/>
          <w:docGrid w:type="lines" w:linePitch="312" w:charSpace="0"/>
        </w:sectPr>
      </w:pPr>
      <w:r>
        <w:rPr>
          <w:rFonts w:hint="eastAsia" w:ascii="FangSong_GB2312" w:hAnsi="Times New Roman" w:eastAsia="FangSong_GB2312" w:cs="FangSong_GB2312"/>
          <w:color w:val="000000"/>
          <w:kern w:val="2"/>
          <w:sz w:val="32"/>
          <w:szCs w:val="32"/>
          <w:lang w:val="en-US" w:eastAsia="zh-CN" w:bidi="ar"/>
        </w:rPr>
        <w:t xml:space="preserve">                          </w:t>
      </w:r>
      <w:r>
        <w:rPr>
          <w:rFonts w:hint="eastAsia" w:ascii="FangSong_GB2312" w:hAnsi="Arial Unicode MS" w:eastAsia="FangSong_GB2312" w:cs="FangSong_GB2312"/>
          <w:color w:val="000000"/>
          <w:kern w:val="2"/>
          <w:sz w:val="32"/>
          <w:szCs w:val="32"/>
          <w:lang w:val="en-US" w:eastAsia="zh-CN" w:bidi="ar"/>
        </w:rPr>
        <w:t>2023年10月13日</w:t>
      </w:r>
    </w:p>
    <w:bookmarkEnd w:id="5"/>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bookmarkStart w:id="2" w:name="_Toc30958"/>
      <w:bookmarkEnd w:id="2"/>
      <w:bookmarkStart w:id="3" w:name="_Toc3032"/>
      <w:bookmarkEnd w:id="3"/>
      <w:bookmarkStart w:id="4" w:name="_Toc4364"/>
      <w:bookmarkEnd w:id="4"/>
      <w:r>
        <w:rPr>
          <w:rFonts w:hint="eastAsia" w:ascii="FZXiaoBiaoSong-B05S" w:hAnsi="FZXiaoBiaoSong-B05S" w:eastAsia="FZXiaoBiaoSong-B05S" w:cs="FZXiaoBiaoSong-B05S"/>
          <w:kern w:val="2"/>
          <w:sz w:val="44"/>
          <w:szCs w:val="44"/>
          <w:lang w:val="en-US" w:eastAsia="zh-CN" w:bidi="ar-SA"/>
        </w:rPr>
        <w:t>峨边彝族自治县</w:t>
      </w: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r>
        <w:rPr>
          <w:rFonts w:hint="eastAsia" w:ascii="FZXiaoBiaoSong-B05S" w:hAnsi="FZXiaoBiaoSong-B05S" w:eastAsia="FZXiaoBiaoSong-B05S" w:cs="FZXiaoBiaoSong-B05S"/>
          <w:kern w:val="2"/>
          <w:sz w:val="44"/>
          <w:szCs w:val="44"/>
          <w:lang w:val="en-US" w:eastAsia="zh-CN" w:bidi="ar-SA"/>
        </w:rPr>
        <w:t>“十四五”卫生健康发展规划</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KaiTi_GB2312" w:hAnsi="KaiTi_GB2312" w:eastAsia="KaiTi_GB2312" w:cs="KaiTi_GB2312"/>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KaiTi_GB2312" w:hAnsi="KaiTi_GB2312" w:eastAsia="KaiTi_GB2312" w:cs="KaiTi_GB2312"/>
          <w:sz w:val="36"/>
          <w:szCs w:val="36"/>
          <w:lang w:eastAsia="zh-CN"/>
        </w:rPr>
      </w:pPr>
      <w:r>
        <w:rPr>
          <w:rFonts w:hint="eastAsia" w:ascii="FangSong_GB2312" w:hAnsi="FangSong_GB2312" w:eastAsia="FangSong_GB2312" w:cs="FangSong_GB2312"/>
          <w:sz w:val="36"/>
          <w:szCs w:val="36"/>
          <w:lang w:eastAsia="zh-CN"/>
        </w:rPr>
        <w:t>目</w:t>
      </w:r>
      <w:r>
        <w:rPr>
          <w:rFonts w:hint="eastAsia" w:ascii="FangSong_GB2312" w:hAnsi="FangSong_GB2312" w:eastAsia="FangSong_GB2312" w:cs="FangSong_GB2312"/>
          <w:sz w:val="36"/>
          <w:szCs w:val="36"/>
          <w:lang w:val="en-US" w:eastAsia="zh-CN"/>
        </w:rPr>
        <w:t xml:space="preserve">    </w:t>
      </w:r>
      <w:r>
        <w:rPr>
          <w:rFonts w:hint="eastAsia" w:ascii="FangSong_GB2312" w:hAnsi="FangSong_GB2312" w:eastAsia="FangSong_GB2312" w:cs="FangSong_GB2312"/>
          <w:sz w:val="36"/>
          <w:szCs w:val="36"/>
          <w:lang w:eastAsia="zh-CN"/>
        </w:rPr>
        <w:t>录</w:t>
      </w:r>
    </w:p>
    <w:p>
      <w:pPr>
        <w:pStyle w:val="4"/>
        <w:rPr>
          <w:rFonts w:hint="eastAsia"/>
          <w:lang w:eastAsia="zh-CN"/>
        </w:rPr>
      </w:pP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SimHei" w:hAnsi="SimHei" w:eastAsia="SimHei" w:cs="SimHei"/>
          <w:b w:val="0"/>
          <w:bCs/>
          <w:lang w:eastAsia="zh-CN"/>
        </w:rPr>
        <w:t>第一章</w:t>
      </w:r>
      <w:r>
        <w:rPr>
          <w:rFonts w:hint="eastAsia" w:ascii="SimHei" w:hAnsi="SimHei" w:eastAsia="SimHei" w:cs="SimHei"/>
          <w:b w:val="0"/>
          <w:bCs/>
          <w:lang w:val="en-US" w:eastAsia="zh-CN"/>
        </w:rPr>
        <w:t xml:space="preserve">  规划背景……………………………………………1</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第一节  “十三五”时期发展成就………………………1</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一、健康扶贫成效明显………………………………………1</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二、医疗服务质量和水平得到提高…………………………2</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三、公共卫生服务能力明显提升……………………………3</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四、医疗卫生体制改革进一步深化…………………………4</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五、新冠疫情防控取得阶段性成果…………………………5</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第二节  “十四五”时期面临的发展环境……………………6</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一、存在的问题………………………………………………6</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二、形势与要求………………………………………………7</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SimHei" w:hAnsi="SimHei" w:eastAsia="SimHei" w:cs="SimHei"/>
          <w:b w:val="0"/>
          <w:bCs/>
          <w:lang w:val="en-US" w:eastAsia="zh-CN"/>
        </w:rPr>
      </w:pPr>
      <w:r>
        <w:rPr>
          <w:rFonts w:hint="eastAsia" w:ascii="SimHei" w:hAnsi="SimHei" w:eastAsia="SimHei" w:cs="SimHei"/>
          <w:b w:val="0"/>
          <w:bCs/>
          <w:lang w:val="en-US" w:eastAsia="zh-CN"/>
        </w:rPr>
        <w:t>第二章  总体要求……………………………………………8</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第一节  指导思想……………………………………………8</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第二节  规划原则……………………………………………8</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第三节  规划目标……………………………………………9</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一、总体目标…………………………………………………9</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二、主要指标…………………………………………………9</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SimHei" w:hAnsi="SimHei" w:eastAsia="SimHei" w:cs="SimHei"/>
          <w:b w:val="0"/>
          <w:bCs/>
          <w:lang w:val="en-US" w:eastAsia="zh-CN"/>
        </w:rPr>
      </w:pPr>
      <w:r>
        <w:rPr>
          <w:rFonts w:hint="eastAsia" w:ascii="SimHei" w:hAnsi="SimHei" w:eastAsia="SimHei" w:cs="SimHei"/>
          <w:b w:val="0"/>
          <w:bCs/>
          <w:lang w:val="en-US" w:eastAsia="zh-CN"/>
        </w:rPr>
        <w:t>第三章  重点任务……………………………………………11</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第一节  实施“健康峨边”战略……………………………11</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第二节  创建国家卫生县…………………………………12</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一、强化健康教育…………………………………………12</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二、健全工作机制…………………………………………12</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三、攻克关键难点…………………………………………12</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四、促进提质增效……………………………………………13</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第三节  完善三大服务体系…………………………………13</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一、完善公共卫生预防控制体系……………………………13</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二、完善诊疗服务体系………………………………………14</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三、完善中医康复体系………………………………………14</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第四节  实施四大工程………………………………………16</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一、疾病预防控制补短工程…………………………………16</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二、医疗服务能力提升工程…………………………………17</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三、健康保障兜底工程………………………………………19</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四、人才队伍培养工程………………………………………2</w:t>
      </w:r>
      <w:r>
        <w:rPr>
          <w:rFonts w:hint="eastAsia" w:hAnsi="FangSong_GB2312" w:cs="FangSong_GB2312"/>
          <w:b w:val="0"/>
          <w:bCs/>
          <w:lang w:val="en-US" w:eastAsia="zh-CN"/>
        </w:rPr>
        <w:t>1</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SimHei" w:hAnsi="SimHei" w:eastAsia="SimHei" w:cs="SimHei"/>
          <w:b w:val="0"/>
          <w:bCs/>
          <w:lang w:val="en-US" w:eastAsia="zh-CN"/>
        </w:rPr>
      </w:pPr>
      <w:r>
        <w:rPr>
          <w:rFonts w:hint="eastAsia" w:ascii="SimHei" w:hAnsi="SimHei" w:eastAsia="SimHei" w:cs="SimHei"/>
          <w:b w:val="0"/>
          <w:bCs/>
          <w:lang w:val="en-US" w:eastAsia="zh-CN"/>
        </w:rPr>
        <w:t>第四章  保障措施……………………………………………22</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一、坚持政府主导，加大财政投入…………………………2</w:t>
      </w:r>
      <w:r>
        <w:rPr>
          <w:rFonts w:hint="eastAsia" w:hAnsi="FangSong_GB2312" w:cs="FangSong_GB2312"/>
          <w:b w:val="0"/>
          <w:bCs/>
          <w:lang w:val="en-US" w:eastAsia="zh-CN"/>
        </w:rPr>
        <w:t>2</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二、强化工作协作，形成部门合力…………………………22</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三、强化宏观调控，实施行业管理…………………………2</w:t>
      </w:r>
      <w:r>
        <w:rPr>
          <w:rFonts w:hint="eastAsia" w:hAnsi="FangSong_GB2312" w:cs="FangSong_GB2312"/>
          <w:b w:val="0"/>
          <w:bCs/>
          <w:lang w:val="en-US" w:eastAsia="zh-CN"/>
        </w:rPr>
        <w:t>3</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四、强化监督管理，科学考核评估…………………………2</w:t>
      </w:r>
      <w:r>
        <w:rPr>
          <w:rFonts w:hint="eastAsia" w:hAnsi="FangSong_GB2312" w:cs="FangSong_GB2312"/>
          <w:b w:val="0"/>
          <w:bCs/>
          <w:lang w:val="en-US" w:eastAsia="zh-CN"/>
        </w:rPr>
        <w:t>3</w:t>
      </w:r>
    </w:p>
    <w:p>
      <w:pPr>
        <w:pStyle w:val="4"/>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ascii="FangSong_GB2312" w:hAnsi="FangSong_GB2312" w:eastAsia="FangSong_GB2312" w:cs="FangSong_GB2312"/>
          <w:b w:val="0"/>
          <w:bCs/>
          <w:lang w:val="en-US" w:eastAsia="zh-CN"/>
        </w:rPr>
      </w:pPr>
    </w:p>
    <w:p>
      <w:pPr>
        <w:pStyle w:val="4"/>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ascii="FangSong_GB2312" w:hAnsi="FangSong_GB2312" w:eastAsia="FangSong_GB2312" w:cs="FangSong_GB2312"/>
          <w:b w:val="0"/>
          <w:bCs/>
          <w:lang w:val="en-US" w:eastAsia="zh-CN"/>
        </w:rPr>
      </w:pPr>
    </w:p>
    <w:p>
      <w:pPr>
        <w:pStyle w:val="4"/>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ascii="FangSong_GB2312" w:hAnsi="FangSong_GB2312" w:eastAsia="FangSong_GB2312" w:cs="FangSong_GB2312"/>
          <w:b w:val="0"/>
          <w:bCs/>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distribute"/>
        <w:textAlignment w:val="auto"/>
        <w:rPr>
          <w:rFonts w:hint="eastAsia" w:ascii="FZXiaoBiaoSong-B05S" w:hAnsi="FZXiaoBiaoSong-B05S" w:eastAsia="FZXiaoBiaoSong-B05S" w:cs="FZXiaoBiaoSong-B05S"/>
          <w:sz w:val="44"/>
          <w:szCs w:val="44"/>
        </w:rPr>
        <w:sectPr>
          <w:footerReference r:id="rId6" w:type="default"/>
          <w:pgSz w:w="11906" w:h="16838"/>
          <w:pgMar w:top="2041" w:right="1468" w:bottom="1587" w:left="1468" w:header="851" w:footer="992" w:gutter="0"/>
          <w:pgNumType w:fmt="decimal" w:start="1"/>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FZXiaoBiaoSong-B05S" w:hAnsi="FZXiaoBiaoSong-B05S" w:eastAsia="FZXiaoBiaoSong-B05S" w:cs="FZXiaoBiaoSong-B05S"/>
          <w:sz w:val="44"/>
          <w:szCs w:val="44"/>
        </w:rPr>
      </w:pPr>
      <w:r>
        <w:rPr>
          <w:rFonts w:hint="eastAsia" w:ascii="FZXiaoBiaoSong-B05S" w:hAnsi="FZXiaoBiaoSong-B05S" w:eastAsia="FZXiaoBiaoSong-B05S" w:cs="FZXiaoBiaoSong-B05S"/>
          <w:sz w:val="44"/>
          <w:szCs w:val="44"/>
        </w:rPr>
        <w:t>峨边彝族自治县</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FZXiaoBiaoSong-B05S" w:hAnsi="FZXiaoBiaoSong-B05S" w:eastAsia="FZXiaoBiaoSong-B05S" w:cs="FZXiaoBiaoSong-B05S"/>
          <w:sz w:val="44"/>
          <w:szCs w:val="44"/>
        </w:rPr>
      </w:pPr>
      <w:r>
        <w:rPr>
          <w:rFonts w:hint="eastAsia" w:ascii="FZXiaoBiaoSong-B05S" w:hAnsi="FZXiaoBiaoSong-B05S" w:eastAsia="FZXiaoBiaoSong-B05S" w:cs="FZXiaoBiaoSong-B05S"/>
          <w:sz w:val="44"/>
          <w:szCs w:val="44"/>
        </w:rPr>
        <w:t>“十四五”卫生健康发展规划</w:t>
      </w:r>
    </w:p>
    <w:p>
      <w:pPr>
        <w:keepNext w:val="0"/>
        <w:keepLines w:val="0"/>
        <w:pageBreakBefore w:val="0"/>
        <w:widowControl w:val="0"/>
        <w:kinsoku/>
        <w:wordWrap/>
        <w:overflowPunct/>
        <w:topLinePunct w:val="0"/>
        <w:autoSpaceDE w:val="0"/>
        <w:autoSpaceDN/>
        <w:bidi w:val="0"/>
        <w:adjustRightInd/>
        <w:snapToGrid/>
        <w:spacing w:line="240" w:lineRule="exact"/>
        <w:jc w:val="center"/>
        <w:textAlignment w:val="auto"/>
        <w:rPr>
          <w:rFonts w:hint="eastAsia" w:ascii="KaiTi_GB2312" w:hAnsi="KaiTi_GB2312" w:eastAsia="KaiTi_GB2312" w:cs="KaiTi_GB2312"/>
          <w:sz w:val="32"/>
          <w:szCs w:val="32"/>
        </w:rPr>
      </w:pPr>
    </w:p>
    <w:p>
      <w:pPr>
        <w:spacing w:line="580" w:lineRule="exact"/>
        <w:jc w:val="center"/>
        <w:rPr>
          <w:rFonts w:ascii="SimHei" w:hAnsi="SimHei" w:eastAsia="SimHei" w:cs="SimHei"/>
          <w:b/>
          <w:sz w:val="32"/>
          <w:szCs w:val="32"/>
        </w:rPr>
      </w:pPr>
    </w:p>
    <w:p>
      <w:pPr>
        <w:keepNext w:val="0"/>
        <w:keepLines w:val="0"/>
        <w:pageBreakBefore w:val="0"/>
        <w:kinsoku/>
        <w:wordWrap/>
        <w:overflowPunct/>
        <w:topLinePunct w:val="0"/>
        <w:autoSpaceDE/>
        <w:autoSpaceDN/>
        <w:bidi w:val="0"/>
        <w:snapToGrid/>
        <w:spacing w:line="610" w:lineRule="exact"/>
        <w:jc w:val="center"/>
        <w:textAlignment w:val="auto"/>
        <w:rPr>
          <w:rFonts w:ascii="SimHei" w:hAnsi="SimHei" w:eastAsia="SimHei" w:cs="FZXiaoBiaoSong-B05S"/>
          <w:b w:val="0"/>
          <w:bCs/>
          <w:sz w:val="32"/>
          <w:szCs w:val="32"/>
        </w:rPr>
      </w:pPr>
      <w:r>
        <w:rPr>
          <w:rFonts w:hint="eastAsia" w:ascii="SimHei" w:hAnsi="SimHei" w:eastAsia="SimHei" w:cs="SimHei"/>
          <w:b w:val="0"/>
          <w:bCs/>
          <w:sz w:val="32"/>
          <w:szCs w:val="32"/>
        </w:rPr>
        <w:t>第一章  规划背景</w:t>
      </w:r>
    </w:p>
    <w:p>
      <w:pPr>
        <w:keepNext w:val="0"/>
        <w:keepLines w:val="0"/>
        <w:pageBreakBefore w:val="0"/>
        <w:widowControl w:val="0"/>
        <w:kinsoku/>
        <w:wordWrap/>
        <w:overflowPunct/>
        <w:topLinePunct w:val="0"/>
        <w:autoSpaceDE/>
        <w:autoSpaceDN/>
        <w:bidi w:val="0"/>
        <w:adjustRightInd/>
        <w:snapToGrid/>
        <w:spacing w:line="610" w:lineRule="exact"/>
        <w:ind w:firstLine="641"/>
        <w:textAlignment w:val="auto"/>
        <w:rPr>
          <w:rFonts w:ascii="FangSong" w:hAnsi="FangSong" w:eastAsia="FangSong"/>
          <w:sz w:val="32"/>
          <w:szCs w:val="32"/>
        </w:rPr>
      </w:pPr>
    </w:p>
    <w:p>
      <w:pPr>
        <w:keepNext w:val="0"/>
        <w:keepLines w:val="0"/>
        <w:pageBreakBefore w:val="0"/>
        <w:kinsoku/>
        <w:wordWrap/>
        <w:overflowPunct/>
        <w:topLinePunct w:val="0"/>
        <w:autoSpaceDE/>
        <w:autoSpaceDN/>
        <w:bidi w:val="0"/>
        <w:snapToGrid/>
        <w:spacing w:line="610" w:lineRule="exact"/>
        <w:ind w:firstLine="64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峨边彝族自治县“十四五”</w:t>
      </w:r>
      <w:r>
        <w:rPr>
          <w:rFonts w:hint="eastAsia" w:ascii="FangSong_GB2312" w:hAnsi="FangSong_GB2312" w:eastAsia="FangSong_GB2312" w:cs="FangSong_GB2312"/>
          <w:sz w:val="32"/>
          <w:szCs w:val="32"/>
          <w:lang w:eastAsia="zh-CN"/>
        </w:rPr>
        <w:t>卫生健康</w:t>
      </w:r>
      <w:r>
        <w:rPr>
          <w:rFonts w:hint="eastAsia" w:ascii="FangSong_GB2312" w:hAnsi="FangSong_GB2312" w:eastAsia="FangSong_GB2312" w:cs="FangSong_GB2312"/>
          <w:sz w:val="32"/>
          <w:szCs w:val="32"/>
        </w:rPr>
        <w:t>发展规划是</w:t>
      </w:r>
      <w:r>
        <w:rPr>
          <w:rFonts w:hint="eastAsia" w:ascii="FangSong_GB2312" w:hAnsi="FangSong_GB2312" w:eastAsia="FangSong_GB2312" w:cs="FangSong_GB2312"/>
          <w:sz w:val="32"/>
          <w:szCs w:val="32"/>
          <w:lang w:eastAsia="zh-CN"/>
        </w:rPr>
        <w:t>全</w:t>
      </w:r>
      <w:r>
        <w:rPr>
          <w:rFonts w:hint="eastAsia" w:ascii="FangSong_GB2312" w:hAnsi="FangSong_GB2312" w:eastAsia="FangSong_GB2312" w:cs="FangSong_GB2312"/>
          <w:sz w:val="32"/>
          <w:szCs w:val="32"/>
        </w:rPr>
        <w:t>县国民经济发展规划的重要组成部分，是政府对</w:t>
      </w:r>
      <w:r>
        <w:rPr>
          <w:rFonts w:hint="eastAsia" w:ascii="FangSong_GB2312" w:hAnsi="FangSong_GB2312" w:eastAsia="FangSong_GB2312" w:cs="FangSong_GB2312"/>
          <w:sz w:val="32"/>
          <w:szCs w:val="32"/>
          <w:lang w:eastAsia="zh-CN"/>
        </w:rPr>
        <w:t>卫生健康</w:t>
      </w:r>
      <w:r>
        <w:rPr>
          <w:rFonts w:hint="eastAsia" w:ascii="FangSong_GB2312" w:hAnsi="FangSong_GB2312" w:eastAsia="FangSong_GB2312" w:cs="FangSong_GB2312"/>
          <w:sz w:val="32"/>
          <w:szCs w:val="32"/>
        </w:rPr>
        <w:t>发展实现宏观调控的主要依据和重要手段，是卫生健康行政部门对卫健系统实行全行业管理的基础，是确保卫生改革与发展顺利进行的前提条件，是建立与</w:t>
      </w:r>
      <w:r>
        <w:rPr>
          <w:rFonts w:hint="eastAsia" w:ascii="FangSong_GB2312" w:hAnsi="FangSong_GB2312" w:eastAsia="FangSong_GB2312" w:cs="FangSong_GB2312"/>
          <w:sz w:val="32"/>
          <w:szCs w:val="32"/>
          <w:lang w:eastAsia="zh-CN"/>
        </w:rPr>
        <w:t>全</w:t>
      </w:r>
      <w:r>
        <w:rPr>
          <w:rFonts w:hint="eastAsia" w:ascii="FangSong_GB2312" w:hAnsi="FangSong_GB2312" w:eastAsia="FangSong_GB2312" w:cs="FangSong_GB2312"/>
          <w:sz w:val="32"/>
          <w:szCs w:val="32"/>
        </w:rPr>
        <w:t>县经济发展和社会进步相适应的卫生健康服务体系，满足广大人民群众基本医疗服务需要，提高人民群众健康水平的重要保证。</w:t>
      </w:r>
    </w:p>
    <w:p>
      <w:pPr>
        <w:keepNext w:val="0"/>
        <w:keepLines w:val="0"/>
        <w:pageBreakBefore w:val="0"/>
        <w:kinsoku/>
        <w:wordWrap/>
        <w:overflowPunct/>
        <w:topLinePunct w:val="0"/>
        <w:autoSpaceDE/>
        <w:autoSpaceDN/>
        <w:bidi w:val="0"/>
        <w:snapToGrid/>
        <w:spacing w:line="610" w:lineRule="exact"/>
        <w:ind w:firstLine="64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为全面贯彻落实党的十九届五中全会和省委十一届八次全会、市委七届十一次会议精神以及县委县政府决策部署，加快全县</w:t>
      </w:r>
      <w:r>
        <w:rPr>
          <w:rFonts w:hint="eastAsia" w:ascii="FangSong_GB2312" w:hAnsi="FangSong_GB2312" w:eastAsia="FangSong_GB2312" w:cs="FangSong_GB2312"/>
          <w:sz w:val="32"/>
          <w:szCs w:val="32"/>
          <w:lang w:eastAsia="zh-CN"/>
        </w:rPr>
        <w:t>卫生健康</w:t>
      </w:r>
      <w:r>
        <w:rPr>
          <w:rFonts w:hint="eastAsia" w:ascii="FangSong_GB2312" w:hAnsi="FangSong_GB2312" w:eastAsia="FangSong_GB2312" w:cs="FangSong_GB2312"/>
          <w:sz w:val="32"/>
          <w:szCs w:val="32"/>
        </w:rPr>
        <w:t>发展，提高彝汉群众健康水平，</w:t>
      </w:r>
      <w:r>
        <w:rPr>
          <w:rFonts w:hint="eastAsia" w:ascii="FangSong_GB2312" w:hAnsi="FangSong_GB2312" w:eastAsia="FangSong_GB2312" w:cs="FangSong_GB2312"/>
          <w:snapToGrid w:val="0"/>
          <w:sz w:val="32"/>
          <w:szCs w:val="32"/>
        </w:rPr>
        <w:t>立足</w:t>
      </w:r>
      <w:r>
        <w:rPr>
          <w:rFonts w:hint="eastAsia" w:ascii="FangSong_GB2312" w:hAnsi="FangSong_GB2312" w:eastAsia="FangSong_GB2312" w:cs="FangSong_GB2312"/>
          <w:sz w:val="32"/>
          <w:szCs w:val="32"/>
        </w:rPr>
        <w:t>全县</w:t>
      </w:r>
      <w:r>
        <w:rPr>
          <w:rFonts w:hint="eastAsia" w:ascii="FangSong_GB2312" w:hAnsi="FangSong_GB2312" w:eastAsia="FangSong_GB2312" w:cs="FangSong_GB2312"/>
          <w:snapToGrid w:val="0"/>
          <w:sz w:val="32"/>
          <w:szCs w:val="32"/>
        </w:rPr>
        <w:t>卫生现状，</w:t>
      </w:r>
      <w:r>
        <w:rPr>
          <w:rFonts w:hint="eastAsia" w:ascii="FangSong_GB2312" w:hAnsi="FangSong_GB2312" w:eastAsia="FangSong_GB2312" w:cs="FangSong_GB2312"/>
          <w:sz w:val="32"/>
          <w:szCs w:val="32"/>
        </w:rPr>
        <w:t>制定《峨边彝族自治县“十四五”</w:t>
      </w:r>
      <w:r>
        <w:rPr>
          <w:rFonts w:hint="eastAsia" w:ascii="FangSong_GB2312" w:hAnsi="FangSong_GB2312" w:eastAsia="FangSong_GB2312" w:cs="FangSong_GB2312"/>
          <w:sz w:val="32"/>
          <w:szCs w:val="32"/>
          <w:lang w:eastAsia="zh-CN"/>
        </w:rPr>
        <w:t>卫生健康</w:t>
      </w:r>
      <w:r>
        <w:rPr>
          <w:rFonts w:hint="eastAsia" w:ascii="FangSong_GB2312" w:hAnsi="FangSong_GB2312" w:eastAsia="FangSong_GB2312" w:cs="FangSong_GB2312"/>
          <w:sz w:val="32"/>
          <w:szCs w:val="32"/>
        </w:rPr>
        <w:t>发展规划》。</w:t>
      </w:r>
    </w:p>
    <w:p>
      <w:pPr>
        <w:pStyle w:val="4"/>
        <w:keepNext w:val="0"/>
        <w:keepLines w:val="0"/>
        <w:pageBreakBefore w:val="0"/>
        <w:kinsoku/>
        <w:wordWrap/>
        <w:overflowPunct/>
        <w:topLinePunct w:val="0"/>
        <w:autoSpaceDE/>
        <w:autoSpaceDN/>
        <w:bidi w:val="0"/>
        <w:snapToGrid/>
        <w:spacing w:line="610" w:lineRule="exact"/>
        <w:textAlignment w:val="auto"/>
      </w:pPr>
    </w:p>
    <w:p>
      <w:pPr>
        <w:keepNext w:val="0"/>
        <w:keepLines w:val="0"/>
        <w:pageBreakBefore w:val="0"/>
        <w:kinsoku/>
        <w:wordWrap/>
        <w:overflowPunct/>
        <w:topLinePunct w:val="0"/>
        <w:autoSpaceDE/>
        <w:autoSpaceDN/>
        <w:bidi w:val="0"/>
        <w:snapToGrid/>
        <w:spacing w:line="610" w:lineRule="exact"/>
        <w:ind w:firstLine="640" w:firstLineChars="200"/>
        <w:jc w:val="center"/>
        <w:textAlignment w:val="auto"/>
        <w:rPr>
          <w:rFonts w:hint="eastAsia" w:ascii="SimHei" w:hAnsi="SimHei" w:eastAsia="SimHei" w:cs="SimHei"/>
          <w:b w:val="0"/>
          <w:bCs/>
          <w:sz w:val="32"/>
          <w:szCs w:val="32"/>
        </w:rPr>
      </w:pPr>
      <w:r>
        <w:rPr>
          <w:rFonts w:hint="eastAsia" w:ascii="SimHei" w:hAnsi="SimHei" w:eastAsia="SimHei" w:cs="SimHei"/>
          <w:b w:val="0"/>
          <w:bCs/>
          <w:sz w:val="32"/>
          <w:szCs w:val="32"/>
        </w:rPr>
        <w:t xml:space="preserve">第一节 </w:t>
      </w:r>
      <w:r>
        <w:rPr>
          <w:rFonts w:hint="eastAsia" w:ascii="SimHei" w:hAnsi="SimHei" w:eastAsia="SimHei" w:cs="SimHei"/>
          <w:b w:val="0"/>
          <w:bCs/>
          <w:sz w:val="32"/>
          <w:szCs w:val="32"/>
          <w:lang w:val="en-US" w:eastAsia="zh-CN"/>
        </w:rPr>
        <w:t xml:space="preserve">  </w:t>
      </w:r>
      <w:r>
        <w:rPr>
          <w:rFonts w:hint="eastAsia" w:ascii="SimHei" w:hAnsi="SimHei" w:eastAsia="SimHei" w:cs="SimHei"/>
          <w:b w:val="0"/>
          <w:bCs/>
          <w:sz w:val="32"/>
          <w:szCs w:val="32"/>
        </w:rPr>
        <w:t xml:space="preserve"> “十三五”时期发展成就</w:t>
      </w:r>
    </w:p>
    <w:p>
      <w:pPr>
        <w:keepNext w:val="0"/>
        <w:keepLines w:val="0"/>
        <w:pageBreakBefore w:val="0"/>
        <w:kinsoku/>
        <w:wordWrap/>
        <w:overflowPunct/>
        <w:topLinePunct w:val="0"/>
        <w:autoSpaceDE/>
        <w:autoSpaceDN/>
        <w:bidi w:val="0"/>
        <w:snapToGrid/>
        <w:spacing w:line="610" w:lineRule="exact"/>
        <w:ind w:firstLine="640" w:firstLineChars="200"/>
        <w:jc w:val="center"/>
        <w:textAlignment w:val="auto"/>
        <w:rPr>
          <w:rFonts w:hint="eastAsia" w:ascii="SimHei" w:hAnsi="SimHei" w:eastAsia="SimHei" w:cs="SimHei"/>
          <w:b w:val="0"/>
          <w:bCs/>
          <w:sz w:val="32"/>
          <w:szCs w:val="32"/>
        </w:rPr>
      </w:pPr>
    </w:p>
    <w:p>
      <w:pPr>
        <w:keepNext w:val="0"/>
        <w:keepLines w:val="0"/>
        <w:pageBreakBefore w:val="0"/>
        <w:kinsoku/>
        <w:wordWrap/>
        <w:overflowPunct/>
        <w:topLinePunct w:val="0"/>
        <w:autoSpaceDE/>
        <w:autoSpaceDN/>
        <w:bidi w:val="0"/>
        <w:snapToGrid/>
        <w:spacing w:line="610" w:lineRule="exact"/>
        <w:ind w:firstLine="640"/>
        <w:textAlignment w:val="auto"/>
        <w:rPr>
          <w:rFonts w:hint="eastAsia" w:ascii="KaiTi_GB2312" w:hAnsi="KaiTi_GB2312" w:eastAsia="KaiTi_GB2312" w:cs="KaiTi_GB2312"/>
          <w:b w:val="0"/>
          <w:bCs/>
          <w:sz w:val="32"/>
          <w:szCs w:val="32"/>
          <w:lang w:val="zh-TW"/>
        </w:rPr>
      </w:pPr>
      <w:r>
        <w:rPr>
          <w:rFonts w:hint="eastAsia" w:ascii="KaiTi_GB2312" w:hAnsi="KaiTi_GB2312" w:eastAsia="KaiTi_GB2312" w:cs="KaiTi_GB2312"/>
          <w:b w:val="0"/>
          <w:bCs/>
          <w:sz w:val="32"/>
          <w:szCs w:val="32"/>
        </w:rPr>
        <w:t>一、</w:t>
      </w:r>
      <w:r>
        <w:rPr>
          <w:rFonts w:hint="eastAsia" w:ascii="KaiTi_GB2312" w:hAnsi="KaiTi_GB2312" w:eastAsia="KaiTi_GB2312" w:cs="KaiTi_GB2312"/>
          <w:b w:val="0"/>
          <w:bCs/>
          <w:sz w:val="32"/>
          <w:szCs w:val="32"/>
          <w:lang w:val="zh-TW"/>
        </w:rPr>
        <w:t>健康扶贫成效明显</w:t>
      </w:r>
    </w:p>
    <w:p>
      <w:pPr>
        <w:keepNext w:val="0"/>
        <w:keepLines w:val="0"/>
        <w:pageBreakBefore w:val="0"/>
        <w:kinsoku/>
        <w:wordWrap/>
        <w:overflowPunct/>
        <w:topLinePunct w:val="0"/>
        <w:autoSpaceDE/>
        <w:autoSpaceDN/>
        <w:bidi w:val="0"/>
        <w:snapToGrid/>
        <w:spacing w:line="610" w:lineRule="exact"/>
        <w:ind w:firstLine="64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（一）基本医疗</w:t>
      </w:r>
      <w:r>
        <w:rPr>
          <w:rFonts w:hint="eastAsia" w:ascii="FangSong_GB2312" w:hAnsi="FangSong_GB2312" w:eastAsia="FangSong_GB2312" w:cs="FangSong_GB2312"/>
          <w:b/>
          <w:bCs/>
          <w:sz w:val="32"/>
          <w:szCs w:val="32"/>
          <w:lang w:eastAsia="zh-CN"/>
        </w:rPr>
        <w:t>全面</w:t>
      </w:r>
      <w:r>
        <w:rPr>
          <w:rFonts w:hint="eastAsia" w:ascii="FangSong_GB2312" w:hAnsi="FangSong_GB2312" w:eastAsia="FangSong_GB2312" w:cs="FangSong_GB2312"/>
          <w:b/>
          <w:bCs/>
          <w:sz w:val="32"/>
          <w:szCs w:val="32"/>
        </w:rPr>
        <w:t>保障。</w:t>
      </w:r>
      <w:r>
        <w:rPr>
          <w:rFonts w:hint="eastAsia" w:ascii="FangSong_GB2312" w:hAnsi="FangSong_GB2312" w:eastAsia="FangSong_GB2312" w:cs="FangSong_GB2312"/>
          <w:sz w:val="32"/>
          <w:szCs w:val="32"/>
        </w:rPr>
        <w:t>落实“十免四补助”医疗扶持政策，实施“先诊疗后结算”和“一站式结算”制度，财政全额代缴建档立卡贫困人员基本医疗保险个人缴费115050人次、2293.6万元。大力实施医疗救助政策，建立了贫困人口基本医疗保险、大病保险、医疗救助和卫生爱心扶贫救助“四重”保障机制，贫困人口县域内住院或合规转诊医疗费用个人自付不超过5%。2016年以来投入医疗救助资金4416万元、卫生爱心扶贫救助基金1300万元，救助贫困患者56488人次。</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（二）</w:t>
      </w:r>
      <w:r>
        <w:rPr>
          <w:rFonts w:hint="eastAsia" w:ascii="FangSong_GB2312" w:hAnsi="FangSong_GB2312" w:eastAsia="FangSong_GB2312" w:cs="FangSong_GB2312"/>
          <w:b/>
          <w:bCs/>
          <w:sz w:val="32"/>
          <w:szCs w:val="32"/>
          <w:lang w:eastAsia="zh-CN"/>
        </w:rPr>
        <w:t>重大疾病</w:t>
      </w:r>
      <w:r>
        <w:rPr>
          <w:rFonts w:hint="eastAsia" w:ascii="FangSong_GB2312" w:hAnsi="FangSong_GB2312" w:eastAsia="FangSong_GB2312" w:cs="FangSong_GB2312"/>
          <w:b/>
          <w:bCs/>
          <w:sz w:val="32"/>
          <w:szCs w:val="32"/>
        </w:rPr>
        <w:t>集中救治。</w:t>
      </w:r>
      <w:r>
        <w:rPr>
          <w:rFonts w:hint="eastAsia" w:ascii="FangSong_GB2312" w:hAnsi="FangSong_GB2312" w:eastAsia="FangSong_GB2312" w:cs="FangSong_GB2312"/>
          <w:sz w:val="32"/>
          <w:szCs w:val="32"/>
        </w:rPr>
        <w:t>扩大大病专项救治病种范围，从7种扩大到肝癌、终末期肾病、直肠癌等30种，共计兜底救治386人。</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（三）健康扶贫全面实施。</w:t>
      </w:r>
      <w:r>
        <w:rPr>
          <w:rFonts w:hint="eastAsia" w:ascii="FangSong_GB2312" w:hAnsi="FangSong_GB2312" w:eastAsia="FangSong_GB2312" w:cs="FangSong_GB2312"/>
          <w:sz w:val="32"/>
          <w:szCs w:val="32"/>
        </w:rPr>
        <w:t>医疗服务能力得到提升，生育秩序整治效果明显。</w:t>
      </w:r>
      <w:r>
        <w:rPr>
          <w:rFonts w:hint="eastAsia" w:ascii="FangSong_GB2312" w:hAnsi="FangSong_GB2312" w:eastAsia="FangSong_GB2312" w:cs="FangSong_GB2312"/>
          <w:kern w:val="0"/>
          <w:sz w:val="32"/>
          <w:szCs w:val="32"/>
        </w:rPr>
        <w:t>免费为贫困人口提供基本公共卫生服务，贫困人口家庭医生签约服务全覆盖，</w:t>
      </w:r>
      <w:r>
        <w:rPr>
          <w:rFonts w:hint="eastAsia" w:ascii="FangSong_GB2312" w:hAnsi="FangSong_GB2312" w:eastAsia="FangSong_GB2312" w:cs="FangSong_GB2312"/>
          <w:sz w:val="32"/>
          <w:szCs w:val="32"/>
        </w:rPr>
        <w:t>慢性病规范管理和签约服务100%，全面实施慢性病特殊门诊应办尽办。</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二、医疗服务质量和水平得到提高</w:t>
      </w:r>
    </w:p>
    <w:p>
      <w:pPr>
        <w:keepNext w:val="0"/>
        <w:keepLines w:val="0"/>
        <w:pageBreakBefore w:val="0"/>
        <w:kinsoku/>
        <w:wordWrap/>
        <w:overflowPunct/>
        <w:topLinePunct w:val="0"/>
        <w:autoSpaceDE/>
        <w:autoSpaceDN/>
        <w:bidi w:val="0"/>
        <w:adjustRightInd w:val="0"/>
        <w:snapToGrid/>
        <w:spacing w:line="610" w:lineRule="exact"/>
        <w:ind w:firstLine="645"/>
        <w:textAlignment w:val="auto"/>
        <w:rPr>
          <w:rStyle w:val="18"/>
          <w:rFonts w:hint="eastAsia" w:ascii="FangSong_GB2312" w:hAnsi="FangSong_GB2312" w:eastAsia="FangSong_GB2312" w:cs="FangSong_GB2312"/>
          <w:bCs/>
          <w:sz w:val="32"/>
          <w:szCs w:val="32"/>
        </w:rPr>
      </w:pPr>
      <w:r>
        <w:rPr>
          <w:rFonts w:hint="eastAsia" w:ascii="FangSong_GB2312" w:hAnsi="FangSong_GB2312" w:eastAsia="FangSong_GB2312" w:cs="FangSong_GB2312"/>
          <w:b/>
          <w:bCs/>
          <w:sz w:val="32"/>
          <w:szCs w:val="32"/>
        </w:rPr>
        <w:t>（一）医疗服务体系建设进一步改善。</w:t>
      </w:r>
      <w:r>
        <w:rPr>
          <w:rFonts w:hint="eastAsia" w:ascii="FangSong_GB2312" w:hAnsi="FangSong_GB2312" w:eastAsia="FangSong_GB2312" w:cs="FangSong_GB2312"/>
          <w:sz w:val="32"/>
          <w:szCs w:val="32"/>
        </w:rPr>
        <w:t>全县已建成一个</w:t>
      </w:r>
      <w:r>
        <w:rPr>
          <w:rFonts w:hint="eastAsia" w:ascii="FangSong_GB2312" w:hAnsi="FangSong_GB2312" w:eastAsia="FangSong_GB2312" w:cs="FangSong_GB2312"/>
          <w:snapToGrid w:val="0"/>
          <w:kern w:val="0"/>
          <w:sz w:val="32"/>
          <w:szCs w:val="32"/>
        </w:rPr>
        <w:t>二级甲等综合医院、一个二级乙等疾病预防控制中心，18个乡镇卫生院和130个村卫生室全部完成达标建设。</w:t>
      </w:r>
      <w:r>
        <w:rPr>
          <w:rFonts w:hint="eastAsia" w:ascii="FangSong_GB2312" w:hAnsi="FangSong_GB2312" w:eastAsia="FangSong_GB2312" w:cs="FangSong_GB2312"/>
          <w:sz w:val="32"/>
          <w:szCs w:val="32"/>
        </w:rPr>
        <w:t>县人民医院、县中医医院分别与省市建立了远程医疗协作网，县人民医院为9个乡镇卫生院提供远程放射、超声、心电图诊疗服务。县人民医院120院前急救覆盖全县，辐射金口河</w:t>
      </w:r>
      <w:r>
        <w:rPr>
          <w:rFonts w:hint="eastAsia" w:ascii="FangSong_GB2312" w:hAnsi="FangSong_GB2312" w:eastAsia="FangSong_GB2312" w:cs="FangSong_GB2312"/>
          <w:sz w:val="32"/>
          <w:szCs w:val="32"/>
          <w:lang w:eastAsia="zh-CN"/>
        </w:rPr>
        <w:t>区</w:t>
      </w:r>
      <w:r>
        <w:rPr>
          <w:rFonts w:hint="eastAsia" w:ascii="FangSong_GB2312" w:hAnsi="FangSong_GB2312" w:eastAsia="FangSong_GB2312" w:cs="FangSong_GB2312"/>
          <w:sz w:val="32"/>
          <w:szCs w:val="32"/>
        </w:rPr>
        <w:t>。</w:t>
      </w:r>
      <w:r>
        <w:rPr>
          <w:rStyle w:val="18"/>
          <w:rFonts w:hint="eastAsia" w:ascii="FangSong_GB2312" w:hAnsi="FangSong_GB2312" w:eastAsia="FangSong_GB2312" w:cs="FangSong_GB2312"/>
          <w:bCs/>
          <w:sz w:val="32"/>
          <w:szCs w:val="32"/>
        </w:rPr>
        <w:t>中医服务体系初步建立，县、乡、村的中医服务框架基本形成。</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（二）</w:t>
      </w:r>
      <w:r>
        <w:rPr>
          <w:rFonts w:hint="eastAsia" w:ascii="FangSong_GB2312" w:hAnsi="FangSong_GB2312" w:eastAsia="FangSong_GB2312" w:cs="FangSong_GB2312"/>
          <w:b/>
          <w:bCs/>
          <w:sz w:val="32"/>
          <w:szCs w:val="32"/>
          <w:lang w:val="zh-TW"/>
        </w:rPr>
        <w:t>医疗服务水平进一步提高</w:t>
      </w:r>
      <w:r>
        <w:rPr>
          <w:rFonts w:hint="eastAsia" w:ascii="FangSong_GB2312" w:hAnsi="FangSong_GB2312" w:eastAsia="FangSong_GB2312" w:cs="FangSong_GB2312"/>
          <w:b/>
          <w:bCs/>
          <w:sz w:val="32"/>
          <w:szCs w:val="32"/>
        </w:rPr>
        <w:t>。</w:t>
      </w:r>
      <w:r>
        <w:rPr>
          <w:rFonts w:hint="eastAsia" w:ascii="FangSong_GB2312" w:hAnsi="FangSong_GB2312" w:eastAsia="FangSong_GB2312" w:cs="FangSong_GB2312"/>
          <w:sz w:val="32"/>
          <w:szCs w:val="32"/>
        </w:rPr>
        <w:t>县人民医院开展了腹腔镜</w:t>
      </w:r>
      <w:r>
        <w:rPr>
          <w:rFonts w:hint="eastAsia" w:ascii="FangSong_GB2312" w:hAnsi="FangSong_GB2312" w:eastAsia="FangSong_GB2312" w:cs="FangSong_GB2312"/>
          <w:bCs/>
          <w:sz w:val="32"/>
          <w:szCs w:val="32"/>
        </w:rPr>
        <w:t>手术、骨科手术、肾病血透、肠镜囊肿摘除术、妇科手术等多项新技术。</w:t>
      </w:r>
      <w:r>
        <w:rPr>
          <w:rFonts w:hint="eastAsia" w:ascii="FangSong_GB2312" w:hAnsi="FangSong_GB2312" w:eastAsia="FangSong_GB2312" w:cs="FangSong_GB2312"/>
          <w:sz w:val="32"/>
          <w:szCs w:val="32"/>
        </w:rPr>
        <w:t>新建儿科、骨科、肾病内科血透室、内镜中心、中医康复科、肛肠科等业务科室，填补了我县县级医疗机构多项学科空白，全面提升</w:t>
      </w:r>
      <w:r>
        <w:rPr>
          <w:rFonts w:hint="eastAsia" w:ascii="FangSong_GB2312" w:hAnsi="FangSong_GB2312" w:eastAsia="FangSong_GB2312" w:cs="FangSong_GB2312"/>
          <w:bCs/>
          <w:sz w:val="32"/>
          <w:szCs w:val="32"/>
        </w:rPr>
        <w:t>了县乡医院的服务能力。</w:t>
      </w:r>
      <w:r>
        <w:rPr>
          <w:rFonts w:hint="eastAsia" w:ascii="FangSong_GB2312" w:hAnsi="FangSong_GB2312" w:eastAsia="FangSong_GB2312" w:cs="FangSong_GB2312"/>
          <w:sz w:val="32"/>
          <w:szCs w:val="32"/>
        </w:rPr>
        <w:t>十三五末全县医疗机构诊疗量较十二五末同比增长 46.2 %。十三五末县人民医院、县中医院业务收入分别达5132.65万元、1907万元，较十二五末增长113.28%、41.6% 。</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（三）卫生人才队伍进一步壮大</w:t>
      </w:r>
      <w:r>
        <w:rPr>
          <w:rFonts w:hint="eastAsia" w:ascii="FangSong_GB2312" w:hAnsi="FangSong_GB2312" w:eastAsia="FangSong_GB2312" w:cs="FangSong_GB2312"/>
          <w:b/>
          <w:bCs/>
          <w:sz w:val="32"/>
          <w:szCs w:val="32"/>
          <w:lang w:eastAsia="zh-CN"/>
        </w:rPr>
        <w:t>。</w:t>
      </w:r>
      <w:r>
        <w:rPr>
          <w:rFonts w:hint="eastAsia" w:ascii="FangSong_GB2312" w:hAnsi="FangSong_GB2312" w:eastAsia="FangSong_GB2312" w:cs="FangSong_GB2312"/>
          <w:sz w:val="32"/>
          <w:szCs w:val="32"/>
        </w:rPr>
        <w:t>十三五期间，全县卫生系统通过公开考试考核招聘、民族地区阳光天使计划、签约农村订单定向免费医学生等形式共招聘136人；民族医士班定向培养乡村医生81人。全县现有卫生专业技术人员538人，其中高级职称36人，中级职称75人，合格村卫生人员119人。持续开展技术大练兵、设备使用率提升、健康管理全覆盖三大行动，累计培训专业技术人员1200余人次。选派专业技术人员参加省市级技能竞赛，其中2020年1人获省级一等奖，填补了我市省级一等奖空白。 8人获得四川省民族地区基层卫生优秀人才奖励基金奖励。</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三、公共卫生服务能力明显提升</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（一）基本公共卫生服务能力进一步提升。</w:t>
      </w:r>
      <w:r>
        <w:rPr>
          <w:rFonts w:hint="eastAsia" w:ascii="FangSong_GB2312" w:hAnsi="FangSong_GB2312" w:eastAsia="FangSong_GB2312" w:cs="FangSong_GB2312"/>
          <w:sz w:val="32"/>
          <w:szCs w:val="32"/>
          <w:lang w:val="zh-TW"/>
        </w:rPr>
        <w:t>全面实施</w:t>
      </w:r>
      <w:r>
        <w:rPr>
          <w:rFonts w:hint="eastAsia" w:ascii="FangSong_GB2312" w:hAnsi="FangSong_GB2312" w:eastAsia="FangSong_GB2312" w:cs="FangSong_GB2312"/>
          <w:kern w:val="0"/>
          <w:sz w:val="32"/>
          <w:szCs w:val="32"/>
        </w:rPr>
        <w:t>基本公共卫生服务均等化，</w:t>
      </w:r>
      <w:r>
        <w:rPr>
          <w:rFonts w:hint="eastAsia" w:ascii="FangSong_GB2312" w:hAnsi="FangSong_GB2312" w:eastAsia="FangSong_GB2312" w:cs="FangSong_GB2312"/>
          <w:sz w:val="32"/>
          <w:szCs w:val="32"/>
        </w:rPr>
        <w:t>人均基本公共卫生服务经费补助标准从2016年的45元提高至2020年的74元，</w:t>
      </w:r>
      <w:r>
        <w:rPr>
          <w:rFonts w:hint="eastAsia" w:ascii="FangSong_GB2312" w:hAnsi="FangSong_GB2312" w:eastAsia="FangSong_GB2312" w:cs="FangSong_GB2312"/>
          <w:kern w:val="0"/>
          <w:sz w:val="32"/>
          <w:szCs w:val="32"/>
        </w:rPr>
        <w:t>免费为常住城乡居民提供12类</w:t>
      </w:r>
      <w:r>
        <w:rPr>
          <w:rFonts w:hint="eastAsia" w:ascii="FangSong_GB2312" w:hAnsi="FangSong_GB2312" w:eastAsia="FangSong_GB2312" w:cs="FangSong_GB2312"/>
          <w:kern w:val="0"/>
          <w:sz w:val="32"/>
          <w:szCs w:val="32"/>
          <w:lang w:val="en-US" w:eastAsia="zh-CN"/>
        </w:rPr>
        <w:t>14</w:t>
      </w:r>
      <w:r>
        <w:rPr>
          <w:rFonts w:hint="eastAsia" w:ascii="FangSong_GB2312" w:hAnsi="FangSong_GB2312" w:eastAsia="FangSong_GB2312" w:cs="FangSong_GB2312"/>
          <w:kern w:val="0"/>
          <w:sz w:val="32"/>
          <w:szCs w:val="32"/>
        </w:rPr>
        <w:t>项基本公共卫生服务，重点人群健康管理和</w:t>
      </w:r>
      <w:r>
        <w:rPr>
          <w:rFonts w:hint="eastAsia" w:ascii="FangSong_GB2312" w:hAnsi="FangSong_GB2312" w:eastAsia="FangSong_GB2312" w:cs="FangSong_GB2312"/>
          <w:sz w:val="32"/>
          <w:szCs w:val="32"/>
        </w:rPr>
        <w:t>签约服务全面落实，累计建档137000人，其中规范化电子档案建档率达到99.88%。</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bCs/>
          <w:sz w:val="32"/>
          <w:szCs w:val="32"/>
        </w:rPr>
      </w:pPr>
      <w:r>
        <w:rPr>
          <w:rFonts w:hint="eastAsia" w:ascii="FangSong_GB2312" w:hAnsi="FangSong_GB2312" w:eastAsia="FangSong_GB2312" w:cs="FangSong_GB2312"/>
          <w:b/>
          <w:bCs/>
          <w:sz w:val="32"/>
          <w:szCs w:val="32"/>
        </w:rPr>
        <w:t>（二）重大公共卫生服务能力进一步提升。</w:t>
      </w:r>
      <w:r>
        <w:rPr>
          <w:rFonts w:hint="eastAsia" w:ascii="FangSong_GB2312" w:hAnsi="FangSong_GB2312" w:eastAsia="FangSong_GB2312" w:cs="FangSong_GB2312"/>
          <w:sz w:val="32"/>
          <w:szCs w:val="32"/>
          <w:lang w:val="zh-TW"/>
        </w:rPr>
        <w:t>法定传染病发病水平呈平稳态势，重点传染病疫情得到有效控制。通过实施以控制传染源为主的综合防治策略控制艾滋病疫情增长势头，艾滋病</w:t>
      </w:r>
      <w:r>
        <w:rPr>
          <w:rFonts w:hint="eastAsia" w:ascii="FangSong_GB2312" w:hAnsi="FangSong_GB2312" w:eastAsia="FangSong_GB2312" w:cs="FangSong_GB2312"/>
          <w:bCs/>
          <w:sz w:val="32"/>
          <w:szCs w:val="32"/>
        </w:rPr>
        <w:t>治疗率覆盖率94.23%，治疗成功率90.6%。</w:t>
      </w:r>
      <w:r>
        <w:rPr>
          <w:rFonts w:hint="eastAsia" w:ascii="FangSong_GB2312" w:hAnsi="FangSong_GB2312" w:eastAsia="FangSong_GB2312" w:cs="FangSong_GB2312"/>
          <w:sz w:val="32"/>
          <w:szCs w:val="32"/>
        </w:rPr>
        <w:t>开展职业病危害因素现场监测和职业人群个性化健康指导，对尘肺患者实施兜底救助136人次。</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（三）妇幼健康工作进一步提高。</w:t>
      </w:r>
      <w:r>
        <w:rPr>
          <w:rFonts w:hint="eastAsia" w:ascii="FangSong_GB2312" w:hAnsi="FangSong_GB2312" w:eastAsia="FangSong_GB2312" w:cs="FangSong_GB2312"/>
          <w:sz w:val="32"/>
          <w:szCs w:val="32"/>
        </w:rPr>
        <w:t>农村孕产妇住院分娩率稳定在99.51%、婴儿死亡率从7.43‰下降到</w:t>
      </w:r>
      <w:r>
        <w:rPr>
          <w:rFonts w:hint="eastAsia" w:ascii="FangSong_GB2312" w:hAnsi="FangSong_GB2312" w:eastAsia="FangSong_GB2312" w:cs="FangSong_GB2312"/>
          <w:sz w:val="32"/>
          <w:szCs w:val="32"/>
          <w:lang w:val="en-US" w:eastAsia="zh-CN"/>
        </w:rPr>
        <w:t>2020年的</w:t>
      </w:r>
      <w:r>
        <w:rPr>
          <w:rFonts w:hint="eastAsia" w:ascii="FangSong_GB2312" w:hAnsi="FangSong_GB2312" w:eastAsia="FangSong_GB2312" w:cs="FangSong_GB2312"/>
          <w:sz w:val="32"/>
          <w:szCs w:val="32"/>
        </w:rPr>
        <w:t>5.8‰、5岁以下儿童死亡率从9.55‰下降到6.8‰、孕产妇死亡率继续保持在0。农村妇女“两癌”（宫颈癌、乳腺癌）筛查项目、母婴阻断项目均完成目标任务。</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（四）爱国卫生工作成效明显。</w:t>
      </w:r>
      <w:r>
        <w:rPr>
          <w:rFonts w:hint="eastAsia" w:ascii="FangSong_GB2312" w:hAnsi="FangSong_GB2312" w:eastAsia="FangSong_GB2312" w:cs="FangSong_GB2312"/>
          <w:sz w:val="32"/>
          <w:szCs w:val="32"/>
        </w:rPr>
        <w:t>深入贯彻落实《国务院关于深入开展爱国卫生运动的意见》，全面改善人居环境，提高群众健康素养和全民健康水平，加强社会健康管理，协同推进健康峨边建设。全县成功创建省级卫生县城，省级卫生乡镇9个，省级卫生村55个。</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四、医疗卫生体制改革进一步深化</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（一）全民医保体系更加健全。</w:t>
      </w:r>
      <w:r>
        <w:rPr>
          <w:rFonts w:hint="eastAsia" w:ascii="FangSong_GB2312" w:hAnsi="FangSong_GB2312" w:eastAsia="FangSong_GB2312" w:cs="FangSong_GB2312"/>
          <w:sz w:val="32"/>
          <w:szCs w:val="32"/>
        </w:rPr>
        <w:t>提高基本医疗保障水平，大病患者全面救治，建档立卡贫困人员参保率达100%，职工医保、城乡居民基本医疗保险参保率稳定在98%以上。职工医保、城乡居民基本医疗保险政策范围内住院费支付比例达到75.56%，高于全市</w:t>
      </w:r>
      <w:r>
        <w:rPr>
          <w:rFonts w:hint="eastAsia" w:ascii="FangSong_GB2312" w:hAnsi="FangSong_GB2312" w:eastAsia="FangSong_GB2312" w:cs="FangSong_GB2312"/>
          <w:sz w:val="32"/>
          <w:szCs w:val="32"/>
          <w:lang w:eastAsia="zh-CN"/>
        </w:rPr>
        <w:t>平均水平</w:t>
      </w:r>
      <w:r>
        <w:rPr>
          <w:rFonts w:hint="eastAsia" w:ascii="FangSong_GB2312" w:hAnsi="FangSong_GB2312" w:eastAsia="FangSong_GB2312" w:cs="FangSong_GB2312"/>
          <w:sz w:val="32"/>
          <w:szCs w:val="32"/>
        </w:rPr>
        <w:t>。</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（二）</w:t>
      </w:r>
      <w:r>
        <w:rPr>
          <w:rFonts w:hint="eastAsia" w:ascii="FangSong_GB2312" w:hAnsi="FangSong_GB2312" w:eastAsia="FangSong_GB2312" w:cs="FangSong_GB2312"/>
          <w:b/>
          <w:bCs/>
          <w:sz w:val="32"/>
          <w:szCs w:val="32"/>
          <w:lang w:val="zh-TW"/>
        </w:rPr>
        <w:t>基层医疗卫生机构综合改革进一步深化</w:t>
      </w:r>
      <w:r>
        <w:rPr>
          <w:rFonts w:hint="eastAsia" w:ascii="FangSong_GB2312" w:hAnsi="FangSong_GB2312" w:eastAsia="FangSong_GB2312" w:cs="FangSong_GB2312"/>
          <w:b/>
          <w:bCs/>
          <w:sz w:val="32"/>
          <w:szCs w:val="32"/>
        </w:rPr>
        <w:t>。</w:t>
      </w:r>
      <w:r>
        <w:rPr>
          <w:rFonts w:hint="eastAsia" w:ascii="FangSong_GB2312" w:hAnsi="FangSong_GB2312" w:eastAsia="FangSong_GB2312" w:cs="FangSong_GB2312"/>
          <w:sz w:val="32"/>
          <w:szCs w:val="32"/>
          <w:lang w:val="zh-TW"/>
        </w:rPr>
        <w:t>完善基层医疗卫生机构编制管理、补偿机制、人事分配等方面的综合改革措施，基药补助、公共卫生补助、财政绩效补助足额落实到位。</w:t>
      </w:r>
      <w:r>
        <w:rPr>
          <w:rFonts w:hint="eastAsia" w:ascii="FangSong_GB2312" w:hAnsi="FangSong_GB2312" w:eastAsia="FangSong_GB2312" w:cs="FangSong_GB2312"/>
          <w:sz w:val="32"/>
          <w:szCs w:val="32"/>
        </w:rPr>
        <w:t>全面实行总额控费制度的医保支付方式改革。坚持药械集中采购。完善了医疗服务价格机制，突出医疗服务价值。</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（三）</w:t>
      </w:r>
      <w:r>
        <w:rPr>
          <w:rFonts w:hint="eastAsia" w:ascii="FangSong_GB2312" w:hAnsi="FangSong_GB2312" w:eastAsia="FangSong_GB2312" w:cs="FangSong_GB2312"/>
          <w:b/>
          <w:bCs/>
          <w:sz w:val="32"/>
          <w:szCs w:val="32"/>
          <w:lang w:val="zh-TW"/>
        </w:rPr>
        <w:t>基本药物制度实施进一步完善</w:t>
      </w:r>
      <w:r>
        <w:rPr>
          <w:rFonts w:hint="eastAsia" w:ascii="FangSong_GB2312" w:hAnsi="FangSong_GB2312" w:eastAsia="FangSong_GB2312" w:cs="FangSong_GB2312"/>
          <w:b/>
          <w:bCs/>
          <w:sz w:val="32"/>
          <w:szCs w:val="32"/>
        </w:rPr>
        <w:t>。</w:t>
      </w:r>
      <w:r>
        <w:rPr>
          <w:rFonts w:hint="eastAsia" w:ascii="FangSong_GB2312" w:hAnsi="FangSong_GB2312" w:eastAsia="FangSong_GB2312" w:cs="FangSong_GB2312"/>
          <w:sz w:val="32"/>
          <w:szCs w:val="32"/>
        </w:rPr>
        <w:t>县级医疗机构、乡镇卫生院、卫生室100%配备和使用国家基本药物，全部实行网上集中招标采购并零差率销售，财政累计投入1283.5万元，有效减轻老百姓的医疗负担。</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五、新冠疫情防控取得阶段性成果</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lang w:val="en-US" w:eastAsia="zh-CN"/>
        </w:rPr>
        <w:t>2020年初，</w:t>
      </w:r>
      <w:r>
        <w:rPr>
          <w:rFonts w:hint="eastAsia" w:ascii="FangSong_GB2312" w:hAnsi="FangSong_GB2312" w:eastAsia="FangSong_GB2312" w:cs="FangSong_GB2312"/>
          <w:sz w:val="32"/>
          <w:szCs w:val="32"/>
        </w:rPr>
        <w:t>面对突如其来的</w:t>
      </w:r>
      <w:r>
        <w:rPr>
          <w:rFonts w:hint="eastAsia" w:ascii="FangSong_GB2312" w:hAnsi="FangSong_GB2312" w:eastAsia="FangSong_GB2312" w:cs="FangSong_GB2312"/>
          <w:sz w:val="32"/>
          <w:szCs w:val="32"/>
          <w:lang w:eastAsia="zh-CN"/>
        </w:rPr>
        <w:t>新冠</w:t>
      </w:r>
      <w:r>
        <w:rPr>
          <w:rFonts w:hint="eastAsia" w:ascii="FangSong_GB2312" w:hAnsi="FangSong_GB2312" w:eastAsia="FangSong_GB2312" w:cs="FangSong_GB2312"/>
          <w:sz w:val="32"/>
          <w:szCs w:val="32"/>
        </w:rPr>
        <w:t>疫情，坚持把人民生命安全和身体健康放在第一位，建立健全“领导小组+指挥部+专项小组+乡镇+村组（社）”一体化作战体系，第一时间启动应急响应，打好总体战、阻击战，掀起了一场疫情防控的人民战争。设置县级发热门诊2个、乡镇</w:t>
      </w:r>
      <w:r>
        <w:rPr>
          <w:rFonts w:hint="eastAsia" w:ascii="FangSong_GB2312" w:hAnsi="FangSong_GB2312" w:eastAsia="FangSong_GB2312" w:cs="FangSong_GB2312"/>
          <w:sz w:val="32"/>
          <w:szCs w:val="32"/>
          <w:lang w:eastAsia="zh-CN"/>
        </w:rPr>
        <w:t>及民营医院发热诊室</w:t>
      </w:r>
      <w:r>
        <w:rPr>
          <w:rFonts w:hint="eastAsia" w:ascii="FangSong_GB2312" w:hAnsi="FangSong_GB2312" w:eastAsia="FangSong_GB2312" w:cs="FangSong_GB2312"/>
          <w:sz w:val="32"/>
          <w:szCs w:val="32"/>
          <w:lang w:val="en-US" w:eastAsia="zh-CN"/>
        </w:rPr>
        <w:t>15</w:t>
      </w:r>
      <w:r>
        <w:rPr>
          <w:rFonts w:hint="eastAsia" w:ascii="FangSong_GB2312" w:hAnsi="FangSong_GB2312" w:eastAsia="FangSong_GB2312" w:cs="FangSong_GB2312"/>
          <w:sz w:val="32"/>
          <w:szCs w:val="32"/>
        </w:rPr>
        <w:t>个，县人民医院改建传染病房27间，</w:t>
      </w:r>
      <w:r>
        <w:rPr>
          <w:rFonts w:hint="eastAsia" w:ascii="FangSong_GB2312" w:hAnsi="FangSong_GB2312" w:eastAsia="FangSong_GB2312" w:cs="FangSong_GB2312"/>
          <w:b w:val="0"/>
          <w:bCs w:val="0"/>
          <w:color w:val="auto"/>
          <w:spacing w:val="0"/>
          <w:sz w:val="32"/>
          <w:szCs w:val="32"/>
          <w:highlight w:val="none"/>
          <w:lang w:val="en-US" w:eastAsia="zh-CN"/>
        </w:rPr>
        <w:t>设立储备隔离医学观察点7个，储备</w:t>
      </w:r>
      <w:r>
        <w:rPr>
          <w:rFonts w:hint="eastAsia" w:ascii="FangSong_GB2312" w:hAnsi="FangSong_GB2312" w:eastAsia="FangSong_GB2312" w:cs="FangSong_GB2312"/>
          <w:color w:val="auto"/>
          <w:sz w:val="32"/>
          <w:szCs w:val="32"/>
          <w:highlight w:val="none"/>
          <w:lang w:val="en-US" w:eastAsia="zh-CN"/>
        </w:rPr>
        <w:t>隔离房间759个。启用</w:t>
      </w:r>
      <w:r>
        <w:rPr>
          <w:rStyle w:val="18"/>
          <w:rFonts w:hint="eastAsia" w:ascii="FangSong_GB2312" w:hAnsi="FangSong_GB2312" w:eastAsia="FangSong_GB2312" w:cs="FangSong_GB2312"/>
          <w:b w:val="0"/>
          <w:bCs w:val="0"/>
          <w:i w:val="0"/>
          <w:iCs w:val="0"/>
          <w:caps w:val="0"/>
          <w:color w:val="auto"/>
          <w:spacing w:val="0"/>
          <w:w w:val="100"/>
          <w:kern w:val="2"/>
          <w:sz w:val="32"/>
          <w:szCs w:val="32"/>
          <w:lang w:val="en-US" w:eastAsia="zh-CN" w:bidi="ar-SA"/>
        </w:rPr>
        <w:t>集中隔离医学观察点2个</w:t>
      </w:r>
      <w:r>
        <w:rPr>
          <w:rFonts w:hint="eastAsia" w:ascii="FangSong_GB2312" w:hAnsi="FangSong_GB2312" w:eastAsia="FangSong_GB2312" w:cs="FangSong_GB2312"/>
          <w:sz w:val="32"/>
          <w:szCs w:val="32"/>
        </w:rPr>
        <w:t>，</w:t>
      </w:r>
      <w:r>
        <w:rPr>
          <w:rStyle w:val="18"/>
          <w:rFonts w:hint="eastAsia" w:ascii="FangSong_GB2312" w:hAnsi="FangSong_GB2312" w:eastAsia="FangSong_GB2312" w:cs="FangSong_GB2312"/>
          <w:b w:val="0"/>
          <w:bCs w:val="0"/>
          <w:i w:val="0"/>
          <w:iCs w:val="0"/>
          <w:caps w:val="0"/>
          <w:color w:val="auto"/>
          <w:spacing w:val="0"/>
          <w:w w:val="100"/>
          <w:kern w:val="2"/>
          <w:sz w:val="32"/>
          <w:szCs w:val="32"/>
          <w:lang w:val="en-US" w:eastAsia="zh-CN" w:bidi="ar-SA"/>
        </w:rPr>
        <w:t>累计隔离观察2509人次，实现了疫情零扩散。</w:t>
      </w:r>
      <w:r>
        <w:rPr>
          <w:rFonts w:hint="eastAsia" w:ascii="FangSong_GB2312" w:hAnsi="FangSong_GB2312" w:eastAsia="FangSong_GB2312" w:cs="FangSong_GB2312"/>
          <w:sz w:val="32"/>
          <w:szCs w:val="32"/>
        </w:rPr>
        <w:t>转</w:t>
      </w:r>
      <w:r>
        <w:rPr>
          <w:rFonts w:hint="eastAsia" w:ascii="FangSong_GB2312" w:hAnsi="FangSong_GB2312" w:eastAsia="FangSong_GB2312" w:cs="FangSong_GB2312"/>
          <w:sz w:val="32"/>
          <w:szCs w:val="32"/>
          <w:lang w:eastAsia="zh-CN"/>
        </w:rPr>
        <w:t>入</w:t>
      </w:r>
      <w:r>
        <w:rPr>
          <w:rFonts w:hint="eastAsia" w:ascii="FangSong_GB2312" w:hAnsi="FangSong_GB2312" w:eastAsia="FangSong_GB2312" w:cs="FangSong_GB2312"/>
          <w:sz w:val="32"/>
          <w:szCs w:val="32"/>
        </w:rPr>
        <w:t>常态化防控后，严格落实“外防输入、内防反弹”防控政策，严格落实“预防为主”和“四早”措施，毫不放松抓好重点场所、重点机构、重点地区、重点人群防控，县人民</w:t>
      </w:r>
      <w:r>
        <w:rPr>
          <w:rFonts w:hint="eastAsia" w:ascii="FangSong_GB2312" w:hAnsi="FangSong_GB2312" w:eastAsia="FangSong_GB2312" w:cs="FangSong_GB2312"/>
          <w:sz w:val="32"/>
          <w:szCs w:val="32"/>
          <w:lang w:eastAsia="zh-CN"/>
        </w:rPr>
        <w:t>医</w:t>
      </w:r>
      <w:r>
        <w:rPr>
          <w:rFonts w:hint="eastAsia" w:ascii="FangSong_GB2312" w:hAnsi="FangSong_GB2312" w:eastAsia="FangSong_GB2312" w:cs="FangSong_GB2312"/>
          <w:sz w:val="32"/>
          <w:szCs w:val="32"/>
        </w:rPr>
        <w:t>院、县疾控中心相</w:t>
      </w:r>
      <w:r>
        <w:rPr>
          <w:rFonts w:hint="eastAsia" w:ascii="FangSong_GB2312" w:hAnsi="FangSong_GB2312" w:eastAsia="FangSong_GB2312" w:cs="FangSong_GB2312"/>
          <w:sz w:val="32"/>
          <w:szCs w:val="32"/>
          <w:lang w:eastAsia="zh-CN"/>
        </w:rPr>
        <w:t>继</w:t>
      </w:r>
      <w:r>
        <w:rPr>
          <w:rFonts w:hint="eastAsia" w:ascii="FangSong_GB2312" w:hAnsi="FangSong_GB2312" w:eastAsia="FangSong_GB2312" w:cs="FangSong_GB2312"/>
          <w:sz w:val="32"/>
          <w:szCs w:val="32"/>
        </w:rPr>
        <w:t>建成标准化核酸实验室</w:t>
      </w:r>
      <w:r>
        <w:rPr>
          <w:rFonts w:hint="eastAsia" w:ascii="FangSong_GB2312" w:hAnsi="FangSong_GB2312" w:eastAsia="FangSong_GB2312" w:cs="FangSong_GB2312"/>
          <w:sz w:val="32"/>
          <w:szCs w:val="32"/>
          <w:lang w:eastAsia="zh-CN"/>
        </w:rPr>
        <w:t>。严格</w:t>
      </w:r>
      <w:r>
        <w:rPr>
          <w:rFonts w:hint="eastAsia" w:ascii="FangSong_GB2312" w:hAnsi="FangSong_GB2312" w:eastAsia="FangSong_GB2312" w:cs="FangSong_GB2312"/>
          <w:sz w:val="32"/>
          <w:szCs w:val="32"/>
        </w:rPr>
        <w:t>落实进口冻品及冷链物流管控，稳妥有序组织疫苗接种，开展常态化应急演练，织紧织密联防联控防线，重大疫情防控和公共卫生应急管理能力全面提高</w:t>
      </w:r>
      <w:r>
        <w:rPr>
          <w:rFonts w:hint="eastAsia" w:ascii="FangSong_GB2312" w:hAnsi="FangSong_GB2312" w:eastAsia="FangSong_GB2312" w:cs="FangSong_GB2312"/>
          <w:sz w:val="32"/>
          <w:szCs w:val="32"/>
          <w:lang w:eastAsia="zh-CN"/>
        </w:rPr>
        <w:t>，</w:t>
      </w:r>
      <w:r>
        <w:rPr>
          <w:rFonts w:hint="eastAsia" w:ascii="FangSong_GB2312" w:hAnsi="FangSong_GB2312" w:eastAsia="FangSong_GB2312" w:cs="FangSong_GB2312"/>
          <w:sz w:val="32"/>
          <w:szCs w:val="32"/>
        </w:rPr>
        <w:t>为疫情防控和经济社会发展“双胜利”奠定了良好基础</w:t>
      </w:r>
      <w:r>
        <w:rPr>
          <w:rFonts w:hint="eastAsia" w:ascii="FangSong_GB2312" w:hAnsi="FangSong_GB2312" w:eastAsia="FangSong_GB2312" w:cs="FangSong_GB2312"/>
          <w:sz w:val="32"/>
          <w:szCs w:val="32"/>
          <w:lang w:eastAsia="zh-CN"/>
        </w:rPr>
        <w:t>，保障了</w:t>
      </w:r>
      <w:r>
        <w:rPr>
          <w:rFonts w:hint="eastAsia" w:ascii="FangSong_GB2312" w:hAnsi="FangSong_GB2312" w:eastAsia="FangSong_GB2312" w:cs="FangSong_GB2312"/>
          <w:color w:val="auto"/>
          <w:sz w:val="32"/>
          <w:szCs w:val="32"/>
          <w:highlight w:val="none"/>
        </w:rPr>
        <w:t>全</w:t>
      </w:r>
      <w:r>
        <w:rPr>
          <w:rFonts w:hint="eastAsia" w:ascii="FangSong_GB2312" w:hAnsi="FangSong_GB2312" w:eastAsia="FangSong_GB2312" w:cs="FangSong_GB2312"/>
          <w:color w:val="auto"/>
          <w:sz w:val="32"/>
          <w:szCs w:val="32"/>
          <w:highlight w:val="none"/>
          <w:lang w:eastAsia="zh-CN"/>
        </w:rPr>
        <w:t>县社会稳定和经济平稳发展。</w:t>
      </w:r>
    </w:p>
    <w:p>
      <w:pPr>
        <w:keepNext w:val="0"/>
        <w:keepLines w:val="0"/>
        <w:pageBreakBefore w:val="0"/>
        <w:kinsoku/>
        <w:wordWrap/>
        <w:overflowPunct/>
        <w:topLinePunct w:val="0"/>
        <w:autoSpaceDE/>
        <w:autoSpaceDN/>
        <w:bidi w:val="0"/>
        <w:snapToGrid/>
        <w:spacing w:line="610" w:lineRule="exact"/>
        <w:ind w:firstLine="640" w:firstLineChars="200"/>
        <w:jc w:val="left"/>
        <w:textAlignment w:val="auto"/>
        <w:rPr>
          <w:rFonts w:hint="eastAsia" w:ascii="SimHei" w:hAnsi="SimHei" w:eastAsia="SimHei" w:cs="SimHei"/>
          <w:b w:val="0"/>
          <w:bCs/>
          <w:sz w:val="32"/>
          <w:szCs w:val="32"/>
        </w:rPr>
      </w:pPr>
    </w:p>
    <w:p>
      <w:pPr>
        <w:keepNext w:val="0"/>
        <w:keepLines w:val="0"/>
        <w:pageBreakBefore w:val="0"/>
        <w:kinsoku/>
        <w:wordWrap/>
        <w:overflowPunct/>
        <w:topLinePunct w:val="0"/>
        <w:autoSpaceDE/>
        <w:autoSpaceDN/>
        <w:bidi w:val="0"/>
        <w:snapToGrid/>
        <w:spacing w:line="610" w:lineRule="exact"/>
        <w:ind w:firstLine="640" w:firstLineChars="200"/>
        <w:jc w:val="center"/>
        <w:textAlignment w:val="auto"/>
        <w:rPr>
          <w:rFonts w:hint="eastAsia" w:ascii="SimHei" w:hAnsi="SimHei" w:eastAsia="SimHei" w:cs="SimHei"/>
          <w:b w:val="0"/>
          <w:bCs/>
          <w:sz w:val="32"/>
          <w:szCs w:val="32"/>
        </w:rPr>
      </w:pPr>
      <w:r>
        <w:rPr>
          <w:rFonts w:hint="eastAsia" w:ascii="SimHei" w:hAnsi="SimHei" w:eastAsia="SimHei" w:cs="SimHei"/>
          <w:b w:val="0"/>
          <w:bCs/>
          <w:sz w:val="32"/>
          <w:szCs w:val="32"/>
        </w:rPr>
        <w:t>第二节 “十四五”时期面临的发展环境</w:t>
      </w:r>
    </w:p>
    <w:p>
      <w:pPr>
        <w:keepNext w:val="0"/>
        <w:keepLines w:val="0"/>
        <w:pageBreakBefore w:val="0"/>
        <w:kinsoku/>
        <w:wordWrap/>
        <w:overflowPunct/>
        <w:topLinePunct w:val="0"/>
        <w:autoSpaceDE/>
        <w:autoSpaceDN/>
        <w:bidi w:val="0"/>
        <w:snapToGrid/>
        <w:spacing w:line="610" w:lineRule="exact"/>
        <w:ind w:firstLine="640" w:firstLineChars="200"/>
        <w:jc w:val="left"/>
        <w:textAlignment w:val="auto"/>
        <w:rPr>
          <w:rFonts w:hint="eastAsia" w:ascii="SimHei" w:hAnsi="SimHei" w:eastAsia="SimHei" w:cs="SimHei"/>
          <w:b w:val="0"/>
          <w:bCs/>
          <w:sz w:val="32"/>
          <w:szCs w:val="32"/>
        </w:rPr>
      </w:pP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KaiTi_GB2312" w:hAnsi="KaiTi_GB2312" w:eastAsia="KaiTi_GB2312" w:cs="KaiTi_GB2312"/>
          <w:b w:val="0"/>
          <w:bCs/>
          <w:sz w:val="32"/>
          <w:szCs w:val="32"/>
        </w:rPr>
      </w:pPr>
      <w:r>
        <w:rPr>
          <w:rFonts w:hint="eastAsia" w:ascii="KaiTi_GB2312" w:hAnsi="KaiTi_GB2312" w:eastAsia="KaiTi_GB2312" w:cs="KaiTi_GB2312"/>
          <w:b w:val="0"/>
          <w:bCs/>
          <w:sz w:val="32"/>
          <w:szCs w:val="32"/>
        </w:rPr>
        <w:t>一、存在的问题</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b/>
          <w:sz w:val="32"/>
          <w:szCs w:val="32"/>
        </w:rPr>
      </w:pPr>
      <w:r>
        <w:rPr>
          <w:rFonts w:hint="eastAsia" w:ascii="FangSong_GB2312" w:hAnsi="FangSong_GB2312" w:eastAsia="FangSong_GB2312" w:cs="FangSong_GB2312"/>
          <w:b/>
          <w:bCs/>
          <w:sz w:val="32"/>
          <w:szCs w:val="32"/>
        </w:rPr>
        <w:t>（一）群众健康意识淡薄。</w:t>
      </w:r>
      <w:r>
        <w:rPr>
          <w:rFonts w:hint="eastAsia" w:ascii="FangSong_GB2312" w:hAnsi="FangSong_GB2312" w:eastAsia="FangSong_GB2312" w:cs="FangSong_GB2312"/>
          <w:bCs/>
          <w:sz w:val="32"/>
          <w:szCs w:val="32"/>
        </w:rPr>
        <w:t>受“一步跨千年”的深刻影响，我县年人均就诊 1.44 次，远低于全国4.2次的平均水平，急需加强对群众的健康宣传教育和引导。</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（二）公共卫生防控能力有待提高。</w:t>
      </w:r>
      <w:r>
        <w:rPr>
          <w:rFonts w:hint="eastAsia" w:ascii="FangSong_GB2312" w:hAnsi="FangSong_GB2312" w:eastAsia="FangSong_GB2312" w:cs="FangSong_GB2312"/>
          <w:sz w:val="32"/>
          <w:szCs w:val="32"/>
        </w:rPr>
        <w:t>县级医疗机构应急救治设施不够完善，县级医院没有独立的发热门诊和专业的传染病病区，乡镇卫生院不具备规范的三区两通道，处置重大公共卫生突发事件的能力不足。</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（三）医疗服务能力有待提升。</w:t>
      </w:r>
      <w:r>
        <w:rPr>
          <w:rFonts w:hint="eastAsia" w:ascii="FangSong_GB2312" w:hAnsi="FangSong_GB2312" w:eastAsia="FangSong_GB2312" w:cs="FangSong_GB2312"/>
          <w:sz w:val="32"/>
          <w:szCs w:val="32"/>
        </w:rPr>
        <w:t>城乡医疗发展不均衡，卫生资源配置不合理，设备短缺、信息化程度低。现有的医疗技术人员配置不合理，科室建设不健全；医疗服务环境有待改善。</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（四）卫生人才队伍量质不高。</w:t>
      </w:r>
      <w:r>
        <w:rPr>
          <w:rFonts w:hint="eastAsia" w:ascii="FangSong_GB2312" w:hAnsi="FangSong_GB2312" w:eastAsia="FangSong_GB2312" w:cs="FangSong_GB2312"/>
          <w:sz w:val="32"/>
          <w:szCs w:val="32"/>
        </w:rPr>
        <w:t>受</w:t>
      </w:r>
      <w:r>
        <w:rPr>
          <w:rFonts w:hint="eastAsia" w:ascii="FangSong_GB2312" w:hAnsi="FangSong_GB2312" w:eastAsia="FangSong_GB2312" w:cs="FangSong_GB2312"/>
          <w:sz w:val="32"/>
          <w:szCs w:val="32"/>
          <w:lang w:eastAsia="zh-CN"/>
        </w:rPr>
        <w:t>地理环境、经济发展</w:t>
      </w:r>
      <w:r>
        <w:rPr>
          <w:rFonts w:hint="eastAsia" w:ascii="FangSong_GB2312" w:hAnsi="FangSong_GB2312" w:eastAsia="FangSong_GB2312" w:cs="FangSong_GB2312"/>
          <w:sz w:val="32"/>
          <w:szCs w:val="32"/>
        </w:rPr>
        <w:t>等各方面因素影响，人才引进难、留住难、全县每千人口执业医师（含执业助理医师）和护士，远低于全省2.14和1.94的平均水平</w:t>
      </w:r>
      <w:r>
        <w:rPr>
          <w:rFonts w:hint="eastAsia" w:ascii="FangSong_GB2312" w:hAnsi="FangSong_GB2312" w:eastAsia="SimSun" w:cs="FangSong_GB2312"/>
          <w:sz w:val="32"/>
          <w:szCs w:val="32"/>
          <w:lang w:eastAsia="zh-CN"/>
        </w:rPr>
        <w:t>；</w:t>
      </w:r>
      <w:r>
        <w:rPr>
          <w:rFonts w:hint="eastAsia" w:ascii="FangSong_GB2312" w:hAnsi="FangSong_GB2312" w:eastAsia="FangSong_GB2312" w:cs="FangSong_GB2312"/>
          <w:sz w:val="32"/>
          <w:szCs w:val="32"/>
        </w:rPr>
        <w:t>人才极为短缺，加之激励机制不健全，一线医生主动提升、继续教育意识不强，专科学科带头人匮乏，医疗服务能力薄弱。</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二、形势与要求</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（一）形势。</w:t>
      </w:r>
      <w:r>
        <w:rPr>
          <w:rFonts w:hint="eastAsia" w:ascii="FangSong_GB2312" w:hAnsi="FangSong_GB2312" w:eastAsia="FangSong_GB2312" w:cs="FangSong_GB2312"/>
          <w:sz w:val="32"/>
          <w:szCs w:val="32"/>
        </w:rPr>
        <w:t>当前及今后较长时期</w:t>
      </w:r>
      <w:r>
        <w:rPr>
          <w:rFonts w:hint="eastAsia" w:ascii="FangSong_GB2312" w:hAnsi="FangSong_GB2312" w:eastAsia="SimSun" w:cs="FangSong_GB2312"/>
          <w:sz w:val="32"/>
          <w:szCs w:val="32"/>
          <w:lang w:eastAsia="zh-CN"/>
        </w:rPr>
        <w:t>，在</w:t>
      </w:r>
      <w:r>
        <w:rPr>
          <w:rFonts w:hint="eastAsia" w:ascii="FangSong_GB2312" w:hAnsi="FangSong_GB2312" w:eastAsia="FangSong_GB2312" w:cs="FangSong_GB2312"/>
          <w:sz w:val="32"/>
          <w:szCs w:val="32"/>
        </w:rPr>
        <w:t>我国全面深化改革，加快转变经济发展方式、深入实施西部大开发战略、大力支持民族地区跨越发展和</w:t>
      </w:r>
      <w:r>
        <w:rPr>
          <w:rFonts w:hint="eastAsia" w:ascii="FangSong_GB2312" w:hAnsi="FangSong_GB2312" w:eastAsia="FangSong_GB2312" w:cs="FangSong_GB2312"/>
          <w:sz w:val="32"/>
          <w:szCs w:val="32"/>
          <w:lang w:eastAsia="zh-CN"/>
        </w:rPr>
        <w:t>脱贫</w:t>
      </w:r>
      <w:r>
        <w:rPr>
          <w:rFonts w:hint="eastAsia" w:ascii="FangSong_GB2312" w:hAnsi="FangSong_GB2312" w:eastAsia="FangSong_GB2312" w:cs="FangSong_GB2312"/>
          <w:sz w:val="32"/>
          <w:szCs w:val="32"/>
        </w:rPr>
        <w:t>地区加快发展</w:t>
      </w:r>
      <w:r>
        <w:rPr>
          <w:rFonts w:hint="eastAsia" w:ascii="FangSong_GB2312" w:hAnsi="FangSong_GB2312" w:eastAsia="SimSun" w:cs="FangSong_GB2312"/>
          <w:sz w:val="32"/>
          <w:szCs w:val="32"/>
          <w:lang w:eastAsia="zh-CN"/>
        </w:rPr>
        <w:t>，以及</w:t>
      </w:r>
      <w:r>
        <w:rPr>
          <w:rFonts w:hint="eastAsia" w:ascii="FangSong_GB2312" w:hAnsi="FangSong_GB2312" w:eastAsia="FangSong_GB2312" w:cs="FangSong_GB2312"/>
          <w:sz w:val="32"/>
          <w:szCs w:val="32"/>
        </w:rPr>
        <w:t>我县高速、高铁</w:t>
      </w:r>
      <w:r>
        <w:rPr>
          <w:rFonts w:hint="eastAsia" w:ascii="FangSong_GB2312" w:hAnsi="FangSong_GB2312" w:eastAsia="SimSun" w:cs="FangSong_GB2312"/>
          <w:sz w:val="32"/>
          <w:szCs w:val="32"/>
          <w:lang w:eastAsia="zh-CN"/>
        </w:rPr>
        <w:t>即将</w:t>
      </w:r>
      <w:r>
        <w:rPr>
          <w:rFonts w:hint="eastAsia" w:ascii="FangSong_GB2312" w:hAnsi="FangSong_GB2312" w:eastAsia="FangSong_GB2312" w:cs="FangSong_GB2312"/>
          <w:sz w:val="32"/>
          <w:szCs w:val="32"/>
        </w:rPr>
        <w:t>贯通等重大利好政策和环境下，我县迎来进一步加快发展的极为难得的战略机遇。第二轮民族地区卫生发展十年行动计划和新一轮深化医药卫生体制改革的不断推进，为我县卫生事业健康发展提供了政策保障</w:t>
      </w:r>
      <w:r>
        <w:rPr>
          <w:rFonts w:hint="eastAsia" w:ascii="FangSong_GB2312" w:hAnsi="FangSong_GB2312" w:eastAsia="SimSun" w:cs="FangSong_GB2312"/>
          <w:sz w:val="32"/>
          <w:szCs w:val="32"/>
          <w:lang w:eastAsia="zh-CN"/>
        </w:rPr>
        <w:t>；</w:t>
      </w:r>
      <w:r>
        <w:rPr>
          <w:rFonts w:hint="eastAsia" w:ascii="FangSong_GB2312" w:hAnsi="FangSong_GB2312" w:eastAsia="FangSong_GB2312" w:cs="FangSong_GB2312"/>
          <w:sz w:val="32"/>
          <w:szCs w:val="32"/>
        </w:rPr>
        <w:t>健康服务业的快速发展，为卫生健康服务提供了广阔的发展空间。信息化技术的发展必将推动医疗卫生服务和管理模式的深刻转变。</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（二）要求。</w:t>
      </w:r>
      <w:r>
        <w:rPr>
          <w:rFonts w:hint="eastAsia" w:ascii="FangSong_GB2312" w:hAnsi="FangSong_GB2312" w:eastAsia="FangSong_GB2312" w:cs="FangSong_GB2312"/>
          <w:sz w:val="32"/>
          <w:szCs w:val="32"/>
        </w:rPr>
        <w:t>随着人民对美好生活的向往，居民潜在医疗健康需求将进一步释放；</w:t>
      </w:r>
      <w:r>
        <w:rPr>
          <w:rFonts w:hint="eastAsia" w:ascii="FangSong_GB2312" w:hAnsi="FangSong_GB2312" w:eastAsia="FangSong_GB2312" w:cs="FangSong_GB2312"/>
          <w:sz w:val="32"/>
          <w:szCs w:val="32"/>
          <w:lang w:eastAsia="zh-CN"/>
        </w:rPr>
        <w:t>优化生育政策，改善人口结构，</w:t>
      </w:r>
      <w:r>
        <w:rPr>
          <w:rFonts w:hint="eastAsia" w:ascii="FangSong_GB2312" w:hAnsi="FangSong_GB2312" w:eastAsia="FangSong_GB2312" w:cs="FangSong_GB2312"/>
          <w:sz w:val="32"/>
          <w:szCs w:val="32"/>
        </w:rPr>
        <w:t>加之全面两孩</w:t>
      </w:r>
      <w:r>
        <w:rPr>
          <w:rFonts w:hint="eastAsia" w:ascii="FangSong_GB2312" w:hAnsi="FangSong_GB2312" w:eastAsia="FangSong_GB2312" w:cs="FangSong_GB2312"/>
          <w:sz w:val="32"/>
          <w:szCs w:val="32"/>
          <w:lang w:eastAsia="zh-CN"/>
        </w:rPr>
        <w:t>、三孩</w:t>
      </w:r>
      <w:r>
        <w:rPr>
          <w:rFonts w:hint="eastAsia" w:ascii="FangSong_GB2312" w:hAnsi="FangSong_GB2312" w:eastAsia="FangSong_GB2312" w:cs="FangSong_GB2312"/>
          <w:sz w:val="32"/>
          <w:szCs w:val="32"/>
        </w:rPr>
        <w:t>政策的实施，人口总量呈持续上升趋势，人口老龄化日趋明显，全县卫生服务需求将明显增加；国家对突发公共卫生事件应急处置能力的要求不断提高，对医疗卫生资源的数量、质量和配置提出更高要求。</w:t>
      </w:r>
    </w:p>
    <w:p>
      <w:pPr>
        <w:keepNext w:val="0"/>
        <w:keepLines w:val="0"/>
        <w:pageBreakBefore w:val="0"/>
        <w:kinsoku/>
        <w:wordWrap/>
        <w:overflowPunct/>
        <w:topLinePunct w:val="0"/>
        <w:autoSpaceDE/>
        <w:autoSpaceDN/>
        <w:bidi w:val="0"/>
        <w:snapToGrid/>
        <w:spacing w:line="610" w:lineRule="exact"/>
        <w:ind w:firstLine="643" w:firstLineChars="200"/>
        <w:textAlignment w:val="auto"/>
        <w:rPr>
          <w:rFonts w:ascii="SimHei" w:hAnsi="SimHei" w:eastAsia="SimHei" w:cs="SimHei"/>
          <w:b/>
          <w:sz w:val="32"/>
          <w:szCs w:val="32"/>
        </w:rPr>
      </w:pPr>
    </w:p>
    <w:p>
      <w:pPr>
        <w:keepNext w:val="0"/>
        <w:keepLines w:val="0"/>
        <w:pageBreakBefore w:val="0"/>
        <w:kinsoku/>
        <w:wordWrap/>
        <w:overflowPunct/>
        <w:topLinePunct w:val="0"/>
        <w:autoSpaceDE/>
        <w:autoSpaceDN/>
        <w:bidi w:val="0"/>
        <w:snapToGrid/>
        <w:spacing w:line="610" w:lineRule="exact"/>
        <w:jc w:val="center"/>
        <w:textAlignment w:val="auto"/>
        <w:rPr>
          <w:rFonts w:ascii="KaiTi" w:hAnsi="KaiTi" w:eastAsia="KaiTi" w:cs="KaiTi_GB2312"/>
          <w:b w:val="0"/>
          <w:bCs/>
          <w:sz w:val="32"/>
          <w:szCs w:val="32"/>
        </w:rPr>
      </w:pPr>
      <w:r>
        <w:rPr>
          <w:rFonts w:hint="eastAsia" w:ascii="SimHei" w:hAnsi="SimHei" w:eastAsia="SimHei" w:cs="SimHei"/>
          <w:b w:val="0"/>
          <w:bCs/>
          <w:sz w:val="32"/>
          <w:szCs w:val="32"/>
        </w:rPr>
        <w:t>第二章  总体要求</w:t>
      </w:r>
    </w:p>
    <w:p>
      <w:pPr>
        <w:keepNext w:val="0"/>
        <w:keepLines w:val="0"/>
        <w:pageBreakBefore w:val="0"/>
        <w:kinsoku/>
        <w:wordWrap/>
        <w:overflowPunct/>
        <w:topLinePunct w:val="0"/>
        <w:autoSpaceDE/>
        <w:autoSpaceDN/>
        <w:bidi w:val="0"/>
        <w:snapToGrid/>
        <w:spacing w:line="610" w:lineRule="exact"/>
        <w:ind w:firstLine="643" w:firstLineChars="200"/>
        <w:textAlignment w:val="auto"/>
        <w:rPr>
          <w:rFonts w:ascii="KaiTi" w:hAnsi="KaiTi" w:eastAsia="KaiTi" w:cs="KaiTi_GB2312"/>
          <w:b/>
          <w:sz w:val="32"/>
          <w:szCs w:val="32"/>
        </w:rPr>
      </w:pPr>
    </w:p>
    <w:p>
      <w:pPr>
        <w:keepNext w:val="0"/>
        <w:keepLines w:val="0"/>
        <w:pageBreakBefore w:val="0"/>
        <w:kinsoku/>
        <w:wordWrap/>
        <w:overflowPunct/>
        <w:topLinePunct w:val="0"/>
        <w:autoSpaceDE/>
        <w:autoSpaceDN/>
        <w:bidi w:val="0"/>
        <w:snapToGrid/>
        <w:spacing w:line="610" w:lineRule="exact"/>
        <w:ind w:firstLine="640" w:firstLineChars="200"/>
        <w:jc w:val="center"/>
        <w:textAlignment w:val="auto"/>
        <w:rPr>
          <w:rFonts w:hint="eastAsia" w:ascii="SimHei" w:hAnsi="SimHei" w:eastAsia="SimHei" w:cs="SimHei"/>
          <w:b w:val="0"/>
          <w:bCs/>
          <w:sz w:val="32"/>
          <w:szCs w:val="32"/>
        </w:rPr>
      </w:pPr>
      <w:r>
        <w:rPr>
          <w:rFonts w:hint="eastAsia" w:ascii="SimHei" w:hAnsi="SimHei" w:eastAsia="SimHei" w:cs="SimHei"/>
          <w:b w:val="0"/>
          <w:bCs/>
          <w:sz w:val="32"/>
          <w:szCs w:val="32"/>
        </w:rPr>
        <w:t>第一节  指导思想</w:t>
      </w:r>
    </w:p>
    <w:p>
      <w:pPr>
        <w:keepNext w:val="0"/>
        <w:keepLines w:val="0"/>
        <w:pageBreakBefore w:val="0"/>
        <w:kinsoku/>
        <w:wordWrap/>
        <w:overflowPunct/>
        <w:topLinePunct w:val="0"/>
        <w:autoSpaceDE/>
        <w:autoSpaceDN/>
        <w:bidi w:val="0"/>
        <w:snapToGrid/>
        <w:spacing w:line="610" w:lineRule="exact"/>
        <w:ind w:firstLine="640" w:firstLineChars="200"/>
        <w:jc w:val="center"/>
        <w:textAlignment w:val="auto"/>
        <w:rPr>
          <w:rFonts w:hint="eastAsia" w:ascii="SimHei" w:hAnsi="SimHei" w:eastAsia="SimHei" w:cs="SimHei"/>
          <w:b w:val="0"/>
          <w:bCs/>
          <w:sz w:val="32"/>
          <w:szCs w:val="32"/>
        </w:rPr>
      </w:pPr>
    </w:p>
    <w:p>
      <w:pPr>
        <w:keepNext w:val="0"/>
        <w:keepLines w:val="0"/>
        <w:pageBreakBefore w:val="0"/>
        <w:kinsoku/>
        <w:wordWrap/>
        <w:overflowPunct/>
        <w:topLinePunct w:val="0"/>
        <w:autoSpaceDE/>
        <w:autoSpaceDN/>
        <w:bidi w:val="0"/>
        <w:snapToGrid/>
        <w:spacing w:line="610" w:lineRule="exact"/>
        <w:ind w:firstLine="640" w:firstLineChars="200"/>
        <w:jc w:val="left"/>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坚持以习近平新时代中国特色社会主义思想为指导，贯彻“以人民为中心”的思想，以健康峨边“2030”为纲领，以能力和作风建设为重要抓手，深入贯彻深化医药卫生体制改革的决策部署，坚持发展、改革和管理相结合，推动健康峨边建设迈出坚定步伐。</w:t>
      </w:r>
    </w:p>
    <w:p>
      <w:pPr>
        <w:keepNext w:val="0"/>
        <w:keepLines w:val="0"/>
        <w:pageBreakBefore w:val="0"/>
        <w:kinsoku/>
        <w:wordWrap/>
        <w:overflowPunct/>
        <w:topLinePunct w:val="0"/>
        <w:autoSpaceDE/>
        <w:autoSpaceDN/>
        <w:bidi w:val="0"/>
        <w:snapToGrid/>
        <w:spacing w:line="610" w:lineRule="exact"/>
        <w:ind w:firstLine="640" w:firstLineChars="200"/>
        <w:jc w:val="left"/>
        <w:textAlignment w:val="auto"/>
        <w:rPr>
          <w:rFonts w:hint="eastAsia" w:ascii="FangSong_GB2312" w:hAnsi="FangSong_GB2312" w:eastAsia="FangSong_GB2312" w:cs="FangSong_GB2312"/>
          <w:sz w:val="32"/>
          <w:szCs w:val="32"/>
        </w:rPr>
      </w:pPr>
    </w:p>
    <w:p>
      <w:pPr>
        <w:keepNext w:val="0"/>
        <w:keepLines w:val="0"/>
        <w:pageBreakBefore w:val="0"/>
        <w:kinsoku/>
        <w:wordWrap/>
        <w:overflowPunct/>
        <w:topLinePunct w:val="0"/>
        <w:autoSpaceDE/>
        <w:autoSpaceDN/>
        <w:bidi w:val="0"/>
        <w:snapToGrid/>
        <w:spacing w:line="610" w:lineRule="exact"/>
        <w:ind w:firstLine="640" w:firstLineChars="200"/>
        <w:jc w:val="center"/>
        <w:textAlignment w:val="auto"/>
        <w:rPr>
          <w:rFonts w:hint="eastAsia" w:ascii="SimHei" w:hAnsi="SimHei" w:eastAsia="SimHei" w:cs="SimHei"/>
          <w:b w:val="0"/>
          <w:bCs/>
          <w:sz w:val="32"/>
          <w:szCs w:val="32"/>
        </w:rPr>
      </w:pPr>
      <w:r>
        <w:rPr>
          <w:rFonts w:hint="eastAsia" w:ascii="SimHei" w:hAnsi="SimHei" w:eastAsia="SimHei" w:cs="SimHei"/>
          <w:b w:val="0"/>
          <w:bCs/>
          <w:sz w:val="32"/>
          <w:szCs w:val="32"/>
        </w:rPr>
        <w:t>第二节  规划原则</w:t>
      </w:r>
    </w:p>
    <w:p>
      <w:pPr>
        <w:keepNext w:val="0"/>
        <w:keepLines w:val="0"/>
        <w:pageBreakBefore w:val="0"/>
        <w:kinsoku/>
        <w:wordWrap/>
        <w:overflowPunct/>
        <w:topLinePunct w:val="0"/>
        <w:autoSpaceDE/>
        <w:autoSpaceDN/>
        <w:bidi w:val="0"/>
        <w:snapToGrid/>
        <w:spacing w:line="610" w:lineRule="exact"/>
        <w:ind w:firstLine="640" w:firstLineChars="200"/>
        <w:jc w:val="center"/>
        <w:textAlignment w:val="auto"/>
        <w:rPr>
          <w:rFonts w:hint="eastAsia" w:ascii="SimHei" w:hAnsi="SimHei" w:eastAsia="SimHei" w:cs="SimHei"/>
          <w:b w:val="0"/>
          <w:bCs/>
          <w:sz w:val="32"/>
          <w:szCs w:val="32"/>
        </w:rPr>
      </w:pP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ascii="FangSong_GB2312" w:eastAsia="FangSong_GB2312"/>
          <w:sz w:val="32"/>
          <w:szCs w:val="32"/>
        </w:rPr>
      </w:pPr>
      <w:r>
        <w:rPr>
          <w:rFonts w:hint="eastAsia" w:ascii="FangSong_GB2312" w:eastAsia="FangSong_GB2312"/>
          <w:sz w:val="32"/>
          <w:szCs w:val="32"/>
        </w:rPr>
        <w:t>坚持“以基层为重点，以改革创新为动力</w:t>
      </w:r>
      <w:r>
        <w:rPr>
          <w:rFonts w:hint="eastAsia" w:ascii="FangSong_GB2312" w:eastAsia="SimSun"/>
          <w:sz w:val="32"/>
          <w:szCs w:val="32"/>
          <w:lang w:eastAsia="zh-CN"/>
        </w:rPr>
        <w:t>，以</w:t>
      </w:r>
      <w:r>
        <w:rPr>
          <w:rFonts w:hint="eastAsia" w:ascii="FangSong_GB2312" w:eastAsia="FangSong_GB2312"/>
          <w:sz w:val="32"/>
          <w:szCs w:val="32"/>
        </w:rPr>
        <w:t>预防为主，中西医并重，将健康融入各项政策</w:t>
      </w:r>
      <w:r>
        <w:rPr>
          <w:rFonts w:hint="eastAsia" w:ascii="FangSong_GB2312" w:eastAsia="SimSun"/>
          <w:sz w:val="32"/>
          <w:szCs w:val="32"/>
          <w:lang w:eastAsia="zh-CN"/>
        </w:rPr>
        <w:t>，与</w:t>
      </w:r>
      <w:r>
        <w:rPr>
          <w:rFonts w:hint="eastAsia" w:ascii="FangSong_GB2312" w:eastAsia="FangSong_GB2312"/>
          <w:sz w:val="32"/>
          <w:szCs w:val="32"/>
        </w:rPr>
        <w:t>人民共建共享”的卫生与健康工作方针，通过倡导健康观念、普及健康生活、优化健康服务、完善健康保障、建设健康环境、发展健康产业，全方位、全生命周期维护和保障人民健康，大幅提高人民健康水平。</w:t>
      </w:r>
    </w:p>
    <w:p>
      <w:pPr>
        <w:keepNext w:val="0"/>
        <w:keepLines w:val="0"/>
        <w:pageBreakBefore w:val="0"/>
        <w:kinsoku/>
        <w:wordWrap/>
        <w:overflowPunct/>
        <w:topLinePunct w:val="0"/>
        <w:autoSpaceDE/>
        <w:autoSpaceDN/>
        <w:bidi w:val="0"/>
        <w:snapToGrid/>
        <w:spacing w:line="610" w:lineRule="exact"/>
        <w:textAlignment w:val="auto"/>
        <w:rPr>
          <w:rFonts w:ascii="FangSong_GB2312" w:eastAsia="FangSong_GB2312"/>
          <w:sz w:val="32"/>
          <w:szCs w:val="32"/>
        </w:rPr>
      </w:pPr>
      <w:r>
        <w:rPr>
          <w:rFonts w:hint="eastAsia" w:ascii="FangSong_GB2312" w:eastAsia="FangSong_GB2312"/>
          <w:sz w:val="32"/>
          <w:szCs w:val="32"/>
        </w:rPr>
        <w:t xml:space="preserve">    主要坚持以下原则：</w:t>
      </w:r>
    </w:p>
    <w:p>
      <w:pPr>
        <w:keepNext w:val="0"/>
        <w:keepLines w:val="0"/>
        <w:pageBreakBefore w:val="0"/>
        <w:kinsoku/>
        <w:wordWrap/>
        <w:overflowPunct/>
        <w:topLinePunct w:val="0"/>
        <w:autoSpaceDE/>
        <w:autoSpaceDN/>
        <w:bidi w:val="0"/>
        <w:snapToGrid/>
        <w:spacing w:line="610" w:lineRule="exact"/>
        <w:textAlignment w:val="auto"/>
        <w:rPr>
          <w:rFonts w:ascii="FangSong_GB2312" w:eastAsia="FangSong_GB2312"/>
          <w:sz w:val="32"/>
          <w:szCs w:val="32"/>
        </w:rPr>
      </w:pPr>
      <w:r>
        <w:rPr>
          <w:rFonts w:hint="eastAsia" w:ascii="FangSong_GB2312" w:eastAsia="FangSong_GB2312"/>
          <w:sz w:val="32"/>
          <w:szCs w:val="32"/>
        </w:rPr>
        <w:t xml:space="preserve">    ——健康优先。把健康摆在优先发展的战略地位，将健康融入经济社会全局，立足县情，形成有利于健康的生活方式和经济社会发展模式，实现健康与经济社会协调发展。</w:t>
      </w:r>
    </w:p>
    <w:p>
      <w:pPr>
        <w:keepNext w:val="0"/>
        <w:keepLines w:val="0"/>
        <w:pageBreakBefore w:val="0"/>
        <w:kinsoku/>
        <w:wordWrap/>
        <w:overflowPunct/>
        <w:topLinePunct w:val="0"/>
        <w:autoSpaceDE/>
        <w:autoSpaceDN/>
        <w:bidi w:val="0"/>
        <w:snapToGrid/>
        <w:spacing w:line="610" w:lineRule="exact"/>
        <w:textAlignment w:val="auto"/>
        <w:rPr>
          <w:rFonts w:ascii="FangSong_GB2312" w:eastAsia="FangSong_GB2312"/>
          <w:sz w:val="32"/>
          <w:szCs w:val="32"/>
        </w:rPr>
      </w:pPr>
      <w:r>
        <w:rPr>
          <w:rFonts w:hint="eastAsia" w:ascii="FangSong_GB2312" w:eastAsia="FangSong_GB2312"/>
          <w:sz w:val="32"/>
          <w:szCs w:val="32"/>
        </w:rPr>
        <w:t xml:space="preserve">    ——公平公正。把握医疗卫生公平性、可及性规律，坚持基本医疗卫生事业的公益性，推动健康领域基本公共服务均等化，逐步缩小城乡、人群间基本健康服务差异，实现全民健康覆盖，促进社会公平。</w:t>
      </w: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FangSong_GB2312" w:eastAsia="FangSong_GB2312"/>
          <w:sz w:val="32"/>
          <w:szCs w:val="32"/>
        </w:rPr>
      </w:pPr>
      <w:r>
        <w:rPr>
          <w:rFonts w:hint="eastAsia" w:ascii="FangSong_GB2312" w:eastAsia="FangSong_GB2312"/>
          <w:sz w:val="32"/>
          <w:szCs w:val="32"/>
        </w:rPr>
        <w:t>——共建共享。发挥政府的组织和引导作用，部门密切配合，全社会积极参与，强化个人健康意识，引导人人加强自我健康管理，有效控制影响健康的危险因素，形成维护和促进健康的强大合力。</w:t>
      </w: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FangSong_GB2312" w:eastAsia="FangSong_GB2312"/>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jc w:val="center"/>
        <w:textAlignment w:val="auto"/>
        <w:rPr>
          <w:rFonts w:hint="eastAsia" w:ascii="SimHei" w:hAnsi="SimHei" w:eastAsia="SimHei" w:cs="SimHei"/>
          <w:b w:val="0"/>
          <w:bCs/>
          <w:sz w:val="32"/>
          <w:szCs w:val="32"/>
        </w:rPr>
      </w:pPr>
      <w:r>
        <w:rPr>
          <w:rFonts w:hint="eastAsia" w:ascii="SimHei" w:hAnsi="SimHei" w:eastAsia="SimHei" w:cs="SimHei"/>
          <w:b w:val="0"/>
          <w:bCs/>
          <w:sz w:val="32"/>
          <w:szCs w:val="32"/>
        </w:rPr>
        <w:t>第三节  规划目标</w:t>
      </w: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SimHei" w:hAnsi="SimHei" w:eastAsia="SimHei" w:cs="SimHei"/>
          <w:b w:val="0"/>
          <w:bCs/>
          <w:sz w:val="32"/>
          <w:szCs w:val="32"/>
        </w:rPr>
      </w:pPr>
    </w:p>
    <w:p>
      <w:pPr>
        <w:keepNext w:val="0"/>
        <w:keepLines w:val="0"/>
        <w:pageBreakBefore w:val="0"/>
        <w:kinsoku/>
        <w:wordWrap/>
        <w:overflowPunct/>
        <w:topLinePunct w:val="0"/>
        <w:autoSpaceDE/>
        <w:autoSpaceDN/>
        <w:bidi w:val="0"/>
        <w:snapToGrid/>
        <w:spacing w:line="610" w:lineRule="exact"/>
        <w:ind w:firstLine="643"/>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一、总体目标</w:t>
      </w:r>
    </w:p>
    <w:p>
      <w:pPr>
        <w:pStyle w:val="8"/>
        <w:keepNext w:val="0"/>
        <w:keepLines w:val="0"/>
        <w:pageBreakBefore w:val="0"/>
        <w:tabs>
          <w:tab w:val="right" w:leader="dot" w:pos="8970"/>
        </w:tabs>
        <w:kinsoku/>
        <w:wordWrap/>
        <w:overflowPunct/>
        <w:topLinePunct w:val="0"/>
        <w:autoSpaceDE/>
        <w:autoSpaceDN/>
        <w:bidi w:val="0"/>
        <w:adjustRightInd w:val="0"/>
        <w:snapToGrid/>
        <w:spacing w:line="610" w:lineRule="exact"/>
        <w:ind w:left="0" w:leftChars="0" w:firstLine="640" w:firstLineChars="200"/>
        <w:textAlignment w:val="auto"/>
        <w:rPr>
          <w:rFonts w:hint="eastAsia" w:ascii="FangSong_GB2312" w:hAnsi="FangSong_GB2312" w:eastAsia="FangSong_GB2312" w:cs="FangSong_GB2312"/>
          <w:kern w:val="0"/>
          <w:sz w:val="32"/>
          <w:szCs w:val="32"/>
        </w:rPr>
      </w:pPr>
      <w:r>
        <w:rPr>
          <w:rFonts w:hint="eastAsia" w:ascii="FangSong_GB2312" w:hAnsi="FangSong_GB2312" w:eastAsia="FangSong_GB2312" w:cs="FangSong_GB2312"/>
          <w:kern w:val="0"/>
          <w:sz w:val="32"/>
          <w:szCs w:val="32"/>
        </w:rPr>
        <w:t>按照“1134” 卫生健康发展思路，以建设“健康峨边”为主题、创建国家卫生县为依托，持续完善</w:t>
      </w:r>
      <w:r>
        <w:rPr>
          <w:rFonts w:hint="eastAsia" w:ascii="FangSong_GB2312" w:hAnsi="FangSong_GB2312" w:eastAsia="FangSong_GB2312" w:cs="FangSong_GB2312"/>
          <w:sz w:val="32"/>
          <w:szCs w:val="32"/>
        </w:rPr>
        <w:t>公共卫生预防控制、诊疗服务、中医健康服务</w:t>
      </w:r>
      <w:r>
        <w:rPr>
          <w:rFonts w:hint="eastAsia" w:ascii="FangSong_GB2312" w:hAnsi="FangSong_GB2312" w:eastAsia="FangSong_GB2312" w:cs="FangSong_GB2312"/>
          <w:kern w:val="0"/>
          <w:sz w:val="32"/>
          <w:szCs w:val="32"/>
        </w:rPr>
        <w:t>三个体系，实施</w:t>
      </w:r>
      <w:r>
        <w:rPr>
          <w:rFonts w:hint="eastAsia" w:ascii="FangSong_GB2312" w:hAnsi="FangSong_GB2312" w:eastAsia="FangSong_GB2312" w:cs="FangSong_GB2312"/>
          <w:sz w:val="32"/>
          <w:szCs w:val="32"/>
        </w:rPr>
        <w:t>疾病预防控制补短、医疗救治能力提升、健康保障兜底、人才队伍培养</w:t>
      </w:r>
      <w:r>
        <w:rPr>
          <w:rFonts w:hint="eastAsia" w:ascii="FangSong_GB2312" w:hAnsi="FangSong_GB2312" w:eastAsia="FangSong_GB2312" w:cs="FangSong_GB2312"/>
          <w:kern w:val="0"/>
          <w:sz w:val="32"/>
          <w:szCs w:val="32"/>
        </w:rPr>
        <w:t>四大工程，力争一年取得新进展、三年迈上新台阶、五年构建新格局，全面提升峨边</w:t>
      </w:r>
      <w:r>
        <w:rPr>
          <w:rFonts w:hint="eastAsia" w:ascii="FangSong_GB2312" w:hAnsi="FangSong_GB2312" w:eastAsia="FangSong_GB2312" w:cs="FangSong_GB2312"/>
          <w:kern w:val="0"/>
          <w:sz w:val="32"/>
          <w:szCs w:val="32"/>
          <w:lang w:eastAsia="zh-CN"/>
        </w:rPr>
        <w:t>卫生健康</w:t>
      </w:r>
      <w:r>
        <w:rPr>
          <w:rFonts w:hint="eastAsia" w:ascii="FangSong_GB2312" w:hAnsi="FangSong_GB2312" w:eastAsia="FangSong_GB2312" w:cs="FangSong_GB2312"/>
          <w:kern w:val="0"/>
          <w:sz w:val="32"/>
          <w:szCs w:val="32"/>
        </w:rPr>
        <w:t>发展水平。</w:t>
      </w:r>
    </w:p>
    <w:p>
      <w:pPr>
        <w:keepNext w:val="0"/>
        <w:keepLines w:val="0"/>
        <w:pageBreakBefore w:val="0"/>
        <w:kinsoku/>
        <w:wordWrap/>
        <w:overflowPunct/>
        <w:topLinePunct w:val="0"/>
        <w:autoSpaceDE/>
        <w:autoSpaceDN/>
        <w:bidi w:val="0"/>
        <w:snapToGrid/>
        <w:spacing w:line="610" w:lineRule="exact"/>
        <w:ind w:firstLine="64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二、主要指标</w:t>
      </w:r>
    </w:p>
    <w:p>
      <w:pPr>
        <w:keepNext w:val="0"/>
        <w:keepLines w:val="0"/>
        <w:pageBreakBefore w:val="0"/>
        <w:kinsoku/>
        <w:wordWrap/>
        <w:overflowPunct/>
        <w:topLinePunct w:val="0"/>
        <w:autoSpaceDE/>
        <w:autoSpaceDN/>
        <w:bidi w:val="0"/>
        <w:snapToGrid/>
        <w:spacing w:line="610" w:lineRule="exact"/>
        <w:ind w:firstLine="643"/>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人均期望寿命达78岁，婴儿死亡率和5岁以下儿童死亡率分别控制在5.5‰、 6.5‰以下，孕产妇死亡率控制在1/10万以下</w:t>
      </w:r>
      <w:r>
        <w:rPr>
          <w:rFonts w:hint="eastAsia" w:ascii="FangSong_GB2312" w:hAnsi="FangSong_GB2312" w:eastAsia="SimSun" w:cs="FangSong_GB2312"/>
          <w:sz w:val="32"/>
          <w:szCs w:val="32"/>
          <w:lang w:eastAsia="zh-CN"/>
        </w:rPr>
        <w:t>，</w:t>
      </w:r>
      <w:r>
        <w:rPr>
          <w:rFonts w:hint="eastAsia" w:ascii="FangSong_GB2312" w:hAnsi="FangSong_GB2312" w:eastAsia="FangSong_GB2312" w:cs="FangSong_GB2312"/>
          <w:sz w:val="32"/>
          <w:szCs w:val="32"/>
          <w:lang w:eastAsia="zh-CN"/>
        </w:rPr>
        <w:t>儿童</w:t>
      </w:r>
      <w:r>
        <w:rPr>
          <w:rFonts w:hint="eastAsia" w:ascii="FangSong_GB2312" w:hAnsi="FangSong_GB2312" w:eastAsia="FangSong_GB2312" w:cs="FangSong_GB2312"/>
          <w:sz w:val="32"/>
          <w:szCs w:val="32"/>
        </w:rPr>
        <w:t>免疫规划疫苗接种率达96%</w:t>
      </w:r>
      <w:r>
        <w:rPr>
          <w:rFonts w:hint="eastAsia" w:ascii="FangSong_GB2312" w:hAnsi="FangSong_GB2312" w:eastAsia="FangSong_GB2312" w:cs="FangSong_GB2312"/>
          <w:sz w:val="32"/>
          <w:szCs w:val="32"/>
          <w:lang w:eastAsia="zh-CN"/>
        </w:rPr>
        <w:t>以上</w:t>
      </w:r>
      <w:r>
        <w:rPr>
          <w:rFonts w:hint="eastAsia" w:ascii="FangSong_GB2312" w:hAnsi="FangSong_GB2312" w:eastAsia="FangSong_GB2312" w:cs="FangSong_GB2312"/>
          <w:sz w:val="32"/>
          <w:szCs w:val="32"/>
        </w:rPr>
        <w:t>。</w:t>
      </w:r>
    </w:p>
    <w:p>
      <w:pPr>
        <w:spacing w:before="240" w:line="226" w:lineRule="auto"/>
        <w:ind w:left="3305"/>
        <w:rPr>
          <w:rFonts w:ascii="SimHei" w:hAnsi="SimHei" w:eastAsia="SimHei" w:cs="SimHei"/>
          <w:sz w:val="28"/>
          <w:szCs w:val="28"/>
        </w:rPr>
      </w:pPr>
      <w:r>
        <w:rPr>
          <w:rFonts w:ascii="SimHei" w:hAnsi="SimHei" w:eastAsia="SimHei" w:cs="SimHei"/>
          <w:spacing w:val="-9"/>
          <w:sz w:val="28"/>
          <w:szCs w:val="28"/>
        </w:rPr>
        <w:t>表</w:t>
      </w:r>
      <w:r>
        <w:rPr>
          <w:rFonts w:ascii="SimHei" w:hAnsi="SimHei" w:eastAsia="SimHei" w:cs="SimHei"/>
          <w:spacing w:val="-32"/>
          <w:sz w:val="28"/>
          <w:szCs w:val="28"/>
        </w:rPr>
        <w:t xml:space="preserve"> </w:t>
      </w:r>
      <w:r>
        <w:rPr>
          <w:rFonts w:ascii="SimHei" w:hAnsi="SimHei" w:eastAsia="SimHei" w:cs="SimHei"/>
          <w:spacing w:val="-9"/>
          <w:sz w:val="28"/>
          <w:szCs w:val="28"/>
        </w:rPr>
        <w:t>1</w:t>
      </w:r>
      <w:r>
        <w:rPr>
          <w:rFonts w:ascii="SimHei" w:hAnsi="SimHei" w:eastAsia="SimHei" w:cs="SimHei"/>
          <w:spacing w:val="19"/>
          <w:sz w:val="28"/>
          <w:szCs w:val="28"/>
        </w:rPr>
        <w:t xml:space="preserve">  </w:t>
      </w:r>
      <w:r>
        <w:rPr>
          <w:rFonts w:ascii="SimHei" w:hAnsi="SimHei" w:eastAsia="SimHei" w:cs="SimHei"/>
          <w:spacing w:val="-9"/>
          <w:sz w:val="28"/>
          <w:szCs w:val="28"/>
        </w:rPr>
        <w:t>2025</w:t>
      </w:r>
      <w:r>
        <w:rPr>
          <w:rFonts w:ascii="SimHei" w:hAnsi="SimHei" w:eastAsia="SimHei" w:cs="SimHei"/>
          <w:spacing w:val="-49"/>
          <w:sz w:val="28"/>
          <w:szCs w:val="28"/>
        </w:rPr>
        <w:t xml:space="preserve"> </w:t>
      </w:r>
      <w:r>
        <w:rPr>
          <w:rFonts w:ascii="SimHei" w:hAnsi="SimHei" w:eastAsia="SimHei" w:cs="SimHei"/>
          <w:spacing w:val="-9"/>
          <w:sz w:val="28"/>
          <w:szCs w:val="28"/>
        </w:rPr>
        <w:t>年主要指标</w:t>
      </w:r>
    </w:p>
    <w:p>
      <w:pPr>
        <w:spacing w:line="32" w:lineRule="exact"/>
      </w:pPr>
    </w:p>
    <w:tbl>
      <w:tblPr>
        <w:tblStyle w:val="21"/>
        <w:tblW w:w="937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1"/>
        <w:gridCol w:w="870"/>
        <w:gridCol w:w="3154"/>
        <w:gridCol w:w="1234"/>
        <w:gridCol w:w="1813"/>
        <w:gridCol w:w="12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1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SimHei" w:hAnsi="SimHei" w:eastAsia="SimHei" w:cs="SimHei"/>
                <w:sz w:val="28"/>
                <w:szCs w:val="28"/>
              </w:rPr>
            </w:pPr>
            <w:r>
              <w:rPr>
                <w:rFonts w:ascii="SimHei" w:hAnsi="SimHei" w:eastAsia="SimHei" w:cs="SimHei"/>
                <w:sz w:val="28"/>
                <w:szCs w:val="28"/>
              </w:rPr>
              <w:t>领域</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SimHei" w:hAnsi="SimHei" w:eastAsia="SimHei" w:cs="SimHei"/>
                <w:sz w:val="28"/>
                <w:szCs w:val="28"/>
              </w:rPr>
            </w:pPr>
            <w:r>
              <w:rPr>
                <w:rFonts w:ascii="SimHei" w:hAnsi="SimHei" w:eastAsia="SimHei" w:cs="SimHei"/>
                <w:spacing w:val="-3"/>
                <w:sz w:val="28"/>
                <w:szCs w:val="28"/>
              </w:rPr>
              <w:t>序号</w:t>
            </w:r>
          </w:p>
        </w:tc>
        <w:tc>
          <w:tcPr>
            <w:tcW w:w="31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SimHei" w:hAnsi="SimHei" w:eastAsia="SimHei" w:cs="SimHei"/>
                <w:sz w:val="28"/>
                <w:szCs w:val="28"/>
              </w:rPr>
            </w:pPr>
            <w:r>
              <w:rPr>
                <w:rFonts w:ascii="SimHei" w:hAnsi="SimHei" w:eastAsia="SimHei" w:cs="SimHei"/>
                <w:spacing w:val="-3"/>
                <w:sz w:val="28"/>
                <w:szCs w:val="28"/>
              </w:rPr>
              <w:t>主要指标</w:t>
            </w:r>
          </w:p>
        </w:tc>
        <w:tc>
          <w:tcPr>
            <w:tcW w:w="12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SimHei" w:hAnsi="SimHei" w:eastAsia="SimHei" w:cs="SimHei"/>
                <w:sz w:val="28"/>
                <w:szCs w:val="28"/>
              </w:rPr>
            </w:pPr>
            <w:r>
              <w:rPr>
                <w:rFonts w:ascii="SimHei" w:hAnsi="SimHei" w:eastAsia="SimHei" w:cs="SimHei"/>
                <w:spacing w:val="-3"/>
                <w:sz w:val="28"/>
                <w:szCs w:val="28"/>
              </w:rPr>
              <w:t>2020</w:t>
            </w:r>
            <w:r>
              <w:rPr>
                <w:rFonts w:ascii="SimHei" w:hAnsi="SimHei" w:eastAsia="SimHei" w:cs="SimHei"/>
                <w:spacing w:val="-53"/>
                <w:sz w:val="28"/>
                <w:szCs w:val="28"/>
              </w:rPr>
              <w:t xml:space="preserve"> </w:t>
            </w:r>
            <w:r>
              <w:rPr>
                <w:rFonts w:ascii="SimHei" w:hAnsi="SimHei" w:eastAsia="SimHei" w:cs="SimHei"/>
                <w:spacing w:val="-3"/>
                <w:sz w:val="28"/>
                <w:szCs w:val="28"/>
              </w:rPr>
              <w:t>年</w:t>
            </w:r>
          </w:p>
        </w:tc>
        <w:tc>
          <w:tcPr>
            <w:tcW w:w="181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SimHei" w:hAnsi="SimHei" w:eastAsia="SimHei" w:cs="SimHei"/>
                <w:sz w:val="28"/>
                <w:szCs w:val="28"/>
              </w:rPr>
            </w:pPr>
            <w:r>
              <w:rPr>
                <w:rFonts w:ascii="SimHei" w:hAnsi="SimHei" w:eastAsia="SimHei" w:cs="SimHei"/>
                <w:spacing w:val="-4"/>
                <w:sz w:val="28"/>
                <w:szCs w:val="28"/>
              </w:rPr>
              <w:t>2025</w:t>
            </w:r>
            <w:r>
              <w:rPr>
                <w:rFonts w:ascii="SimHei" w:hAnsi="SimHei" w:eastAsia="SimHei" w:cs="SimHei"/>
                <w:spacing w:val="-48"/>
                <w:sz w:val="28"/>
                <w:szCs w:val="28"/>
              </w:rPr>
              <w:t xml:space="preserve"> </w:t>
            </w:r>
            <w:r>
              <w:rPr>
                <w:rFonts w:ascii="SimHei" w:hAnsi="SimHei" w:eastAsia="SimHei" w:cs="SimHei"/>
                <w:spacing w:val="-4"/>
                <w:sz w:val="28"/>
                <w:szCs w:val="28"/>
              </w:rPr>
              <w:t>年</w:t>
            </w:r>
          </w:p>
        </w:tc>
        <w:tc>
          <w:tcPr>
            <w:tcW w:w="120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ascii="SimHei" w:hAnsi="SimHei" w:eastAsia="SimHei" w:cs="SimHei"/>
                <w:sz w:val="28"/>
                <w:szCs w:val="28"/>
                <w:lang w:val="en-US" w:eastAsia="zh-CN"/>
              </w:rPr>
            </w:pPr>
            <w:r>
              <w:rPr>
                <w:rFonts w:hint="eastAsia" w:ascii="SimHei" w:hAnsi="SimHei" w:eastAsia="SimHei" w:cs="SimHei"/>
                <w:sz w:val="28"/>
                <w:szCs w:val="28"/>
                <w:lang w:val="en-US" w:eastAsia="zh-CN"/>
              </w:rPr>
              <w:t>指标性质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01" w:type="dxa"/>
            <w:vMerge w:val="restart"/>
            <w:tcBorders>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r>
              <w:rPr>
                <w:rFonts w:ascii="FangSong" w:hAnsi="FangSong" w:eastAsia="FangSong" w:cs="FangSong"/>
                <w:spacing w:val="-4"/>
                <w:kern w:val="2"/>
                <w:sz w:val="28"/>
                <w:szCs w:val="28"/>
                <w:lang w:val="en-US" w:eastAsia="en-US" w:bidi="ar-SA"/>
              </w:rPr>
              <w:t>健康</w:t>
            </w: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4"/>
              </w:rPr>
              <w:t>水平</w:t>
            </w: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1</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人均预期寿命（岁）</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eastAsia="FangSong"/>
                <w:lang w:eastAsia="zh-CN"/>
              </w:rPr>
            </w:pPr>
            <w:r>
              <w:rPr>
                <w:spacing w:val="-22"/>
              </w:rPr>
              <w:t>78.</w:t>
            </w:r>
            <w:r>
              <w:rPr>
                <w:spacing w:val="-48"/>
              </w:rPr>
              <w:t xml:space="preserve"> </w:t>
            </w:r>
            <w:r>
              <w:rPr>
                <w:rFonts w:hint="eastAsia"/>
                <w:spacing w:val="-22"/>
                <w:lang w:val="en-US" w:eastAsia="zh-CN"/>
              </w:rPr>
              <w:t>3</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1"/>
              </w:rPr>
              <w:t>78.</w:t>
            </w:r>
            <w:r>
              <w:rPr>
                <w:spacing w:val="-62"/>
              </w:rPr>
              <w:t xml:space="preserve"> </w:t>
            </w:r>
            <w:r>
              <w:rPr>
                <w:spacing w:val="-21"/>
              </w:rPr>
              <w:t>6</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2" w:hRule="atLeast"/>
        </w:trPr>
        <w:tc>
          <w:tcPr>
            <w:tcW w:w="1101"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2</w:t>
            </w:r>
          </w:p>
        </w:tc>
        <w:tc>
          <w:tcPr>
            <w:tcW w:w="31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1"/>
              </w:rPr>
              <w:t>健康预期寿命（岁）</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position w:val="-4"/>
              </w:rPr>
              <w:t>—</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600" w:lineRule="exact"/>
              <w:ind w:left="0" w:right="0"/>
              <w:jc w:val="center"/>
              <w:textAlignment w:val="auto"/>
            </w:pPr>
            <w:r>
              <w:rPr>
                <w:spacing w:val="-10"/>
                <w:position w:val="21"/>
              </w:rPr>
              <w:t>同比例</w:t>
            </w:r>
            <w:r>
              <w:rPr>
                <w:rFonts w:hint="eastAsia" w:eastAsia="SimSun"/>
                <w:spacing w:val="-10"/>
                <w:position w:val="21"/>
                <w:lang w:val="en-US" w:eastAsia="zh-CN"/>
              </w:rPr>
              <w:t>提高</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trPr>
        <w:tc>
          <w:tcPr>
            <w:tcW w:w="1101"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3</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6"/>
              </w:rPr>
              <w:t>孕产妇死亡率（/10</w:t>
            </w:r>
            <w:r>
              <w:rPr>
                <w:spacing w:val="-58"/>
              </w:rPr>
              <w:t xml:space="preserve"> </w:t>
            </w:r>
            <w:r>
              <w:rPr>
                <w:spacing w:val="-6"/>
              </w:rPr>
              <w:t>万）</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2"/>
              </w:rPr>
              <w:t>4.</w:t>
            </w:r>
            <w:r>
              <w:rPr>
                <w:spacing w:val="-58"/>
              </w:rPr>
              <w:t xml:space="preserve"> </w:t>
            </w:r>
            <w:r>
              <w:rPr>
                <w:spacing w:val="-22"/>
              </w:rPr>
              <w:t>56</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2"/>
              </w:rPr>
              <w:t>≤14.</w:t>
            </w:r>
            <w:r>
              <w:rPr>
                <w:spacing w:val="-57"/>
              </w:rPr>
              <w:t xml:space="preserve"> </w:t>
            </w:r>
            <w:r>
              <w:rPr>
                <w:spacing w:val="-22"/>
              </w:rPr>
              <w:t>5</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1101"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4</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3"/>
              </w:rPr>
              <w:t>婴儿死亡率（‰）</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4"/>
              </w:rPr>
              <w:t>3.</w:t>
            </w:r>
            <w:r>
              <w:rPr>
                <w:spacing w:val="-59"/>
              </w:rPr>
              <w:t xml:space="preserve"> </w:t>
            </w:r>
            <w:r>
              <w:rPr>
                <w:spacing w:val="-24"/>
              </w:rPr>
              <w:t>28</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6"/>
              </w:rPr>
              <w:t>≤5.</w:t>
            </w:r>
            <w:r>
              <w:rPr>
                <w:spacing w:val="-45"/>
              </w:rPr>
              <w:t xml:space="preserve"> </w:t>
            </w:r>
            <w:r>
              <w:rPr>
                <w:spacing w:val="-26"/>
              </w:rPr>
              <w:t>2</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1101"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5</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hanging="145"/>
              <w:jc w:val="center"/>
              <w:textAlignment w:val="auto"/>
            </w:pPr>
            <w:r>
              <w:rPr>
                <w:spacing w:val="-23"/>
              </w:rPr>
              <w:t>5</w:t>
            </w:r>
            <w:r>
              <w:rPr>
                <w:spacing w:val="-39"/>
              </w:rPr>
              <w:t xml:space="preserve"> </w:t>
            </w:r>
            <w:r>
              <w:rPr>
                <w:spacing w:val="-23"/>
              </w:rPr>
              <w:t>岁</w:t>
            </w:r>
            <w:r>
              <w:rPr>
                <w:spacing w:val="-33"/>
              </w:rPr>
              <w:t xml:space="preserve"> </w:t>
            </w:r>
            <w:r>
              <w:rPr>
                <w:spacing w:val="-23"/>
              </w:rPr>
              <w:t>以</w:t>
            </w:r>
            <w:r>
              <w:rPr>
                <w:spacing w:val="-40"/>
              </w:rPr>
              <w:t xml:space="preserve"> </w:t>
            </w:r>
            <w:r>
              <w:rPr>
                <w:spacing w:val="-23"/>
              </w:rPr>
              <w:t>下</w:t>
            </w:r>
            <w:r>
              <w:rPr>
                <w:spacing w:val="-58"/>
              </w:rPr>
              <w:t xml:space="preserve"> </w:t>
            </w:r>
            <w:r>
              <w:rPr>
                <w:spacing w:val="-23"/>
              </w:rPr>
              <w:t>儿</w:t>
            </w:r>
            <w:r>
              <w:rPr>
                <w:spacing w:val="-32"/>
              </w:rPr>
              <w:t xml:space="preserve"> </w:t>
            </w:r>
            <w:r>
              <w:rPr>
                <w:spacing w:val="-23"/>
              </w:rPr>
              <w:t>童</w:t>
            </w:r>
            <w:r>
              <w:rPr>
                <w:spacing w:val="-58"/>
              </w:rPr>
              <w:t xml:space="preserve"> </w:t>
            </w:r>
            <w:r>
              <w:rPr>
                <w:spacing w:val="-23"/>
              </w:rPr>
              <w:t>死</w:t>
            </w:r>
            <w:r>
              <w:rPr>
                <w:spacing w:val="-59"/>
              </w:rPr>
              <w:t xml:space="preserve"> </w:t>
            </w:r>
            <w:r>
              <w:rPr>
                <w:spacing w:val="-23"/>
              </w:rPr>
              <w:t>亡</w:t>
            </w:r>
            <w:r>
              <w:rPr>
                <w:spacing w:val="-37"/>
              </w:rPr>
              <w:t xml:space="preserve"> </w:t>
            </w:r>
            <w:r>
              <w:rPr>
                <w:spacing w:val="-23"/>
              </w:rPr>
              <w:t>率</w:t>
            </w:r>
            <w:r>
              <w:t xml:space="preserve"> </w:t>
            </w:r>
            <w:r>
              <w:rPr>
                <w:spacing w:val="-51"/>
              </w:rPr>
              <w:t>（‰）</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2"/>
              </w:rPr>
              <w:t>4.</w:t>
            </w:r>
            <w:r>
              <w:rPr>
                <w:spacing w:val="-61"/>
              </w:rPr>
              <w:t xml:space="preserve"> </w:t>
            </w:r>
            <w:r>
              <w:rPr>
                <w:spacing w:val="-22"/>
              </w:rPr>
              <w:t>88</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6"/>
              </w:rPr>
              <w:t>≤6.</w:t>
            </w:r>
            <w:r>
              <w:rPr>
                <w:spacing w:val="-46"/>
              </w:rPr>
              <w:t xml:space="preserve"> </w:t>
            </w:r>
            <w:r>
              <w:rPr>
                <w:spacing w:val="-26"/>
              </w:rPr>
              <w:t>6</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101"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6</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firstLine="6"/>
              <w:jc w:val="center"/>
              <w:textAlignment w:val="auto"/>
            </w:pPr>
            <w:r>
              <w:rPr>
                <w:spacing w:val="12"/>
              </w:rPr>
              <w:t>重大慢性病过早死亡率</w:t>
            </w:r>
            <w:r>
              <w:rPr>
                <w:spacing w:val="6"/>
              </w:rPr>
              <w:t xml:space="preserve"> </w:t>
            </w:r>
            <w:r>
              <w:rPr>
                <w:spacing w:val="-7"/>
              </w:rPr>
              <w:t>（%）</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6"/>
              </w:rPr>
              <w:t>15.</w:t>
            </w:r>
            <w:r>
              <w:rPr>
                <w:spacing w:val="-43"/>
              </w:rPr>
              <w:t xml:space="preserve"> </w:t>
            </w:r>
            <w:r>
              <w:rPr>
                <w:spacing w:val="-26"/>
              </w:rPr>
              <w:t>07</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5"/>
              </w:rPr>
              <w:t>14.</w:t>
            </w:r>
            <w:r>
              <w:rPr>
                <w:spacing w:val="-56"/>
              </w:rPr>
              <w:t xml:space="preserve"> </w:t>
            </w:r>
            <w:r>
              <w:rPr>
                <w:spacing w:val="-25"/>
              </w:rPr>
              <w:t>7</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5" w:hRule="atLeast"/>
        </w:trPr>
        <w:tc>
          <w:tcPr>
            <w:tcW w:w="1101"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7</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firstLine="5"/>
              <w:jc w:val="center"/>
              <w:textAlignment w:val="auto"/>
            </w:pPr>
            <w:r>
              <w:rPr>
                <w:spacing w:val="-14"/>
              </w:rPr>
              <w:t>城乡居民达到《国民体质</w:t>
            </w:r>
            <w:r>
              <w:rPr>
                <w:spacing w:val="4"/>
              </w:rPr>
              <w:t xml:space="preserve"> </w:t>
            </w:r>
            <w:r>
              <w:rPr>
                <w:spacing w:val="-13"/>
              </w:rPr>
              <w:t>测定标准》合格以上人数</w:t>
            </w:r>
            <w:r>
              <w:t xml:space="preserve"> </w:t>
            </w:r>
            <w:r>
              <w:rPr>
                <w:spacing w:val="-5"/>
              </w:rPr>
              <w:t>比例（%）</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0"/>
              </w:rPr>
              <w:t>86.</w:t>
            </w:r>
            <w:r>
              <w:rPr>
                <w:spacing w:val="-57"/>
              </w:rPr>
              <w:t xml:space="preserve"> </w:t>
            </w:r>
            <w:r>
              <w:rPr>
                <w:spacing w:val="-20"/>
              </w:rPr>
              <w:t>3</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0"/>
              </w:rPr>
              <w:t>91.</w:t>
            </w:r>
            <w:r>
              <w:rPr>
                <w:spacing w:val="-57"/>
              </w:rPr>
              <w:t xml:space="preserve"> </w:t>
            </w:r>
            <w:r>
              <w:rPr>
                <w:spacing w:val="-20"/>
              </w:rPr>
              <w:t>5</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1101" w:type="dxa"/>
            <w:vMerge w:val="restart"/>
            <w:tcBorders>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r>
              <w:rPr>
                <w:rFonts w:ascii="FangSong" w:hAnsi="FangSong" w:eastAsia="FangSong" w:cs="FangSong"/>
                <w:spacing w:val="-4"/>
                <w:kern w:val="2"/>
                <w:sz w:val="28"/>
                <w:szCs w:val="28"/>
                <w:lang w:val="en-US" w:eastAsia="en-US" w:bidi="ar-SA"/>
              </w:rPr>
              <w:t>健康</w:t>
            </w: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13"/>
              </w:rPr>
              <w:t>生活</w:t>
            </w: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8</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居民健康素养水平（%）</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5"/>
              </w:rPr>
              <w:t>18.</w:t>
            </w:r>
            <w:r>
              <w:rPr>
                <w:spacing w:val="-61"/>
              </w:rPr>
              <w:t xml:space="preserve"> </w:t>
            </w:r>
            <w:r>
              <w:rPr>
                <w:spacing w:val="-25"/>
              </w:rPr>
              <w:t>9</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12"/>
              </w:rPr>
              <w:t>＞25</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1101"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9</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hanging="32"/>
              <w:jc w:val="center"/>
              <w:textAlignment w:val="auto"/>
            </w:pPr>
            <w:r>
              <w:rPr>
                <w:spacing w:val="13"/>
              </w:rPr>
              <w:t>经常参加体育锻炼人数</w:t>
            </w:r>
            <w:r>
              <w:rPr>
                <w:spacing w:val="5"/>
              </w:rPr>
              <w:t xml:space="preserve"> </w:t>
            </w:r>
            <w:r>
              <w:rPr>
                <w:spacing w:val="-11"/>
              </w:rPr>
              <w:t>比例（%）</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1"/>
              </w:rPr>
              <w:t>31.</w:t>
            </w:r>
            <w:r>
              <w:rPr>
                <w:spacing w:val="-60"/>
              </w:rPr>
              <w:t xml:space="preserve"> </w:t>
            </w:r>
            <w:r>
              <w:rPr>
                <w:spacing w:val="-21"/>
              </w:rPr>
              <w:t>2</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1"/>
              </w:rPr>
              <w:t>38.</w:t>
            </w:r>
            <w:r>
              <w:rPr>
                <w:spacing w:val="-57"/>
              </w:rPr>
              <w:t xml:space="preserve"> </w:t>
            </w:r>
            <w:r>
              <w:rPr>
                <w:spacing w:val="-21"/>
              </w:rPr>
              <w:t>5</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101"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14"/>
              </w:rPr>
              <w:t>10</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firstLine="9"/>
              <w:jc w:val="center"/>
              <w:textAlignment w:val="auto"/>
            </w:pPr>
            <w:r>
              <w:rPr>
                <w:spacing w:val="22"/>
              </w:rPr>
              <w:t>15</w:t>
            </w:r>
            <w:r>
              <w:rPr>
                <w:spacing w:val="-38"/>
              </w:rPr>
              <w:t xml:space="preserve"> </w:t>
            </w:r>
            <w:r>
              <w:rPr>
                <w:spacing w:val="22"/>
              </w:rPr>
              <w:t>岁以</w:t>
            </w:r>
            <w:r>
              <w:rPr>
                <w:spacing w:val="-60"/>
              </w:rPr>
              <w:t xml:space="preserve"> </w:t>
            </w:r>
            <w:r>
              <w:rPr>
                <w:spacing w:val="22"/>
              </w:rPr>
              <w:t>上人群吸烟率</w:t>
            </w:r>
            <w:r>
              <w:t xml:space="preserve"> </w:t>
            </w:r>
            <w:r>
              <w:rPr>
                <w:spacing w:val="-7"/>
              </w:rPr>
              <w:t>（%）</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position w:val="-4"/>
              </w:rPr>
              <w:t>—</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2"/>
              </w:rPr>
              <w:t>＜22.</w:t>
            </w:r>
            <w:r>
              <w:rPr>
                <w:spacing w:val="-57"/>
              </w:rPr>
              <w:t xml:space="preserve"> </w:t>
            </w:r>
            <w:r>
              <w:rPr>
                <w:spacing w:val="-22"/>
              </w:rPr>
              <w:t>7</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1101" w:type="dxa"/>
            <w:vMerge w:val="restart"/>
            <w:tcBorders>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r>
              <w:rPr>
                <w:rFonts w:ascii="FangSong" w:hAnsi="FangSong" w:eastAsia="FangSong" w:cs="FangSong"/>
                <w:spacing w:val="-4"/>
                <w:kern w:val="2"/>
                <w:sz w:val="28"/>
                <w:szCs w:val="28"/>
                <w:lang w:val="en-US" w:eastAsia="en-US" w:bidi="ar-SA"/>
              </w:rPr>
              <w:t>健康</w:t>
            </w: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r>
              <w:rPr>
                <w:rFonts w:ascii="FangSong" w:hAnsi="FangSong" w:eastAsia="FangSong" w:cs="FangSong"/>
                <w:spacing w:val="-4"/>
                <w:kern w:val="2"/>
                <w:sz w:val="28"/>
                <w:szCs w:val="28"/>
                <w:lang w:val="en-US" w:eastAsia="en-US" w:bidi="ar-SA"/>
              </w:rPr>
              <w:t>服务</w:t>
            </w: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r>
              <w:rPr>
                <w:rFonts w:ascii="FangSong" w:hAnsi="FangSong" w:eastAsia="FangSong" w:cs="FangSong"/>
                <w:spacing w:val="-4"/>
                <w:kern w:val="2"/>
                <w:sz w:val="28"/>
                <w:szCs w:val="28"/>
                <w:lang w:val="en-US" w:eastAsia="en-US" w:bidi="ar-SA"/>
              </w:rPr>
              <w:t>11</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firstLine="7"/>
              <w:jc w:val="center"/>
              <w:textAlignment w:val="auto"/>
            </w:pPr>
            <w:r>
              <w:rPr>
                <w:spacing w:val="12"/>
              </w:rPr>
              <w:t>每千常住人口执业（助</w:t>
            </w:r>
            <w:r>
              <w:rPr>
                <w:spacing w:val="5"/>
              </w:rPr>
              <w:t xml:space="preserve"> </w:t>
            </w:r>
            <w:r>
              <w:rPr>
                <w:spacing w:val="-2"/>
              </w:rPr>
              <w:t>理）医师数（人）</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eastAsia="FangSong"/>
                <w:lang w:eastAsia="zh-CN"/>
              </w:rPr>
            </w:pPr>
            <w:r>
              <w:rPr>
                <w:spacing w:val="-22"/>
              </w:rPr>
              <w:t>2.</w:t>
            </w:r>
            <w:r>
              <w:rPr>
                <w:spacing w:val="-62"/>
              </w:rPr>
              <w:t xml:space="preserve"> </w:t>
            </w:r>
            <w:r>
              <w:rPr>
                <w:rFonts w:hint="eastAsia"/>
                <w:spacing w:val="-22"/>
                <w:lang w:val="en-US" w:eastAsia="zh-CN"/>
              </w:rPr>
              <w:t>4</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3</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1101"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r>
              <w:rPr>
                <w:rFonts w:ascii="FangSong" w:hAnsi="FangSong" w:eastAsia="FangSong" w:cs="FangSong"/>
                <w:spacing w:val="-4"/>
                <w:kern w:val="2"/>
                <w:sz w:val="28"/>
                <w:szCs w:val="28"/>
                <w:lang w:val="en-US" w:eastAsia="en-US" w:bidi="ar-SA"/>
              </w:rPr>
              <w:t>12</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firstLine="11"/>
              <w:jc w:val="center"/>
              <w:textAlignment w:val="auto"/>
            </w:pPr>
            <w:r>
              <w:rPr>
                <w:spacing w:val="12"/>
              </w:rPr>
              <w:t>每千常住人口注册护士</w:t>
            </w:r>
            <w:r>
              <w:rPr>
                <w:spacing w:val="5"/>
              </w:rPr>
              <w:t xml:space="preserve"> </w:t>
            </w:r>
            <w:r>
              <w:rPr>
                <w:spacing w:val="-5"/>
              </w:rPr>
              <w:t>数（人）</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eastAsia="FangSong"/>
                <w:lang w:eastAsia="zh-CN"/>
              </w:rPr>
            </w:pPr>
            <w:r>
              <w:rPr>
                <w:spacing w:val="-31"/>
              </w:rPr>
              <w:t>3.</w:t>
            </w:r>
            <w:r>
              <w:rPr>
                <w:spacing w:val="-43"/>
              </w:rPr>
              <w:t xml:space="preserve"> </w:t>
            </w:r>
            <w:r>
              <w:rPr>
                <w:rFonts w:hint="eastAsia"/>
                <w:spacing w:val="-31"/>
                <w:lang w:val="en-US" w:eastAsia="zh-CN"/>
              </w:rPr>
              <w:t>2</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30"/>
                <w:w w:val="99"/>
              </w:rPr>
              <w:t>3.</w:t>
            </w:r>
            <w:r>
              <w:rPr>
                <w:spacing w:val="-62"/>
              </w:rPr>
              <w:t xml:space="preserve"> </w:t>
            </w:r>
            <w:r>
              <w:rPr>
                <w:spacing w:val="-30"/>
                <w:w w:val="99"/>
              </w:rPr>
              <w:t>8</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1101"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14"/>
              </w:rPr>
              <w:t>13</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firstLine="11"/>
              <w:jc w:val="center"/>
              <w:textAlignment w:val="auto"/>
            </w:pPr>
            <w:r>
              <w:rPr>
                <w:spacing w:val="-11"/>
              </w:rPr>
              <w:t>每千常住人口药师（士）</w:t>
            </w:r>
            <w:r>
              <w:rPr>
                <w:spacing w:val="5"/>
              </w:rPr>
              <w:t xml:space="preserve"> </w:t>
            </w:r>
            <w:r>
              <w:rPr>
                <w:spacing w:val="-5"/>
              </w:rPr>
              <w:t>数（人）</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3"/>
              </w:rPr>
              <w:t>0.</w:t>
            </w:r>
            <w:r>
              <w:rPr>
                <w:spacing w:val="-57"/>
              </w:rPr>
              <w:t xml:space="preserve"> </w:t>
            </w:r>
            <w:r>
              <w:rPr>
                <w:spacing w:val="-23"/>
              </w:rPr>
              <w:t>33</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5"/>
              </w:rPr>
              <w:t>0.</w:t>
            </w:r>
            <w:r>
              <w:rPr>
                <w:spacing w:val="-48"/>
              </w:rPr>
              <w:t xml:space="preserve"> </w:t>
            </w:r>
            <w:r>
              <w:rPr>
                <w:spacing w:val="-25"/>
              </w:rPr>
              <w:t>41</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bl>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tbl>
      <w:tblPr>
        <w:tblStyle w:val="21"/>
        <w:tblW w:w="93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9"/>
        <w:gridCol w:w="869"/>
        <w:gridCol w:w="3146"/>
        <w:gridCol w:w="1663"/>
        <w:gridCol w:w="1378"/>
        <w:gridCol w:w="12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1099"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before="91" w:line="300" w:lineRule="exact"/>
              <w:ind w:left="288"/>
              <w:textAlignment w:val="auto"/>
              <w:rPr>
                <w:rFonts w:ascii="SimHei" w:hAnsi="SimHei" w:eastAsia="SimHei" w:cs="SimHei"/>
                <w:sz w:val="28"/>
                <w:szCs w:val="28"/>
              </w:rPr>
            </w:pPr>
            <w:r>
              <w:rPr>
                <w:rFonts w:ascii="SimHei" w:hAnsi="SimHei" w:eastAsia="SimHei" w:cs="SimHei"/>
                <w:sz w:val="28"/>
                <w:szCs w:val="28"/>
              </w:rPr>
              <w:t>领域</w:t>
            </w:r>
          </w:p>
        </w:tc>
        <w:tc>
          <w:tcPr>
            <w:tcW w:w="869"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before="91" w:line="300" w:lineRule="exact"/>
              <w:ind w:left="182"/>
              <w:textAlignment w:val="auto"/>
              <w:rPr>
                <w:rFonts w:ascii="SimHei" w:hAnsi="SimHei" w:eastAsia="SimHei" w:cs="SimHei"/>
                <w:sz w:val="28"/>
                <w:szCs w:val="28"/>
              </w:rPr>
            </w:pPr>
            <w:r>
              <w:rPr>
                <w:rFonts w:ascii="SimHei" w:hAnsi="SimHei" w:eastAsia="SimHei" w:cs="SimHei"/>
                <w:spacing w:val="-3"/>
                <w:sz w:val="28"/>
                <w:szCs w:val="28"/>
              </w:rPr>
              <w:t>序号</w:t>
            </w:r>
          </w:p>
        </w:tc>
        <w:tc>
          <w:tcPr>
            <w:tcW w:w="3146"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before="91" w:line="300" w:lineRule="exact"/>
              <w:ind w:left="1042"/>
              <w:textAlignment w:val="auto"/>
              <w:rPr>
                <w:rFonts w:ascii="SimHei" w:hAnsi="SimHei" w:eastAsia="SimHei" w:cs="SimHei"/>
                <w:sz w:val="28"/>
                <w:szCs w:val="28"/>
              </w:rPr>
            </w:pPr>
            <w:r>
              <w:rPr>
                <w:rFonts w:ascii="SimHei" w:hAnsi="SimHei" w:eastAsia="SimHei" w:cs="SimHei"/>
                <w:spacing w:val="-3"/>
                <w:sz w:val="28"/>
                <w:szCs w:val="28"/>
              </w:rPr>
              <w:t>主要指标</w:t>
            </w:r>
          </w:p>
        </w:tc>
        <w:tc>
          <w:tcPr>
            <w:tcW w:w="1663"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before="91" w:line="300" w:lineRule="exact"/>
              <w:ind w:left="409"/>
              <w:textAlignment w:val="auto"/>
              <w:rPr>
                <w:rFonts w:ascii="SimHei" w:hAnsi="SimHei" w:eastAsia="SimHei" w:cs="SimHei"/>
                <w:sz w:val="28"/>
                <w:szCs w:val="28"/>
              </w:rPr>
            </w:pPr>
            <w:r>
              <w:rPr>
                <w:rFonts w:ascii="SimHei" w:hAnsi="SimHei" w:eastAsia="SimHei" w:cs="SimHei"/>
                <w:spacing w:val="-3"/>
                <w:sz w:val="28"/>
                <w:szCs w:val="28"/>
              </w:rPr>
              <w:t>2020</w:t>
            </w:r>
            <w:r>
              <w:rPr>
                <w:rFonts w:ascii="SimHei" w:hAnsi="SimHei" w:eastAsia="SimHei" w:cs="SimHei"/>
                <w:spacing w:val="-53"/>
                <w:sz w:val="28"/>
                <w:szCs w:val="28"/>
              </w:rPr>
              <w:t xml:space="preserve"> </w:t>
            </w:r>
            <w:r>
              <w:rPr>
                <w:rFonts w:ascii="SimHei" w:hAnsi="SimHei" w:eastAsia="SimHei" w:cs="SimHei"/>
                <w:spacing w:val="-3"/>
                <w:sz w:val="28"/>
                <w:szCs w:val="28"/>
              </w:rPr>
              <w:t>年</w:t>
            </w:r>
          </w:p>
        </w:tc>
        <w:tc>
          <w:tcPr>
            <w:tcW w:w="1378"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before="91" w:line="300" w:lineRule="exact"/>
              <w:ind w:left="261"/>
              <w:textAlignment w:val="auto"/>
              <w:rPr>
                <w:rFonts w:ascii="SimHei" w:hAnsi="SimHei" w:eastAsia="SimHei" w:cs="SimHei"/>
                <w:sz w:val="28"/>
                <w:szCs w:val="28"/>
              </w:rPr>
            </w:pPr>
            <w:r>
              <w:rPr>
                <w:rFonts w:ascii="SimHei" w:hAnsi="SimHei" w:eastAsia="SimHei" w:cs="SimHei"/>
                <w:spacing w:val="-4"/>
                <w:sz w:val="28"/>
                <w:szCs w:val="28"/>
              </w:rPr>
              <w:t>2025</w:t>
            </w:r>
            <w:r>
              <w:rPr>
                <w:rFonts w:ascii="SimHei" w:hAnsi="SimHei" w:eastAsia="SimHei" w:cs="SimHei"/>
                <w:spacing w:val="-48"/>
                <w:sz w:val="28"/>
                <w:szCs w:val="28"/>
              </w:rPr>
              <w:t xml:space="preserve"> </w:t>
            </w:r>
            <w:r>
              <w:rPr>
                <w:rFonts w:ascii="SimHei" w:hAnsi="SimHei" w:eastAsia="SimHei" w:cs="SimHei"/>
                <w:spacing w:val="-4"/>
                <w:sz w:val="28"/>
                <w:szCs w:val="28"/>
              </w:rPr>
              <w:t>年</w:t>
            </w:r>
          </w:p>
        </w:tc>
        <w:tc>
          <w:tcPr>
            <w:tcW w:w="1204" w:type="dxa"/>
            <w:vAlign w:val="top"/>
          </w:tcPr>
          <w:p>
            <w:pPr>
              <w:keepNext w:val="0"/>
              <w:keepLines w:val="0"/>
              <w:pageBreakBefore w:val="0"/>
              <w:widowControl w:val="0"/>
              <w:kinsoku/>
              <w:wordWrap/>
              <w:overflowPunct/>
              <w:topLinePunct w:val="0"/>
              <w:autoSpaceDE/>
              <w:autoSpaceDN/>
              <w:bidi w:val="0"/>
              <w:adjustRightInd/>
              <w:snapToGrid/>
              <w:spacing w:before="214" w:line="300" w:lineRule="exact"/>
              <w:ind w:left="354"/>
              <w:textAlignment w:val="auto"/>
              <w:rPr>
                <w:rFonts w:ascii="SimHei" w:hAnsi="SimHei" w:eastAsia="SimHei" w:cs="SimHei"/>
                <w:sz w:val="28"/>
                <w:szCs w:val="28"/>
              </w:rPr>
            </w:pPr>
            <w:r>
              <w:rPr>
                <w:rFonts w:ascii="SimHei" w:hAnsi="SimHei" w:eastAsia="SimHei" w:cs="SimHei"/>
                <w:spacing w:val="-3"/>
                <w:position w:val="21"/>
                <w:sz w:val="28"/>
                <w:szCs w:val="28"/>
              </w:rPr>
              <w:t>指标</w:t>
            </w:r>
          </w:p>
          <w:p>
            <w:pPr>
              <w:keepNext w:val="0"/>
              <w:keepLines w:val="0"/>
              <w:pageBreakBefore w:val="0"/>
              <w:widowControl w:val="0"/>
              <w:kinsoku/>
              <w:wordWrap/>
              <w:overflowPunct/>
              <w:topLinePunct w:val="0"/>
              <w:autoSpaceDE/>
              <w:autoSpaceDN/>
              <w:bidi w:val="0"/>
              <w:adjustRightInd/>
              <w:snapToGrid/>
              <w:spacing w:before="1" w:line="300" w:lineRule="exact"/>
              <w:ind w:left="356"/>
              <w:textAlignment w:val="auto"/>
              <w:rPr>
                <w:rFonts w:ascii="SimHei" w:hAnsi="SimHei" w:eastAsia="SimHei" w:cs="SimHei"/>
                <w:sz w:val="28"/>
                <w:szCs w:val="28"/>
              </w:rPr>
            </w:pPr>
            <w:r>
              <w:rPr>
                <w:rFonts w:ascii="SimHei" w:hAnsi="SimHei" w:eastAsia="SimHei" w:cs="SimHei"/>
                <w:spacing w:val="-3"/>
                <w:sz w:val="28"/>
                <w:szCs w:val="28"/>
              </w:rPr>
              <w:t>性质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1099" w:type="dxa"/>
            <w:vMerge w:val="restart"/>
            <w:tcBorders>
              <w:bottom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tc>
        <w:tc>
          <w:tcPr>
            <w:tcW w:w="869"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337"/>
              <w:textAlignment w:val="auto"/>
            </w:pPr>
            <w:r>
              <w:rPr>
                <w:spacing w:val="-14"/>
              </w:rPr>
              <w:t>14</w:t>
            </w:r>
          </w:p>
        </w:tc>
        <w:tc>
          <w:tcPr>
            <w:tcW w:w="3146" w:type="dxa"/>
            <w:vAlign w:val="top"/>
          </w:tcPr>
          <w:p>
            <w:pPr>
              <w:pStyle w:val="22"/>
              <w:keepNext w:val="0"/>
              <w:keepLines w:val="0"/>
              <w:pageBreakBefore w:val="0"/>
              <w:widowControl w:val="0"/>
              <w:kinsoku/>
              <w:wordWrap/>
              <w:overflowPunct/>
              <w:topLinePunct w:val="0"/>
              <w:autoSpaceDE/>
              <w:autoSpaceDN/>
              <w:bidi w:val="0"/>
              <w:adjustRightInd/>
              <w:snapToGrid/>
              <w:spacing w:before="136" w:line="300" w:lineRule="exact"/>
              <w:ind w:left="137" w:right="68" w:firstLine="3"/>
              <w:textAlignment w:val="auto"/>
            </w:pPr>
            <w:r>
              <w:rPr>
                <w:spacing w:val="6"/>
              </w:rPr>
              <w:t>每千人口拥有</w:t>
            </w:r>
            <w:r>
              <w:rPr>
                <w:spacing w:val="-29"/>
              </w:rPr>
              <w:t xml:space="preserve"> </w:t>
            </w:r>
            <w:r>
              <w:rPr>
                <w:spacing w:val="6"/>
              </w:rPr>
              <w:t>3</w:t>
            </w:r>
            <w:r>
              <w:rPr>
                <w:spacing w:val="-47"/>
              </w:rPr>
              <w:t xml:space="preserve"> </w:t>
            </w:r>
            <w:r>
              <w:rPr>
                <w:spacing w:val="6"/>
              </w:rPr>
              <w:t>岁以下</w:t>
            </w:r>
            <w:r>
              <w:t xml:space="preserve"> </w:t>
            </w:r>
            <w:r>
              <w:rPr>
                <w:spacing w:val="-2"/>
              </w:rPr>
              <w:t>婴幼儿托位数（个）</w:t>
            </w:r>
          </w:p>
        </w:tc>
        <w:tc>
          <w:tcPr>
            <w:tcW w:w="1663"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654"/>
              <w:textAlignment w:val="auto"/>
              <w:rPr>
                <w:rFonts w:hint="default" w:eastAsia="FangSong"/>
                <w:lang w:val="en-US" w:eastAsia="zh-CN"/>
              </w:rPr>
            </w:pPr>
            <w:r>
              <w:rPr>
                <w:rFonts w:hint="eastAsia"/>
                <w:spacing w:val="-30"/>
                <w:lang w:val="en-US" w:eastAsia="zh-CN"/>
              </w:rPr>
              <w:t>1.0</w:t>
            </w:r>
          </w:p>
        </w:tc>
        <w:tc>
          <w:tcPr>
            <w:tcW w:w="1378"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516"/>
              <w:textAlignment w:val="auto"/>
              <w:rPr>
                <w:rFonts w:hint="eastAsia" w:eastAsia="FangSong"/>
                <w:lang w:val="en-US" w:eastAsia="zh-CN"/>
              </w:rPr>
            </w:pPr>
            <w:r>
              <w:rPr>
                <w:spacing w:val="-29"/>
              </w:rPr>
              <w:t>4.</w:t>
            </w:r>
            <w:r>
              <w:rPr>
                <w:spacing w:val="-58"/>
              </w:rPr>
              <w:t xml:space="preserve"> </w:t>
            </w:r>
            <w:r>
              <w:rPr>
                <w:rFonts w:hint="eastAsia"/>
                <w:spacing w:val="-58"/>
                <w:lang w:val="en-US" w:eastAsia="zh-CN"/>
              </w:rPr>
              <w:t>5</w:t>
            </w:r>
          </w:p>
        </w:tc>
        <w:tc>
          <w:tcPr>
            <w:tcW w:w="1204"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141"/>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099" w:type="dxa"/>
            <w:vMerge w:val="continue"/>
            <w:tcBorders>
              <w:top w:val="nil"/>
              <w:bottom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tc>
        <w:tc>
          <w:tcPr>
            <w:tcW w:w="869" w:type="dxa"/>
            <w:vAlign w:val="top"/>
          </w:tcPr>
          <w:p>
            <w:pPr>
              <w:pStyle w:val="22"/>
              <w:keepNext w:val="0"/>
              <w:keepLines w:val="0"/>
              <w:pageBreakBefore w:val="0"/>
              <w:widowControl w:val="0"/>
              <w:kinsoku/>
              <w:wordWrap/>
              <w:overflowPunct/>
              <w:topLinePunct w:val="0"/>
              <w:autoSpaceDE/>
              <w:autoSpaceDN/>
              <w:bidi w:val="0"/>
              <w:adjustRightInd/>
              <w:snapToGrid/>
              <w:spacing w:before="275" w:line="300" w:lineRule="exact"/>
              <w:ind w:left="337"/>
              <w:textAlignment w:val="auto"/>
            </w:pPr>
            <w:r>
              <w:rPr>
                <w:spacing w:val="-14"/>
              </w:rPr>
              <w:t>15</w:t>
            </w:r>
          </w:p>
        </w:tc>
        <w:tc>
          <w:tcPr>
            <w:tcW w:w="3146" w:type="dxa"/>
            <w:vAlign w:val="top"/>
          </w:tcPr>
          <w:p>
            <w:pPr>
              <w:pStyle w:val="22"/>
              <w:keepNext w:val="0"/>
              <w:keepLines w:val="0"/>
              <w:pageBreakBefore w:val="0"/>
              <w:widowControl w:val="0"/>
              <w:kinsoku/>
              <w:wordWrap/>
              <w:overflowPunct/>
              <w:topLinePunct w:val="0"/>
              <w:autoSpaceDE/>
              <w:autoSpaceDN/>
              <w:bidi w:val="0"/>
              <w:adjustRightInd/>
              <w:snapToGrid/>
              <w:spacing w:before="3" w:line="300" w:lineRule="exact"/>
              <w:ind w:left="128" w:right="68" w:firstLine="8"/>
              <w:textAlignment w:val="auto"/>
            </w:pPr>
            <w:r>
              <w:rPr>
                <w:spacing w:val="12"/>
              </w:rPr>
              <w:t>全</w:t>
            </w:r>
            <w:r>
              <w:rPr>
                <w:rFonts w:hint="eastAsia"/>
                <w:spacing w:val="12"/>
                <w:lang w:eastAsia="zh-CN"/>
              </w:rPr>
              <w:t>县</w:t>
            </w:r>
            <w:r>
              <w:rPr>
                <w:spacing w:val="12"/>
              </w:rPr>
              <w:t>儿童青少年总体近</w:t>
            </w:r>
            <w:r>
              <w:rPr>
                <w:spacing w:val="8"/>
              </w:rPr>
              <w:t xml:space="preserve"> </w:t>
            </w:r>
            <w:r>
              <w:rPr>
                <w:spacing w:val="-4"/>
              </w:rPr>
              <w:t>视率（%）</w:t>
            </w:r>
          </w:p>
        </w:tc>
        <w:tc>
          <w:tcPr>
            <w:tcW w:w="1663" w:type="dxa"/>
            <w:vAlign w:val="top"/>
          </w:tcPr>
          <w:p>
            <w:pPr>
              <w:pStyle w:val="22"/>
              <w:keepNext w:val="0"/>
              <w:keepLines w:val="0"/>
              <w:pageBreakBefore w:val="0"/>
              <w:widowControl w:val="0"/>
              <w:kinsoku/>
              <w:wordWrap/>
              <w:overflowPunct/>
              <w:topLinePunct w:val="0"/>
              <w:autoSpaceDE/>
              <w:autoSpaceDN/>
              <w:bidi w:val="0"/>
              <w:adjustRightInd/>
              <w:snapToGrid/>
              <w:spacing w:before="275" w:line="300" w:lineRule="exact"/>
              <w:ind w:left="581"/>
              <w:textAlignment w:val="auto"/>
            </w:pPr>
            <w:r>
              <w:rPr>
                <w:spacing w:val="-21"/>
              </w:rPr>
              <w:t>52.</w:t>
            </w:r>
            <w:r>
              <w:rPr>
                <w:spacing w:val="-61"/>
              </w:rPr>
              <w:t xml:space="preserve"> </w:t>
            </w:r>
            <w:r>
              <w:rPr>
                <w:spacing w:val="-21"/>
              </w:rPr>
              <w:t>6</w:t>
            </w:r>
          </w:p>
        </w:tc>
        <w:tc>
          <w:tcPr>
            <w:tcW w:w="1378" w:type="dxa"/>
            <w:vAlign w:val="top"/>
          </w:tcPr>
          <w:p>
            <w:pPr>
              <w:pStyle w:val="22"/>
              <w:keepNext w:val="0"/>
              <w:keepLines w:val="0"/>
              <w:pageBreakBefore w:val="0"/>
              <w:widowControl w:val="0"/>
              <w:kinsoku/>
              <w:wordWrap/>
              <w:overflowPunct/>
              <w:topLinePunct w:val="0"/>
              <w:autoSpaceDE/>
              <w:autoSpaceDN/>
              <w:bidi w:val="0"/>
              <w:adjustRightInd/>
              <w:snapToGrid/>
              <w:spacing w:before="227" w:line="300" w:lineRule="exact"/>
              <w:ind w:left="330"/>
              <w:textAlignment w:val="auto"/>
            </w:pPr>
            <w:r>
              <w:rPr>
                <w:spacing w:val="-22"/>
              </w:rPr>
              <w:t>＜51.</w:t>
            </w:r>
            <w:r>
              <w:rPr>
                <w:spacing w:val="-61"/>
              </w:rPr>
              <w:t xml:space="preserve"> </w:t>
            </w:r>
            <w:r>
              <w:rPr>
                <w:spacing w:val="-22"/>
              </w:rPr>
              <w:t>6</w:t>
            </w:r>
          </w:p>
        </w:tc>
        <w:tc>
          <w:tcPr>
            <w:tcW w:w="1204" w:type="dxa"/>
            <w:vAlign w:val="top"/>
          </w:tcPr>
          <w:p>
            <w:pPr>
              <w:pStyle w:val="22"/>
              <w:keepNext w:val="0"/>
              <w:keepLines w:val="0"/>
              <w:pageBreakBefore w:val="0"/>
              <w:widowControl w:val="0"/>
              <w:kinsoku/>
              <w:wordWrap/>
              <w:overflowPunct/>
              <w:topLinePunct w:val="0"/>
              <w:autoSpaceDE/>
              <w:autoSpaceDN/>
              <w:bidi w:val="0"/>
              <w:adjustRightInd/>
              <w:snapToGrid/>
              <w:spacing w:before="228" w:line="300" w:lineRule="exact"/>
              <w:ind w:left="141"/>
              <w:textAlignment w:val="auto"/>
            </w:pPr>
            <w:r>
              <w:rPr>
                <w:spacing w:val="-2"/>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099"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tc>
        <w:tc>
          <w:tcPr>
            <w:tcW w:w="869" w:type="dxa"/>
            <w:vAlign w:val="top"/>
          </w:tcPr>
          <w:p>
            <w:pPr>
              <w:pStyle w:val="22"/>
              <w:keepNext w:val="0"/>
              <w:keepLines w:val="0"/>
              <w:pageBreakBefore w:val="0"/>
              <w:widowControl w:val="0"/>
              <w:kinsoku/>
              <w:wordWrap/>
              <w:overflowPunct/>
              <w:topLinePunct w:val="0"/>
              <w:autoSpaceDE/>
              <w:autoSpaceDN/>
              <w:bidi w:val="0"/>
              <w:adjustRightInd/>
              <w:snapToGrid/>
              <w:spacing w:before="275" w:line="300" w:lineRule="exact"/>
              <w:ind w:left="337"/>
              <w:textAlignment w:val="auto"/>
            </w:pPr>
            <w:r>
              <w:rPr>
                <w:spacing w:val="-14"/>
              </w:rPr>
              <w:t>16</w:t>
            </w:r>
          </w:p>
        </w:tc>
        <w:tc>
          <w:tcPr>
            <w:tcW w:w="3146" w:type="dxa"/>
            <w:vAlign w:val="top"/>
          </w:tcPr>
          <w:p>
            <w:pPr>
              <w:pStyle w:val="22"/>
              <w:keepNext w:val="0"/>
              <w:keepLines w:val="0"/>
              <w:pageBreakBefore w:val="0"/>
              <w:widowControl w:val="0"/>
              <w:kinsoku/>
              <w:wordWrap/>
              <w:overflowPunct/>
              <w:topLinePunct w:val="0"/>
              <w:autoSpaceDE/>
              <w:autoSpaceDN/>
              <w:bidi w:val="0"/>
              <w:adjustRightInd/>
              <w:snapToGrid/>
              <w:spacing w:before="3" w:line="300" w:lineRule="exact"/>
              <w:ind w:left="129" w:right="68" w:firstLine="9"/>
              <w:textAlignment w:val="auto"/>
            </w:pPr>
            <w:r>
              <w:rPr>
                <w:spacing w:val="12"/>
              </w:rPr>
              <w:t>二级及以上综合性医院</w:t>
            </w:r>
            <w:r>
              <w:rPr>
                <w:spacing w:val="6"/>
              </w:rPr>
              <w:t xml:space="preserve"> </w:t>
            </w:r>
            <w:r>
              <w:rPr>
                <w:spacing w:val="-2"/>
              </w:rPr>
              <w:t>设老年医学科比例（%）</w:t>
            </w:r>
          </w:p>
        </w:tc>
        <w:tc>
          <w:tcPr>
            <w:tcW w:w="1663" w:type="dxa"/>
            <w:vAlign w:val="top"/>
          </w:tcPr>
          <w:p>
            <w:pPr>
              <w:pStyle w:val="22"/>
              <w:keepNext w:val="0"/>
              <w:keepLines w:val="0"/>
              <w:pageBreakBefore w:val="0"/>
              <w:widowControl w:val="0"/>
              <w:kinsoku/>
              <w:wordWrap/>
              <w:overflowPunct/>
              <w:topLinePunct w:val="0"/>
              <w:autoSpaceDE/>
              <w:autoSpaceDN/>
              <w:bidi w:val="0"/>
              <w:adjustRightInd/>
              <w:snapToGrid/>
              <w:spacing w:before="275" w:line="300" w:lineRule="exact"/>
              <w:ind w:left="731"/>
              <w:textAlignment w:val="auto"/>
            </w:pPr>
            <w:r>
              <w:rPr>
                <w:spacing w:val="-9"/>
              </w:rPr>
              <w:t>30</w:t>
            </w:r>
          </w:p>
        </w:tc>
        <w:tc>
          <w:tcPr>
            <w:tcW w:w="1378" w:type="dxa"/>
            <w:vAlign w:val="top"/>
          </w:tcPr>
          <w:p>
            <w:pPr>
              <w:pStyle w:val="22"/>
              <w:keepNext w:val="0"/>
              <w:keepLines w:val="0"/>
              <w:pageBreakBefore w:val="0"/>
              <w:widowControl w:val="0"/>
              <w:kinsoku/>
              <w:wordWrap/>
              <w:overflowPunct/>
              <w:topLinePunct w:val="0"/>
              <w:autoSpaceDE/>
              <w:autoSpaceDN/>
              <w:bidi w:val="0"/>
              <w:adjustRightInd/>
              <w:snapToGrid/>
              <w:spacing w:before="275" w:line="300" w:lineRule="exact"/>
              <w:ind w:left="580"/>
              <w:textAlignment w:val="auto"/>
            </w:pPr>
            <w:r>
              <w:rPr>
                <w:spacing w:val="-2"/>
              </w:rPr>
              <w:t>65</w:t>
            </w:r>
          </w:p>
        </w:tc>
        <w:tc>
          <w:tcPr>
            <w:tcW w:w="1204" w:type="dxa"/>
            <w:vAlign w:val="top"/>
          </w:tcPr>
          <w:p>
            <w:pPr>
              <w:pStyle w:val="22"/>
              <w:keepNext w:val="0"/>
              <w:keepLines w:val="0"/>
              <w:pageBreakBefore w:val="0"/>
              <w:widowControl w:val="0"/>
              <w:kinsoku/>
              <w:wordWrap/>
              <w:overflowPunct/>
              <w:topLinePunct w:val="0"/>
              <w:autoSpaceDE/>
              <w:autoSpaceDN/>
              <w:bidi w:val="0"/>
              <w:adjustRightInd/>
              <w:snapToGrid/>
              <w:spacing w:before="228" w:line="300" w:lineRule="exact"/>
              <w:ind w:left="141"/>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1099" w:type="dxa"/>
            <w:vMerge w:val="restart"/>
            <w:tcBorders>
              <w:bottom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FangSong" w:hAnsi="FangSong" w:eastAsia="FangSong" w:cs="FangSong"/>
                <w:spacing w:val="-4"/>
                <w:kern w:val="2"/>
                <w:sz w:val="28"/>
                <w:szCs w:val="28"/>
                <w:lang w:val="en-US" w:eastAsia="en-US" w:bidi="ar-SA"/>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297"/>
              <w:textAlignment w:val="auto"/>
              <w:rPr>
                <w:rFonts w:ascii="FangSong" w:hAnsi="FangSong" w:eastAsia="FangSong" w:cs="FangSong"/>
                <w:spacing w:val="-4"/>
                <w:kern w:val="2"/>
                <w:sz w:val="28"/>
                <w:szCs w:val="28"/>
                <w:lang w:val="en-US" w:eastAsia="en-US" w:bidi="ar-SA"/>
              </w:rPr>
            </w:pPr>
            <w:r>
              <w:rPr>
                <w:rFonts w:ascii="FangSong" w:hAnsi="FangSong" w:eastAsia="FangSong" w:cs="FangSong"/>
                <w:spacing w:val="-4"/>
                <w:kern w:val="2"/>
                <w:sz w:val="28"/>
                <w:szCs w:val="28"/>
                <w:lang w:val="en-US" w:eastAsia="en-US" w:bidi="ar-SA"/>
              </w:rPr>
              <w:t>健康</w:t>
            </w:r>
          </w:p>
          <w:p>
            <w:pPr>
              <w:pStyle w:val="22"/>
              <w:keepNext w:val="0"/>
              <w:keepLines w:val="0"/>
              <w:pageBreakBefore w:val="0"/>
              <w:widowControl w:val="0"/>
              <w:kinsoku/>
              <w:wordWrap/>
              <w:overflowPunct/>
              <w:topLinePunct w:val="0"/>
              <w:autoSpaceDE/>
              <w:autoSpaceDN/>
              <w:bidi w:val="0"/>
              <w:adjustRightInd/>
              <w:snapToGrid/>
              <w:spacing w:line="300" w:lineRule="exact"/>
              <w:ind w:left="297"/>
              <w:textAlignment w:val="auto"/>
            </w:pPr>
            <w:r>
              <w:rPr>
                <w:spacing w:val="-4"/>
              </w:rPr>
              <w:t>服务</w:t>
            </w:r>
          </w:p>
        </w:tc>
        <w:tc>
          <w:tcPr>
            <w:tcW w:w="869"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337"/>
              <w:textAlignment w:val="auto"/>
              <w:rPr>
                <w:rFonts w:hint="eastAsia" w:eastAsia="FangSong"/>
                <w:lang w:val="en-US" w:eastAsia="zh-CN"/>
              </w:rPr>
            </w:pPr>
            <w:r>
              <w:rPr>
                <w:spacing w:val="-14"/>
              </w:rPr>
              <w:t>1</w:t>
            </w:r>
            <w:r>
              <w:rPr>
                <w:rFonts w:hint="eastAsia"/>
                <w:spacing w:val="-14"/>
                <w:lang w:val="en-US" w:eastAsia="zh-CN"/>
              </w:rPr>
              <w:t>7</w:t>
            </w:r>
          </w:p>
        </w:tc>
        <w:tc>
          <w:tcPr>
            <w:tcW w:w="3146" w:type="dxa"/>
            <w:vAlign w:val="center"/>
          </w:tcPr>
          <w:p>
            <w:pPr>
              <w:pStyle w:val="22"/>
              <w:keepNext w:val="0"/>
              <w:keepLines w:val="0"/>
              <w:pageBreakBefore w:val="0"/>
              <w:widowControl w:val="0"/>
              <w:kinsoku/>
              <w:wordWrap/>
              <w:overflowPunct/>
              <w:topLinePunct w:val="0"/>
              <w:autoSpaceDE/>
              <w:autoSpaceDN/>
              <w:bidi w:val="0"/>
              <w:adjustRightInd/>
              <w:snapToGrid/>
              <w:spacing w:before="16" w:line="300" w:lineRule="exact"/>
              <w:ind w:left="133" w:right="68" w:firstLine="7"/>
              <w:jc w:val="center"/>
              <w:textAlignment w:val="auto"/>
            </w:pPr>
            <w:r>
              <w:rPr>
                <w:spacing w:val="15"/>
              </w:rPr>
              <w:t>孕产妇系统管理率和</w:t>
            </w:r>
            <w:r>
              <w:rPr>
                <w:spacing w:val="-35"/>
              </w:rPr>
              <w:t xml:space="preserve"> </w:t>
            </w:r>
            <w:r>
              <w:rPr>
                <w:spacing w:val="15"/>
              </w:rPr>
              <w:t>3</w:t>
            </w:r>
            <w:r>
              <w:t xml:space="preserve"> </w:t>
            </w:r>
            <w:r>
              <w:rPr>
                <w:spacing w:val="13"/>
              </w:rPr>
              <w:t>岁以下儿童系统管理率</w:t>
            </w:r>
            <w:r>
              <w:rPr>
                <w:spacing w:val="2"/>
              </w:rPr>
              <w:t xml:space="preserve"> </w:t>
            </w:r>
            <w:r>
              <w:rPr>
                <w:spacing w:val="-7"/>
              </w:rPr>
              <w:t>（%）</w:t>
            </w:r>
          </w:p>
        </w:tc>
        <w:tc>
          <w:tcPr>
            <w:tcW w:w="1663" w:type="dxa"/>
            <w:vAlign w:val="center"/>
          </w:tcPr>
          <w:p>
            <w:pPr>
              <w:pStyle w:val="22"/>
              <w:keepNext w:val="0"/>
              <w:keepLines w:val="0"/>
              <w:pageBreakBefore w:val="0"/>
              <w:widowControl w:val="0"/>
              <w:kinsoku/>
              <w:wordWrap/>
              <w:overflowPunct/>
              <w:topLinePunct w:val="0"/>
              <w:autoSpaceDE/>
              <w:autoSpaceDN/>
              <w:bidi w:val="0"/>
              <w:adjustRightInd/>
              <w:snapToGrid/>
              <w:spacing w:before="91" w:line="300" w:lineRule="exact"/>
              <w:ind w:left="127"/>
              <w:jc w:val="center"/>
              <w:textAlignment w:val="auto"/>
            </w:pPr>
            <w:r>
              <w:rPr>
                <w:spacing w:val="-24"/>
              </w:rPr>
              <w:t>98.</w:t>
            </w:r>
            <w:r>
              <w:rPr>
                <w:spacing w:val="-61"/>
              </w:rPr>
              <w:t xml:space="preserve"> </w:t>
            </w:r>
            <w:r>
              <w:rPr>
                <w:spacing w:val="-24"/>
              </w:rPr>
              <w:t>2、98.</w:t>
            </w:r>
            <w:r>
              <w:rPr>
                <w:spacing w:val="-66"/>
              </w:rPr>
              <w:t xml:space="preserve"> </w:t>
            </w:r>
            <w:r>
              <w:rPr>
                <w:spacing w:val="-24"/>
              </w:rPr>
              <w:t>45</w:t>
            </w:r>
          </w:p>
        </w:tc>
        <w:tc>
          <w:tcPr>
            <w:tcW w:w="1378" w:type="dxa"/>
            <w:vAlign w:val="center"/>
          </w:tcPr>
          <w:p>
            <w:pPr>
              <w:pStyle w:val="22"/>
              <w:keepNext w:val="0"/>
              <w:keepLines w:val="0"/>
              <w:pageBreakBefore w:val="0"/>
              <w:widowControl w:val="0"/>
              <w:kinsoku/>
              <w:wordWrap/>
              <w:overflowPunct/>
              <w:topLinePunct w:val="0"/>
              <w:autoSpaceDE/>
              <w:autoSpaceDN/>
              <w:bidi w:val="0"/>
              <w:adjustRightInd/>
              <w:snapToGrid/>
              <w:spacing w:before="91" w:line="300" w:lineRule="exact"/>
              <w:ind w:left="579"/>
              <w:jc w:val="both"/>
              <w:textAlignment w:val="auto"/>
            </w:pPr>
            <w:r>
              <w:rPr>
                <w:spacing w:val="-2"/>
              </w:rPr>
              <w:t>99</w:t>
            </w:r>
          </w:p>
        </w:tc>
        <w:tc>
          <w:tcPr>
            <w:tcW w:w="1204" w:type="dxa"/>
            <w:vAlign w:val="center"/>
          </w:tcPr>
          <w:p>
            <w:pPr>
              <w:pStyle w:val="22"/>
              <w:keepNext w:val="0"/>
              <w:keepLines w:val="0"/>
              <w:pageBreakBefore w:val="0"/>
              <w:widowControl w:val="0"/>
              <w:kinsoku/>
              <w:wordWrap/>
              <w:overflowPunct/>
              <w:topLinePunct w:val="0"/>
              <w:autoSpaceDE/>
              <w:autoSpaceDN/>
              <w:bidi w:val="0"/>
              <w:adjustRightInd/>
              <w:snapToGrid/>
              <w:spacing w:before="91" w:line="300" w:lineRule="exact"/>
              <w:ind w:left="141"/>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0" w:hRule="atLeast"/>
        </w:trPr>
        <w:tc>
          <w:tcPr>
            <w:tcW w:w="1099" w:type="dxa"/>
            <w:vMerge w:val="continue"/>
            <w:tcBorders>
              <w:top w:val="nil"/>
              <w:bottom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tc>
        <w:tc>
          <w:tcPr>
            <w:tcW w:w="869"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337"/>
              <w:textAlignment w:val="auto"/>
              <w:rPr>
                <w:rFonts w:hint="eastAsia" w:eastAsia="FangSong"/>
                <w:lang w:val="en-US" w:eastAsia="zh-CN"/>
              </w:rPr>
            </w:pPr>
            <w:r>
              <w:rPr>
                <w:spacing w:val="-14"/>
              </w:rPr>
              <w:t>1</w:t>
            </w:r>
            <w:r>
              <w:rPr>
                <w:rFonts w:hint="eastAsia"/>
                <w:spacing w:val="-14"/>
                <w:lang w:val="en-US" w:eastAsia="zh-CN"/>
              </w:rPr>
              <w:t>8</w:t>
            </w:r>
          </w:p>
        </w:tc>
        <w:tc>
          <w:tcPr>
            <w:tcW w:w="3146" w:type="dxa"/>
            <w:vAlign w:val="center"/>
          </w:tcPr>
          <w:p>
            <w:pPr>
              <w:pStyle w:val="22"/>
              <w:keepNext w:val="0"/>
              <w:keepLines w:val="0"/>
              <w:pageBreakBefore w:val="0"/>
              <w:widowControl w:val="0"/>
              <w:kinsoku/>
              <w:wordWrap/>
              <w:overflowPunct/>
              <w:topLinePunct w:val="0"/>
              <w:autoSpaceDE/>
              <w:autoSpaceDN/>
              <w:bidi w:val="0"/>
              <w:adjustRightInd/>
              <w:snapToGrid/>
              <w:spacing w:before="77" w:line="300" w:lineRule="exact"/>
              <w:ind w:left="129" w:right="67" w:firstLine="29"/>
              <w:jc w:val="center"/>
              <w:textAlignment w:val="auto"/>
            </w:pPr>
            <w:r>
              <w:rPr>
                <w:spacing w:val="-16"/>
              </w:rPr>
              <w:t>以乡（镇、街道）为单位</w:t>
            </w:r>
            <w:r>
              <w:rPr>
                <w:spacing w:val="3"/>
              </w:rPr>
              <w:t xml:space="preserve"> </w:t>
            </w:r>
            <w:r>
              <w:rPr>
                <w:spacing w:val="13"/>
              </w:rPr>
              <w:t>适龄儿童免疫规划疫苗</w:t>
            </w:r>
            <w:r>
              <w:rPr>
                <w:spacing w:val="6"/>
              </w:rPr>
              <w:t xml:space="preserve"> </w:t>
            </w:r>
            <w:r>
              <w:rPr>
                <w:spacing w:val="-3"/>
              </w:rPr>
              <w:t>接种率（%）</w:t>
            </w:r>
          </w:p>
        </w:tc>
        <w:tc>
          <w:tcPr>
            <w:tcW w:w="1663" w:type="dxa"/>
            <w:vAlign w:val="center"/>
          </w:tcPr>
          <w:p>
            <w:pPr>
              <w:pStyle w:val="22"/>
              <w:keepNext w:val="0"/>
              <w:keepLines w:val="0"/>
              <w:pageBreakBefore w:val="0"/>
              <w:widowControl w:val="0"/>
              <w:kinsoku/>
              <w:wordWrap/>
              <w:overflowPunct/>
              <w:topLinePunct w:val="0"/>
              <w:autoSpaceDE/>
              <w:autoSpaceDN/>
              <w:bidi w:val="0"/>
              <w:adjustRightInd/>
              <w:snapToGrid/>
              <w:spacing w:before="91" w:line="300" w:lineRule="exact"/>
              <w:ind w:left="727"/>
              <w:jc w:val="both"/>
              <w:textAlignment w:val="auto"/>
              <w:rPr>
                <w:rFonts w:hint="default" w:eastAsia="FangSong"/>
                <w:lang w:val="en-US" w:eastAsia="zh-CN"/>
              </w:rPr>
            </w:pPr>
            <w:r>
              <w:rPr>
                <w:rFonts w:hint="eastAsia"/>
                <w:spacing w:val="-8"/>
                <w:lang w:val="en-US" w:eastAsia="zh-CN"/>
              </w:rPr>
              <w:t>89</w:t>
            </w:r>
          </w:p>
        </w:tc>
        <w:tc>
          <w:tcPr>
            <w:tcW w:w="1378" w:type="dxa"/>
            <w:vAlign w:val="center"/>
          </w:tcPr>
          <w:p>
            <w:pPr>
              <w:pStyle w:val="22"/>
              <w:keepNext w:val="0"/>
              <w:keepLines w:val="0"/>
              <w:pageBreakBefore w:val="0"/>
              <w:widowControl w:val="0"/>
              <w:kinsoku/>
              <w:wordWrap/>
              <w:overflowPunct/>
              <w:topLinePunct w:val="0"/>
              <w:autoSpaceDE/>
              <w:autoSpaceDN/>
              <w:bidi w:val="0"/>
              <w:adjustRightInd/>
              <w:snapToGrid/>
              <w:spacing w:before="91" w:line="300" w:lineRule="exact"/>
              <w:ind w:left="469"/>
              <w:jc w:val="both"/>
              <w:textAlignment w:val="auto"/>
            </w:pPr>
            <w:r>
              <w:rPr>
                <w:spacing w:val="28"/>
                <w:w w:val="105"/>
              </w:rPr>
              <w:t>&gt;90</w:t>
            </w:r>
          </w:p>
        </w:tc>
        <w:tc>
          <w:tcPr>
            <w:tcW w:w="1204" w:type="dxa"/>
            <w:vAlign w:val="center"/>
          </w:tcPr>
          <w:p>
            <w:pPr>
              <w:pStyle w:val="22"/>
              <w:keepNext w:val="0"/>
              <w:keepLines w:val="0"/>
              <w:pageBreakBefore w:val="0"/>
              <w:widowControl w:val="0"/>
              <w:kinsoku/>
              <w:wordWrap/>
              <w:overflowPunct/>
              <w:topLinePunct w:val="0"/>
              <w:autoSpaceDE/>
              <w:autoSpaceDN/>
              <w:bidi w:val="0"/>
              <w:adjustRightInd/>
              <w:snapToGrid/>
              <w:spacing w:before="91" w:line="300" w:lineRule="exact"/>
              <w:ind w:left="141"/>
              <w:jc w:val="center"/>
              <w:textAlignment w:val="auto"/>
            </w:pPr>
            <w:r>
              <w:rPr>
                <w:spacing w:val="-2"/>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1099" w:type="dxa"/>
            <w:vMerge w:val="continue"/>
            <w:tcBorders>
              <w:top w:val="nil"/>
              <w:bottom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tc>
        <w:tc>
          <w:tcPr>
            <w:tcW w:w="869" w:type="dxa"/>
            <w:vAlign w:val="top"/>
          </w:tcPr>
          <w:p>
            <w:pPr>
              <w:pStyle w:val="22"/>
              <w:keepNext w:val="0"/>
              <w:keepLines w:val="0"/>
              <w:pageBreakBefore w:val="0"/>
              <w:widowControl w:val="0"/>
              <w:kinsoku/>
              <w:wordWrap/>
              <w:overflowPunct/>
              <w:topLinePunct w:val="0"/>
              <w:autoSpaceDE/>
              <w:autoSpaceDN/>
              <w:bidi w:val="0"/>
              <w:adjustRightInd/>
              <w:snapToGrid/>
              <w:spacing w:before="248" w:line="300" w:lineRule="exact"/>
              <w:ind w:left="319"/>
              <w:textAlignment w:val="auto"/>
              <w:rPr>
                <w:rFonts w:hint="default" w:eastAsia="FangSong"/>
                <w:lang w:val="en-US" w:eastAsia="zh-CN"/>
              </w:rPr>
            </w:pPr>
            <w:r>
              <w:rPr>
                <w:rFonts w:hint="eastAsia"/>
                <w:spacing w:val="-9"/>
                <w:lang w:val="en-US" w:eastAsia="zh-CN"/>
              </w:rPr>
              <w:t>19</w:t>
            </w:r>
          </w:p>
        </w:tc>
        <w:tc>
          <w:tcPr>
            <w:tcW w:w="3146" w:type="dxa"/>
            <w:vAlign w:val="top"/>
          </w:tcPr>
          <w:p>
            <w:pPr>
              <w:pStyle w:val="22"/>
              <w:keepNext w:val="0"/>
              <w:keepLines w:val="0"/>
              <w:pageBreakBefore w:val="0"/>
              <w:widowControl w:val="0"/>
              <w:kinsoku/>
              <w:wordWrap/>
              <w:overflowPunct/>
              <w:topLinePunct w:val="0"/>
              <w:autoSpaceDE/>
              <w:autoSpaceDN/>
              <w:bidi w:val="0"/>
              <w:adjustRightInd/>
              <w:snapToGrid/>
              <w:spacing w:before="140" w:line="300" w:lineRule="exact"/>
              <w:jc w:val="center"/>
              <w:textAlignment w:val="auto"/>
            </w:pPr>
            <w:r>
              <w:rPr>
                <w:spacing w:val="-16"/>
              </w:rPr>
              <w:t>严重精神障碍管理率（%）</w:t>
            </w:r>
          </w:p>
        </w:tc>
        <w:tc>
          <w:tcPr>
            <w:tcW w:w="1663" w:type="dxa"/>
            <w:vAlign w:val="top"/>
          </w:tcPr>
          <w:p>
            <w:pPr>
              <w:pStyle w:val="22"/>
              <w:keepNext w:val="0"/>
              <w:keepLines w:val="0"/>
              <w:pageBreakBefore w:val="0"/>
              <w:widowControl w:val="0"/>
              <w:kinsoku/>
              <w:wordWrap/>
              <w:overflowPunct/>
              <w:topLinePunct w:val="0"/>
              <w:autoSpaceDE/>
              <w:autoSpaceDN/>
              <w:bidi w:val="0"/>
              <w:adjustRightInd/>
              <w:snapToGrid/>
              <w:spacing w:before="248" w:line="300" w:lineRule="exact"/>
              <w:ind w:left="517"/>
              <w:textAlignment w:val="auto"/>
              <w:rPr>
                <w:rFonts w:hint="eastAsia" w:eastAsia="FangSong"/>
                <w:lang w:eastAsia="zh-CN"/>
              </w:rPr>
            </w:pPr>
            <w:r>
              <w:rPr>
                <w:spacing w:val="-22"/>
              </w:rPr>
              <w:t>96.</w:t>
            </w:r>
            <w:r>
              <w:rPr>
                <w:spacing w:val="-41"/>
              </w:rPr>
              <w:t xml:space="preserve"> </w:t>
            </w:r>
            <w:r>
              <w:rPr>
                <w:rFonts w:hint="eastAsia"/>
                <w:spacing w:val="-22"/>
                <w:lang w:val="en-US" w:eastAsia="zh-CN"/>
              </w:rPr>
              <w:t>5</w:t>
            </w:r>
          </w:p>
        </w:tc>
        <w:tc>
          <w:tcPr>
            <w:tcW w:w="1378" w:type="dxa"/>
            <w:vAlign w:val="top"/>
          </w:tcPr>
          <w:p>
            <w:pPr>
              <w:pStyle w:val="22"/>
              <w:keepNext w:val="0"/>
              <w:keepLines w:val="0"/>
              <w:pageBreakBefore w:val="0"/>
              <w:widowControl w:val="0"/>
              <w:kinsoku/>
              <w:wordWrap/>
              <w:overflowPunct/>
              <w:topLinePunct w:val="0"/>
              <w:autoSpaceDE/>
              <w:autoSpaceDN/>
              <w:bidi w:val="0"/>
              <w:adjustRightInd/>
              <w:snapToGrid/>
              <w:spacing w:before="248" w:line="300" w:lineRule="exact"/>
              <w:ind w:left="579"/>
              <w:textAlignment w:val="auto"/>
            </w:pPr>
            <w:r>
              <w:rPr>
                <w:spacing w:val="-1"/>
              </w:rPr>
              <w:t>95</w:t>
            </w:r>
          </w:p>
        </w:tc>
        <w:tc>
          <w:tcPr>
            <w:tcW w:w="1204" w:type="dxa"/>
            <w:vAlign w:val="top"/>
          </w:tcPr>
          <w:p>
            <w:pPr>
              <w:pStyle w:val="22"/>
              <w:keepNext w:val="0"/>
              <w:keepLines w:val="0"/>
              <w:pageBreakBefore w:val="0"/>
              <w:widowControl w:val="0"/>
              <w:kinsoku/>
              <w:wordWrap/>
              <w:overflowPunct/>
              <w:topLinePunct w:val="0"/>
              <w:autoSpaceDE/>
              <w:autoSpaceDN/>
              <w:bidi w:val="0"/>
              <w:adjustRightInd/>
              <w:snapToGrid/>
              <w:spacing w:before="201" w:line="300" w:lineRule="exact"/>
              <w:ind w:left="141"/>
              <w:textAlignment w:val="auto"/>
            </w:pPr>
            <w:r>
              <w:rPr>
                <w:spacing w:val="-2"/>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1099"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tc>
        <w:tc>
          <w:tcPr>
            <w:tcW w:w="869" w:type="dxa"/>
            <w:vAlign w:val="top"/>
          </w:tcPr>
          <w:p>
            <w:pPr>
              <w:pStyle w:val="22"/>
              <w:keepNext w:val="0"/>
              <w:keepLines w:val="0"/>
              <w:pageBreakBefore w:val="0"/>
              <w:widowControl w:val="0"/>
              <w:kinsoku/>
              <w:wordWrap/>
              <w:overflowPunct/>
              <w:topLinePunct w:val="0"/>
              <w:autoSpaceDE/>
              <w:autoSpaceDN/>
              <w:bidi w:val="0"/>
              <w:adjustRightInd/>
              <w:snapToGrid/>
              <w:spacing w:before="281" w:line="300" w:lineRule="exact"/>
              <w:ind w:left="319"/>
              <w:textAlignment w:val="auto"/>
              <w:rPr>
                <w:rFonts w:hint="default" w:eastAsia="FangSong"/>
                <w:lang w:val="en-US" w:eastAsia="zh-CN"/>
              </w:rPr>
            </w:pPr>
            <w:r>
              <w:rPr>
                <w:rFonts w:hint="eastAsia"/>
                <w:spacing w:val="-9"/>
                <w:lang w:val="en-US" w:eastAsia="zh-CN"/>
              </w:rPr>
              <w:t>20</w:t>
            </w:r>
          </w:p>
        </w:tc>
        <w:tc>
          <w:tcPr>
            <w:tcW w:w="3146" w:type="dxa"/>
            <w:vAlign w:val="top"/>
          </w:tcPr>
          <w:p>
            <w:pPr>
              <w:pStyle w:val="22"/>
              <w:keepNext w:val="0"/>
              <w:keepLines w:val="0"/>
              <w:pageBreakBefore w:val="0"/>
              <w:widowControl w:val="0"/>
              <w:kinsoku/>
              <w:wordWrap/>
              <w:overflowPunct/>
              <w:topLinePunct w:val="0"/>
              <w:autoSpaceDE/>
              <w:autoSpaceDN/>
              <w:bidi w:val="0"/>
              <w:adjustRightInd/>
              <w:snapToGrid/>
              <w:spacing w:before="8" w:line="300" w:lineRule="exact"/>
              <w:ind w:left="133" w:right="68" w:firstLine="29"/>
              <w:textAlignment w:val="auto"/>
            </w:pPr>
            <w:r>
              <w:rPr>
                <w:spacing w:val="10"/>
              </w:rPr>
              <w:t>国家卫生</w:t>
            </w:r>
            <w:r>
              <w:rPr>
                <w:rFonts w:hint="eastAsia"/>
                <w:spacing w:val="10"/>
                <w:lang w:eastAsia="zh-CN"/>
              </w:rPr>
              <w:t>县</w:t>
            </w:r>
            <w:r>
              <w:rPr>
                <w:spacing w:val="10"/>
              </w:rPr>
              <w:t>数量占比</w:t>
            </w:r>
            <w:r>
              <w:rPr>
                <w:spacing w:val="2"/>
              </w:rPr>
              <w:t xml:space="preserve"> </w:t>
            </w:r>
            <w:r>
              <w:rPr>
                <w:spacing w:val="-7"/>
              </w:rPr>
              <w:t>（%）</w:t>
            </w:r>
          </w:p>
        </w:tc>
        <w:tc>
          <w:tcPr>
            <w:tcW w:w="1663" w:type="dxa"/>
            <w:vAlign w:val="top"/>
          </w:tcPr>
          <w:p>
            <w:pPr>
              <w:pStyle w:val="22"/>
              <w:keepNext w:val="0"/>
              <w:keepLines w:val="0"/>
              <w:pageBreakBefore w:val="0"/>
              <w:widowControl w:val="0"/>
              <w:kinsoku/>
              <w:wordWrap/>
              <w:overflowPunct/>
              <w:topLinePunct w:val="0"/>
              <w:autoSpaceDE/>
              <w:autoSpaceDN/>
              <w:bidi w:val="0"/>
              <w:adjustRightInd/>
              <w:snapToGrid/>
              <w:spacing w:before="281" w:line="300" w:lineRule="exact"/>
              <w:ind w:left="582"/>
              <w:textAlignment w:val="auto"/>
              <w:rPr>
                <w:rFonts w:hint="eastAsia" w:eastAsia="FangSong"/>
                <w:lang w:eastAsia="zh-CN"/>
              </w:rPr>
            </w:pPr>
            <w:r>
              <w:rPr>
                <w:rFonts w:hint="eastAsia"/>
                <w:spacing w:val="-21"/>
                <w:lang w:val="en-US" w:eastAsia="zh-CN"/>
              </w:rPr>
              <w:t>0</w:t>
            </w:r>
          </w:p>
        </w:tc>
        <w:tc>
          <w:tcPr>
            <w:tcW w:w="1378" w:type="dxa"/>
            <w:vAlign w:val="top"/>
          </w:tcPr>
          <w:p>
            <w:pPr>
              <w:pStyle w:val="22"/>
              <w:keepNext w:val="0"/>
              <w:keepLines w:val="0"/>
              <w:pageBreakBefore w:val="0"/>
              <w:widowControl w:val="0"/>
              <w:kinsoku/>
              <w:wordWrap/>
              <w:overflowPunct/>
              <w:topLinePunct w:val="0"/>
              <w:autoSpaceDE/>
              <w:autoSpaceDN/>
              <w:bidi w:val="0"/>
              <w:adjustRightInd/>
              <w:snapToGrid/>
              <w:spacing w:before="233" w:line="300" w:lineRule="exact"/>
              <w:ind w:left="168" w:firstLine="206" w:firstLineChars="100"/>
              <w:textAlignment w:val="auto"/>
              <w:rPr>
                <w:rFonts w:hint="default" w:eastAsia="FangSong"/>
                <w:lang w:val="en-US" w:eastAsia="zh-CN"/>
              </w:rPr>
            </w:pPr>
            <w:r>
              <w:rPr>
                <w:rFonts w:hint="eastAsia"/>
                <w:spacing w:val="-2"/>
                <w:lang w:val="en-US" w:eastAsia="zh-CN"/>
              </w:rPr>
              <w:t>100</w:t>
            </w:r>
          </w:p>
        </w:tc>
        <w:tc>
          <w:tcPr>
            <w:tcW w:w="1204" w:type="dxa"/>
            <w:vAlign w:val="top"/>
          </w:tcPr>
          <w:p>
            <w:pPr>
              <w:pStyle w:val="22"/>
              <w:keepNext w:val="0"/>
              <w:keepLines w:val="0"/>
              <w:pageBreakBefore w:val="0"/>
              <w:widowControl w:val="0"/>
              <w:kinsoku/>
              <w:wordWrap/>
              <w:overflowPunct/>
              <w:topLinePunct w:val="0"/>
              <w:autoSpaceDE/>
              <w:autoSpaceDN/>
              <w:bidi w:val="0"/>
              <w:adjustRightInd/>
              <w:snapToGrid/>
              <w:spacing w:before="234" w:line="300" w:lineRule="exact"/>
              <w:ind w:left="141"/>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099" w:type="dxa"/>
            <w:vMerge w:val="restart"/>
            <w:tcBorders>
              <w:bottom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line="300" w:lineRule="exact"/>
              <w:ind w:left="297"/>
              <w:textAlignment w:val="auto"/>
              <w:rPr>
                <w:spacing w:val="-4"/>
              </w:rPr>
            </w:pPr>
            <w:r>
              <w:rPr>
                <w:spacing w:val="-4"/>
              </w:rPr>
              <w:t>健康</w:t>
            </w:r>
          </w:p>
          <w:p>
            <w:pPr>
              <w:pStyle w:val="22"/>
              <w:keepNext w:val="0"/>
              <w:keepLines w:val="0"/>
              <w:pageBreakBefore w:val="0"/>
              <w:widowControl w:val="0"/>
              <w:kinsoku/>
              <w:wordWrap/>
              <w:overflowPunct/>
              <w:topLinePunct w:val="0"/>
              <w:autoSpaceDE/>
              <w:autoSpaceDN/>
              <w:bidi w:val="0"/>
              <w:adjustRightInd/>
              <w:snapToGrid/>
              <w:spacing w:line="300" w:lineRule="exact"/>
              <w:ind w:left="299"/>
              <w:textAlignment w:val="auto"/>
            </w:pPr>
            <w:r>
              <w:rPr>
                <w:spacing w:val="-5"/>
              </w:rPr>
              <w:t>保障</w:t>
            </w:r>
          </w:p>
        </w:tc>
        <w:tc>
          <w:tcPr>
            <w:tcW w:w="869" w:type="dxa"/>
            <w:vAlign w:val="top"/>
          </w:tcPr>
          <w:p>
            <w:pPr>
              <w:pStyle w:val="22"/>
              <w:keepNext w:val="0"/>
              <w:keepLines w:val="0"/>
              <w:pageBreakBefore w:val="0"/>
              <w:widowControl w:val="0"/>
              <w:kinsoku/>
              <w:wordWrap/>
              <w:overflowPunct/>
              <w:topLinePunct w:val="0"/>
              <w:autoSpaceDE/>
              <w:autoSpaceDN/>
              <w:bidi w:val="0"/>
              <w:adjustRightInd/>
              <w:snapToGrid/>
              <w:spacing w:before="282" w:line="300" w:lineRule="exact"/>
              <w:ind w:left="319"/>
              <w:textAlignment w:val="auto"/>
              <w:rPr>
                <w:rFonts w:hint="eastAsia" w:eastAsia="FangSong"/>
                <w:lang w:eastAsia="zh-CN"/>
              </w:rPr>
            </w:pPr>
            <w:r>
              <w:rPr>
                <w:spacing w:val="-9"/>
              </w:rPr>
              <w:t>2</w:t>
            </w:r>
            <w:r>
              <w:rPr>
                <w:rFonts w:hint="eastAsia"/>
                <w:spacing w:val="-9"/>
                <w:lang w:val="en-US" w:eastAsia="zh-CN"/>
              </w:rPr>
              <w:t>1</w:t>
            </w:r>
          </w:p>
        </w:tc>
        <w:tc>
          <w:tcPr>
            <w:tcW w:w="3146" w:type="dxa"/>
            <w:vAlign w:val="top"/>
          </w:tcPr>
          <w:p>
            <w:pPr>
              <w:pStyle w:val="22"/>
              <w:keepNext w:val="0"/>
              <w:keepLines w:val="0"/>
              <w:pageBreakBefore w:val="0"/>
              <w:widowControl w:val="0"/>
              <w:kinsoku/>
              <w:wordWrap/>
              <w:overflowPunct/>
              <w:topLinePunct w:val="0"/>
              <w:autoSpaceDE/>
              <w:autoSpaceDN/>
              <w:bidi w:val="0"/>
              <w:adjustRightInd/>
              <w:snapToGrid/>
              <w:spacing w:before="9" w:line="300" w:lineRule="exact"/>
              <w:ind w:left="138" w:right="68" w:hanging="7"/>
              <w:textAlignment w:val="auto"/>
            </w:pPr>
            <w:r>
              <w:rPr>
                <w:spacing w:val="13"/>
              </w:rPr>
              <w:t>个人卫生支出占卫生总</w:t>
            </w:r>
            <w:r>
              <w:rPr>
                <w:spacing w:val="-4"/>
              </w:rPr>
              <w:t>费用的比重（%）</w:t>
            </w:r>
          </w:p>
        </w:tc>
        <w:tc>
          <w:tcPr>
            <w:tcW w:w="1663" w:type="dxa"/>
            <w:vAlign w:val="top"/>
          </w:tcPr>
          <w:p>
            <w:pPr>
              <w:pStyle w:val="22"/>
              <w:keepNext w:val="0"/>
              <w:keepLines w:val="0"/>
              <w:pageBreakBefore w:val="0"/>
              <w:widowControl w:val="0"/>
              <w:kinsoku/>
              <w:wordWrap/>
              <w:overflowPunct/>
              <w:topLinePunct w:val="0"/>
              <w:autoSpaceDE/>
              <w:autoSpaceDN/>
              <w:bidi w:val="0"/>
              <w:adjustRightInd/>
              <w:snapToGrid/>
              <w:spacing w:before="282" w:line="300" w:lineRule="exact"/>
              <w:ind w:left="519"/>
              <w:textAlignment w:val="auto"/>
              <w:rPr>
                <w:rFonts w:hint="default" w:eastAsia="FangSong"/>
                <w:lang w:val="en-US" w:eastAsia="zh-CN"/>
              </w:rPr>
            </w:pPr>
            <w:r>
              <w:rPr>
                <w:rFonts w:hint="eastAsia"/>
                <w:spacing w:val="-22"/>
                <w:lang w:val="en-US" w:eastAsia="zh-CN"/>
              </w:rPr>
              <w:t>20</w:t>
            </w:r>
          </w:p>
        </w:tc>
        <w:tc>
          <w:tcPr>
            <w:tcW w:w="1378" w:type="dxa"/>
            <w:vAlign w:val="top"/>
          </w:tcPr>
          <w:p>
            <w:pPr>
              <w:pStyle w:val="22"/>
              <w:keepNext w:val="0"/>
              <w:keepLines w:val="0"/>
              <w:pageBreakBefore w:val="0"/>
              <w:widowControl w:val="0"/>
              <w:kinsoku/>
              <w:wordWrap/>
              <w:overflowPunct/>
              <w:topLinePunct w:val="0"/>
              <w:autoSpaceDE/>
              <w:autoSpaceDN/>
              <w:bidi w:val="0"/>
              <w:adjustRightInd/>
              <w:snapToGrid/>
              <w:spacing w:before="235" w:line="300" w:lineRule="exact"/>
              <w:ind w:left="465"/>
              <w:textAlignment w:val="auto"/>
              <w:rPr>
                <w:rFonts w:hint="eastAsia" w:eastAsia="FangSong"/>
                <w:lang w:val="en-US" w:eastAsia="zh-CN"/>
              </w:rPr>
            </w:pPr>
            <w:r>
              <w:rPr>
                <w:spacing w:val="-11"/>
              </w:rPr>
              <w:t>＜2</w:t>
            </w:r>
            <w:r>
              <w:rPr>
                <w:rFonts w:hint="eastAsia"/>
                <w:spacing w:val="-11"/>
                <w:lang w:val="en-US" w:eastAsia="zh-CN"/>
              </w:rPr>
              <w:t>7</w:t>
            </w:r>
          </w:p>
        </w:tc>
        <w:tc>
          <w:tcPr>
            <w:tcW w:w="1204" w:type="dxa"/>
            <w:vAlign w:val="top"/>
          </w:tcPr>
          <w:p>
            <w:pPr>
              <w:pStyle w:val="22"/>
              <w:keepNext w:val="0"/>
              <w:keepLines w:val="0"/>
              <w:pageBreakBefore w:val="0"/>
              <w:widowControl w:val="0"/>
              <w:kinsoku/>
              <w:wordWrap/>
              <w:overflowPunct/>
              <w:topLinePunct w:val="0"/>
              <w:autoSpaceDE/>
              <w:autoSpaceDN/>
              <w:bidi w:val="0"/>
              <w:adjustRightInd/>
              <w:snapToGrid/>
              <w:spacing w:before="235" w:line="300" w:lineRule="exact"/>
              <w:ind w:left="141"/>
              <w:textAlignment w:val="auto"/>
            </w:pPr>
            <w:r>
              <w:rPr>
                <w:spacing w:val="-2"/>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6" w:hRule="atLeast"/>
        </w:trPr>
        <w:tc>
          <w:tcPr>
            <w:tcW w:w="1099"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tc>
        <w:tc>
          <w:tcPr>
            <w:tcW w:w="869"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319"/>
              <w:textAlignment w:val="auto"/>
              <w:rPr>
                <w:rFonts w:hint="eastAsia" w:eastAsia="FangSong"/>
                <w:lang w:val="en-US" w:eastAsia="zh-CN"/>
              </w:rPr>
            </w:pPr>
            <w:r>
              <w:rPr>
                <w:spacing w:val="-9"/>
              </w:rPr>
              <w:t>2</w:t>
            </w:r>
            <w:r>
              <w:rPr>
                <w:rFonts w:hint="eastAsia"/>
                <w:spacing w:val="-9"/>
                <w:lang w:val="en-US" w:eastAsia="zh-CN"/>
              </w:rPr>
              <w:t>2</w:t>
            </w:r>
          </w:p>
        </w:tc>
        <w:tc>
          <w:tcPr>
            <w:tcW w:w="3146" w:type="dxa"/>
            <w:vAlign w:val="top"/>
          </w:tcPr>
          <w:p>
            <w:pPr>
              <w:pStyle w:val="22"/>
              <w:keepNext w:val="0"/>
              <w:keepLines w:val="0"/>
              <w:pageBreakBefore w:val="0"/>
              <w:widowControl w:val="0"/>
              <w:kinsoku/>
              <w:wordWrap/>
              <w:overflowPunct/>
              <w:topLinePunct w:val="0"/>
              <w:autoSpaceDE/>
              <w:autoSpaceDN/>
              <w:bidi w:val="0"/>
              <w:adjustRightInd/>
              <w:snapToGrid/>
              <w:spacing w:before="112" w:line="300" w:lineRule="exact"/>
              <w:ind w:left="133" w:right="68" w:hanging="4"/>
              <w:jc w:val="both"/>
              <w:textAlignment w:val="auto"/>
            </w:pPr>
            <w:r>
              <w:rPr>
                <w:spacing w:val="13"/>
              </w:rPr>
              <w:t>职工和城乡居民医保政策范围内住院费用支付</w:t>
            </w:r>
            <w:r>
              <w:rPr>
                <w:spacing w:val="-6"/>
              </w:rPr>
              <w:t>比例（%）</w:t>
            </w:r>
          </w:p>
        </w:tc>
        <w:tc>
          <w:tcPr>
            <w:tcW w:w="1663" w:type="dxa"/>
            <w:vAlign w:val="top"/>
          </w:tcPr>
          <w:p>
            <w:pPr>
              <w:pStyle w:val="22"/>
              <w:keepNext w:val="0"/>
              <w:keepLines w:val="0"/>
              <w:pageBreakBefore w:val="0"/>
              <w:widowControl w:val="0"/>
              <w:kinsoku/>
              <w:wordWrap/>
              <w:overflowPunct/>
              <w:topLinePunct w:val="0"/>
              <w:autoSpaceDE/>
              <w:autoSpaceDN/>
              <w:bidi w:val="0"/>
              <w:adjustRightInd/>
              <w:snapToGrid/>
              <w:spacing w:before="219" w:line="300" w:lineRule="exact"/>
              <w:ind w:left="313"/>
              <w:textAlignment w:val="auto"/>
            </w:pPr>
            <w:r>
              <w:rPr>
                <w:spacing w:val="-5"/>
                <w:position w:val="22"/>
              </w:rPr>
              <w:t>职工≥80</w:t>
            </w:r>
          </w:p>
          <w:p>
            <w:pPr>
              <w:pStyle w:val="22"/>
              <w:keepNext w:val="0"/>
              <w:keepLines w:val="0"/>
              <w:pageBreakBefore w:val="0"/>
              <w:widowControl w:val="0"/>
              <w:kinsoku/>
              <w:wordWrap/>
              <w:overflowPunct/>
              <w:topLinePunct w:val="0"/>
              <w:autoSpaceDE/>
              <w:autoSpaceDN/>
              <w:bidi w:val="0"/>
              <w:adjustRightInd/>
              <w:snapToGrid/>
              <w:spacing w:line="300" w:lineRule="exact"/>
              <w:ind w:left="314"/>
              <w:textAlignment w:val="auto"/>
              <w:rPr>
                <w:rFonts w:hint="default" w:eastAsia="FangSong"/>
                <w:lang w:val="en-US" w:eastAsia="zh-CN"/>
              </w:rPr>
            </w:pPr>
            <w:r>
              <w:rPr>
                <w:spacing w:val="-4"/>
              </w:rPr>
              <w:t>居民≥</w:t>
            </w:r>
            <w:r>
              <w:rPr>
                <w:rFonts w:hint="eastAsia"/>
                <w:spacing w:val="-4"/>
                <w:lang w:val="en-US" w:eastAsia="zh-CN"/>
              </w:rPr>
              <w:t>80</w:t>
            </w:r>
          </w:p>
        </w:tc>
        <w:tc>
          <w:tcPr>
            <w:tcW w:w="1378"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167"/>
              <w:textAlignment w:val="auto"/>
            </w:pPr>
            <w:r>
              <w:rPr>
                <w:spacing w:val="-2"/>
              </w:rPr>
              <w:t>保持稳定</w:t>
            </w:r>
          </w:p>
        </w:tc>
        <w:tc>
          <w:tcPr>
            <w:tcW w:w="1204"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141"/>
              <w:textAlignment w:val="auto"/>
            </w:pPr>
            <w:r>
              <w:rPr>
                <w:spacing w:val="-2"/>
              </w:rPr>
              <w:t>约束性</w:t>
            </w:r>
          </w:p>
        </w:tc>
      </w:tr>
    </w:tbl>
    <w:p>
      <w:pPr>
        <w:rPr>
          <w:rFonts w:ascii="Arial"/>
          <w:sz w:val="21"/>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SimHei" w:hAnsi="SimHei" w:eastAsia="SimHei" w:cs="SimHei"/>
          <w:b w:val="0"/>
          <w:bCs w:val="0"/>
          <w:sz w:val="32"/>
          <w:szCs w:val="32"/>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SimHei" w:hAnsi="SimHei" w:eastAsia="SimHei" w:cs="SimHei"/>
          <w:b w:val="0"/>
          <w:bCs w:val="0"/>
          <w:sz w:val="32"/>
          <w:szCs w:val="32"/>
        </w:rPr>
      </w:pPr>
      <w:r>
        <w:rPr>
          <w:rFonts w:hint="eastAsia" w:ascii="SimHei" w:hAnsi="SimHei" w:eastAsia="SimHei" w:cs="SimHei"/>
          <w:b w:val="0"/>
          <w:bCs w:val="0"/>
          <w:sz w:val="32"/>
          <w:szCs w:val="32"/>
        </w:rPr>
        <w:t>第三章  重点任务</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KaiTi" w:hAnsi="KaiTi" w:eastAsia="KaiTi" w:cs="Microsoft YaHei"/>
          <w:b w:val="0"/>
          <w:bCs w:val="0"/>
          <w:sz w:val="32"/>
          <w:szCs w:val="32"/>
        </w:rPr>
      </w:pPr>
    </w:p>
    <w:p>
      <w:pPr>
        <w:keepNext w:val="0"/>
        <w:keepLines w:val="0"/>
        <w:pageBreakBefore w:val="0"/>
        <w:widowControl w:val="0"/>
        <w:kinsoku/>
        <w:wordWrap/>
        <w:overflowPunct/>
        <w:topLinePunct w:val="0"/>
        <w:autoSpaceDE/>
        <w:autoSpaceDN/>
        <w:bidi w:val="0"/>
        <w:spacing w:line="600" w:lineRule="exact"/>
        <w:ind w:firstLine="640" w:firstLineChars="200"/>
        <w:jc w:val="center"/>
        <w:textAlignment w:val="auto"/>
        <w:rPr>
          <w:rFonts w:hint="eastAsia" w:ascii="SimHei" w:hAnsi="SimHei" w:eastAsia="SimHei" w:cs="SimHei"/>
          <w:b w:val="0"/>
          <w:bCs w:val="0"/>
          <w:sz w:val="32"/>
          <w:szCs w:val="32"/>
          <w:shd w:val="clear" w:color="auto" w:fill="FFFFFF"/>
        </w:rPr>
      </w:pPr>
      <w:r>
        <w:rPr>
          <w:rFonts w:hint="eastAsia" w:ascii="SimHei" w:hAnsi="SimHei" w:eastAsia="SimHei" w:cs="SimHei"/>
          <w:b w:val="0"/>
          <w:bCs w:val="0"/>
          <w:sz w:val="32"/>
          <w:szCs w:val="32"/>
        </w:rPr>
        <w:t xml:space="preserve">第一节  </w:t>
      </w:r>
      <w:r>
        <w:rPr>
          <w:rFonts w:hint="eastAsia" w:ascii="SimHei" w:hAnsi="SimHei" w:eastAsia="SimHei" w:cs="SimHei"/>
          <w:b w:val="0"/>
          <w:bCs w:val="0"/>
          <w:sz w:val="32"/>
          <w:szCs w:val="32"/>
          <w:shd w:val="clear" w:color="auto" w:fill="FFFFFF"/>
        </w:rPr>
        <w:t>实施“健康峨边”战略</w:t>
      </w:r>
    </w:p>
    <w:p>
      <w:pPr>
        <w:keepNext w:val="0"/>
        <w:keepLines w:val="0"/>
        <w:pageBreakBefore w:val="0"/>
        <w:widowControl w:val="0"/>
        <w:kinsoku/>
        <w:wordWrap/>
        <w:overflowPunct/>
        <w:topLinePunct w:val="0"/>
        <w:autoSpaceDE/>
        <w:autoSpaceDN/>
        <w:bidi w:val="0"/>
        <w:spacing w:line="600" w:lineRule="exact"/>
        <w:ind w:firstLine="640" w:firstLineChars="200"/>
        <w:jc w:val="center"/>
        <w:textAlignment w:val="auto"/>
        <w:rPr>
          <w:rFonts w:hint="eastAsia" w:ascii="SimHei" w:hAnsi="SimHei" w:eastAsia="SimHei" w:cs="SimHei"/>
          <w:b w:val="0"/>
          <w:bCs w:val="0"/>
          <w:sz w:val="32"/>
          <w:szCs w:val="32"/>
          <w:shd w:val="clear" w:color="auto" w:fill="FFFFFF"/>
        </w:rPr>
      </w:pP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FangSong_GB2312" w:eastAsia="FangSong_GB2312"/>
          <w:sz w:val="32"/>
          <w:szCs w:val="32"/>
        </w:rPr>
      </w:pPr>
      <w:r>
        <w:rPr>
          <w:rFonts w:hint="eastAsia" w:ascii="FangSong_GB2312" w:eastAsia="FangSong_GB2312"/>
          <w:sz w:val="32"/>
          <w:szCs w:val="32"/>
        </w:rPr>
        <w:t>坚持全民参与，推进社会共建共享，推动从以治病为中心转变为以保障人民健康为中心，实施健康知识普及、合理膳食、全民健身、控烟、心理健康促进、健康环境促进、中医药健康促进、妇幼健康促进、中小学健康促进、职业健康保护、老年健康促进、心脑血管疾病防治、癌症防治、慢性呼吸系统疾病防治、糖尿病防治、传染病及地方病防控等，健全全社会预防为主的健康峨边体系。</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FangSong_GB2312" w:eastAsia="FangSong_GB2312"/>
          <w:sz w:val="32"/>
          <w:szCs w:val="32"/>
        </w:rPr>
      </w:pPr>
    </w:p>
    <w:p>
      <w:pPr>
        <w:keepNext w:val="0"/>
        <w:keepLines w:val="0"/>
        <w:pageBreakBefore w:val="0"/>
        <w:widowControl w:val="0"/>
        <w:kinsoku/>
        <w:wordWrap/>
        <w:overflowPunct/>
        <w:topLinePunct w:val="0"/>
        <w:autoSpaceDE/>
        <w:autoSpaceDN/>
        <w:bidi w:val="0"/>
        <w:spacing w:line="600" w:lineRule="exact"/>
        <w:ind w:firstLine="640" w:firstLineChars="200"/>
        <w:jc w:val="center"/>
        <w:textAlignment w:val="auto"/>
        <w:rPr>
          <w:rFonts w:hint="eastAsia" w:ascii="SimHei" w:hAnsi="SimHei" w:eastAsia="SimHei" w:cs="SimHei"/>
          <w:b w:val="0"/>
          <w:bCs w:val="0"/>
          <w:sz w:val="32"/>
          <w:szCs w:val="32"/>
        </w:rPr>
      </w:pPr>
      <w:r>
        <w:rPr>
          <w:rFonts w:hint="eastAsia" w:ascii="SimHei" w:hAnsi="SimHei" w:eastAsia="SimHei" w:cs="SimHei"/>
          <w:b w:val="0"/>
          <w:bCs w:val="0"/>
          <w:sz w:val="32"/>
          <w:szCs w:val="32"/>
        </w:rPr>
        <w:t>第二节  创建国家卫生县</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SimHei" w:hAnsi="SimHei" w:eastAsia="SimHei" w:cs="SimHei"/>
          <w:b w:val="0"/>
          <w:bCs w:val="0"/>
          <w:sz w:val="32"/>
          <w:szCs w:val="32"/>
          <w:lang w:eastAsia="zh-CN"/>
        </w:rPr>
      </w:pPr>
    </w:p>
    <w:p>
      <w:pPr>
        <w:keepNext w:val="0"/>
        <w:keepLines w:val="0"/>
        <w:pageBreakBefore w:val="0"/>
        <w:kinsoku/>
        <w:wordWrap/>
        <w:overflowPunct/>
        <w:topLinePunct w:val="0"/>
        <w:autoSpaceDE/>
        <w:autoSpaceDN/>
        <w:bidi w:val="0"/>
        <w:snapToGrid/>
        <w:spacing w:line="600" w:lineRule="exact"/>
        <w:ind w:firstLine="64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一、强化健康教育</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KaiTi" w:hAnsi="KaiTi" w:eastAsia="KaiTi" w:cs="Microsoft YaHei"/>
          <w:b/>
          <w:bCs/>
          <w:sz w:val="32"/>
          <w:szCs w:val="32"/>
        </w:rPr>
      </w:pPr>
      <w:r>
        <w:rPr>
          <w:rFonts w:hint="eastAsia" w:ascii="FangSong_GB2312" w:hAnsi="KaiTi" w:eastAsia="FangSong_GB2312" w:cs="KaiTi_GB2312"/>
          <w:bCs/>
          <w:kern w:val="0"/>
          <w:sz w:val="32"/>
          <w:szCs w:val="32"/>
        </w:rPr>
        <w:t>坚持把</w:t>
      </w:r>
      <w:r>
        <w:rPr>
          <w:rFonts w:hint="eastAsia" w:ascii="FangSong_GB2312" w:hAnsi="FangSong" w:eastAsia="FangSong_GB2312" w:cs="FangSong_GB2312"/>
          <w:bCs/>
          <w:sz w:val="32"/>
          <w:szCs w:val="32"/>
        </w:rPr>
        <w:t>培养</w:t>
      </w:r>
      <w:r>
        <w:rPr>
          <w:rFonts w:hint="eastAsia" w:ascii="FangSong_GB2312" w:hAnsi="FangSong" w:eastAsia="SimSun" w:cs="FangSong_GB2312"/>
          <w:bCs/>
          <w:sz w:val="32"/>
          <w:szCs w:val="32"/>
          <w:lang w:eastAsia="zh-CN"/>
        </w:rPr>
        <w:t>增强</w:t>
      </w:r>
      <w:r>
        <w:rPr>
          <w:rFonts w:hint="eastAsia" w:ascii="FangSong_GB2312" w:hAnsi="FangSong" w:eastAsia="FangSong_GB2312" w:cs="FangSong_GB2312"/>
          <w:bCs/>
          <w:sz w:val="32"/>
          <w:szCs w:val="32"/>
        </w:rPr>
        <w:t>群众的健康意识和卫生意识作为创卫工作的切入点和着力点，强化宣传教育，</w:t>
      </w:r>
      <w:r>
        <w:rPr>
          <w:rFonts w:hint="eastAsia" w:ascii="FangSong_GB2312" w:eastAsia="FangSong_GB2312"/>
          <w:sz w:val="32"/>
          <w:szCs w:val="32"/>
        </w:rPr>
        <w:t>提升健康教育工作水平，</w:t>
      </w:r>
      <w:r>
        <w:rPr>
          <w:rFonts w:hint="eastAsia" w:ascii="FangSong_GB2312" w:hAnsi="FangSong" w:eastAsia="FangSong_GB2312" w:cs="FangSong_GB2312"/>
          <w:bCs/>
          <w:sz w:val="32"/>
          <w:szCs w:val="32"/>
        </w:rPr>
        <w:t>正向引领舆论方向，</w:t>
      </w:r>
      <w:r>
        <w:rPr>
          <w:rFonts w:hint="eastAsia" w:ascii="FangSong_GB2312" w:eastAsia="FangSong_GB2312"/>
          <w:sz w:val="32"/>
          <w:szCs w:val="32"/>
        </w:rPr>
        <w:t>提高健康教育的针对性、精准性和实效性，引导群众建立正确健康观。加强公共卫生防控知识宣传教育，加强早期干预，</w:t>
      </w:r>
      <w:r>
        <w:rPr>
          <w:rFonts w:hint="eastAsia" w:ascii="FangSong_GB2312" w:eastAsia="SimSun"/>
          <w:sz w:val="32"/>
          <w:szCs w:val="32"/>
          <w:lang w:eastAsia="zh-CN"/>
        </w:rPr>
        <w:t>增强</w:t>
      </w:r>
      <w:r>
        <w:rPr>
          <w:rFonts w:hint="eastAsia" w:ascii="FangSong_GB2312" w:eastAsia="FangSong_GB2312"/>
          <w:sz w:val="32"/>
          <w:szCs w:val="32"/>
        </w:rPr>
        <w:t>公众自我防护意识和能力，形成有利于健康的生活方式、生态环境和社会环境，延长健康寿命。</w:t>
      </w:r>
    </w:p>
    <w:p>
      <w:pPr>
        <w:keepNext w:val="0"/>
        <w:keepLines w:val="0"/>
        <w:pageBreakBefore w:val="0"/>
        <w:kinsoku/>
        <w:wordWrap/>
        <w:overflowPunct/>
        <w:topLinePunct w:val="0"/>
        <w:autoSpaceDE/>
        <w:autoSpaceDN/>
        <w:bidi w:val="0"/>
        <w:snapToGrid/>
        <w:spacing w:line="600" w:lineRule="exact"/>
        <w:ind w:firstLine="64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二、健全工作机制</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KaiTi" w:hAnsi="KaiTi" w:eastAsia="KaiTi" w:cs="Microsoft YaHei"/>
          <w:b/>
          <w:bCs/>
          <w:sz w:val="32"/>
          <w:szCs w:val="32"/>
        </w:rPr>
      </w:pPr>
      <w:r>
        <w:rPr>
          <w:rFonts w:hint="eastAsia" w:ascii="FangSong_GB2312" w:hAnsi="FangSong" w:eastAsia="FangSong_GB2312" w:cs="FangSong_GB2312"/>
          <w:bCs/>
          <w:sz w:val="32"/>
          <w:szCs w:val="32"/>
        </w:rPr>
        <w:t>建立“四大家”一把手包片、县级领导包街、部门包段和“门前三包</w:t>
      </w:r>
      <w:r>
        <w:rPr>
          <w:rFonts w:hint="eastAsia" w:ascii="FangSong_GB2312" w:hAnsi="FangSong" w:eastAsia="SimSun" w:cs="FangSong_GB2312"/>
          <w:bCs/>
          <w:sz w:val="32"/>
          <w:szCs w:val="32"/>
          <w:lang w:eastAsia="zh-CN"/>
        </w:rPr>
        <w:t>”“</w:t>
      </w:r>
      <w:r>
        <w:rPr>
          <w:rFonts w:hint="eastAsia" w:ascii="FangSong_GB2312" w:hAnsi="FangSong" w:eastAsia="FangSong_GB2312" w:cs="FangSong_GB2312"/>
          <w:bCs/>
          <w:sz w:val="32"/>
          <w:szCs w:val="32"/>
        </w:rPr>
        <w:t>院内四自”责任制，形成爱国卫生管理体制、志愿者服务机制、常态化保洁机制和考核激励机制。不断强化督导，设立创卫曝光台和举报投诉电话，组织专班专人对各部门的创卫工作开展情况进行专项督查、定期督查、每天巡查等，形成立体式、全方位、制度化、常态化创卫工作格局。</w:t>
      </w:r>
    </w:p>
    <w:p>
      <w:pPr>
        <w:keepNext w:val="0"/>
        <w:keepLines w:val="0"/>
        <w:pageBreakBefore w:val="0"/>
        <w:kinsoku/>
        <w:wordWrap/>
        <w:overflowPunct/>
        <w:topLinePunct w:val="0"/>
        <w:autoSpaceDE/>
        <w:autoSpaceDN/>
        <w:bidi w:val="0"/>
        <w:snapToGrid/>
        <w:spacing w:line="600" w:lineRule="exact"/>
        <w:ind w:firstLine="64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三、攻克关键难点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FangSong_GB2312" w:hAnsi="FangSong_GB2312" w:eastAsia="FangSong_GB2312" w:cs="FangSong_GB2312"/>
          <w:sz w:val="32"/>
          <w:szCs w:val="32"/>
        </w:rPr>
      </w:pPr>
      <w:r>
        <w:rPr>
          <w:rFonts w:hint="eastAsia" w:ascii="FangSong_GB2312" w:hAnsi="FangSong" w:eastAsia="FangSong_GB2312" w:cs="FangSong_GB2312"/>
          <w:bCs/>
          <w:sz w:val="32"/>
          <w:szCs w:val="32"/>
        </w:rPr>
        <w:t>坚持将创卫工作的重点难点和薄弱环节作为主要发力点，对症下药，查病处方，</w:t>
      </w:r>
      <w:r>
        <w:rPr>
          <w:rFonts w:hint="eastAsia" w:ascii="FangSong_GB2312" w:hAnsi="KaiTi" w:eastAsia="FangSong_GB2312" w:cs="KaiTi_GB2312"/>
          <w:bCs/>
          <w:kern w:val="0"/>
          <w:sz w:val="32"/>
          <w:szCs w:val="32"/>
        </w:rPr>
        <w:t>重拳整治</w:t>
      </w:r>
      <w:r>
        <w:rPr>
          <w:rFonts w:hint="eastAsia" w:ascii="FangSong_GB2312" w:hAnsi="FangSong" w:eastAsia="FangSong_GB2312" w:cs="FangSong_GB2312"/>
          <w:bCs/>
          <w:sz w:val="32"/>
          <w:szCs w:val="32"/>
        </w:rPr>
        <w:t>垃圾乱倒、车辆乱停、污水乱排、摊位乱摆、违章搭建、废旧物资堆放无序</w:t>
      </w:r>
      <w:r>
        <w:rPr>
          <w:rFonts w:hint="eastAsia" w:ascii="FangSong_GB2312" w:hAnsi="KaiTi" w:eastAsia="FangSong_GB2312" w:cs="KaiTi_GB2312"/>
          <w:bCs/>
          <w:kern w:val="0"/>
          <w:sz w:val="32"/>
          <w:szCs w:val="32"/>
        </w:rPr>
        <w:t>等顽疾</w:t>
      </w:r>
      <w:r>
        <w:rPr>
          <w:rFonts w:hint="eastAsia" w:ascii="FangSong_GB2312" w:hAnsi="FangSong" w:eastAsia="FangSong_GB2312" w:cs="FangSong_GB2312"/>
          <w:bCs/>
          <w:sz w:val="32"/>
          <w:szCs w:val="32"/>
        </w:rPr>
        <w:t>。狠抓卫生清洁，实行区域分工，责任到人，奖惩分明，确保保洁质量。开展广告</w:t>
      </w:r>
      <w:r>
        <w:rPr>
          <w:rFonts w:hint="eastAsia" w:ascii="FangSong_GB2312" w:hAnsi="FangSong_GB2312" w:eastAsia="FangSong_GB2312" w:cs="FangSong_GB2312"/>
          <w:sz w:val="32"/>
          <w:szCs w:val="32"/>
        </w:rPr>
        <w:t>整治，清理“牛皮癣”及破旧、过时广告，拆除过时横幅标语、灯箱广告。理顺市场秩序，合理设置功能分区，张贴标志标牌及告示牌，规范摊位</w:t>
      </w:r>
      <w:r>
        <w:rPr>
          <w:rFonts w:hint="eastAsia" w:ascii="FangSong_GB2312" w:hAnsi="FangSong_GB2312" w:eastAsia="FangSong_GB2312" w:cs="FangSong_GB2312"/>
          <w:sz w:val="32"/>
          <w:szCs w:val="32"/>
          <w:lang w:eastAsia="zh-CN"/>
        </w:rPr>
        <w:t>布局</w:t>
      </w:r>
      <w:r>
        <w:rPr>
          <w:rFonts w:hint="eastAsia" w:ascii="FangSong_GB2312" w:hAnsi="FangSong_GB2312" w:eastAsia="FangSong_GB2312" w:cs="FangSong_GB2312"/>
          <w:sz w:val="32"/>
          <w:szCs w:val="32"/>
        </w:rPr>
        <w:t>，强化夜市摊贩、流动商贩定点</w:t>
      </w:r>
      <w:r>
        <w:rPr>
          <w:rFonts w:hint="eastAsia" w:ascii="FangSong_GB2312" w:hAnsi="FangSong_GB2312" w:eastAsia="FangSong_GB2312" w:cs="FangSong_GB2312"/>
          <w:sz w:val="32"/>
          <w:szCs w:val="32"/>
          <w:lang w:eastAsia="zh-CN"/>
        </w:rPr>
        <w:t>定时</w:t>
      </w:r>
      <w:r>
        <w:rPr>
          <w:rFonts w:hint="eastAsia" w:ascii="FangSong_GB2312" w:hAnsi="FangSong_GB2312" w:eastAsia="FangSong_GB2312" w:cs="FangSong_GB2312"/>
          <w:sz w:val="32"/>
          <w:szCs w:val="32"/>
        </w:rPr>
        <w:t>经营，</w:t>
      </w:r>
      <w:r>
        <w:rPr>
          <w:rFonts w:hint="eastAsia" w:ascii="FangSong_GB2312" w:hAnsi="FangSong_GB2312" w:eastAsia="FangSong_GB2312" w:cs="FangSong_GB2312"/>
          <w:sz w:val="32"/>
          <w:szCs w:val="32"/>
          <w:lang w:eastAsia="zh-CN"/>
        </w:rPr>
        <w:t>行商归</w:t>
      </w:r>
      <w:r>
        <w:rPr>
          <w:rFonts w:hint="eastAsia" w:ascii="FangSong_GB2312" w:hAnsi="FangSong_GB2312" w:eastAsia="FangSong_GB2312" w:cs="FangSong_GB2312"/>
          <w:sz w:val="32"/>
          <w:szCs w:val="32"/>
        </w:rPr>
        <w:t>市</w:t>
      </w:r>
      <w:r>
        <w:rPr>
          <w:rFonts w:hint="eastAsia" w:ascii="FangSong_GB2312" w:hAnsi="FangSong_GB2312" w:eastAsia="FangSong_GB2312" w:cs="FangSong_GB2312"/>
          <w:sz w:val="32"/>
          <w:szCs w:val="32"/>
          <w:lang w:eastAsia="zh-CN"/>
        </w:rPr>
        <w:t>坐</w:t>
      </w:r>
      <w:r>
        <w:rPr>
          <w:rFonts w:hint="eastAsia" w:ascii="FangSong_GB2312" w:hAnsi="FangSong_GB2312" w:eastAsia="FangSong_GB2312" w:cs="FangSong_GB2312"/>
          <w:sz w:val="32"/>
          <w:szCs w:val="32"/>
        </w:rPr>
        <w:t>商归店，纠正违规占道行为。</w:t>
      </w:r>
    </w:p>
    <w:p>
      <w:pPr>
        <w:keepNext w:val="0"/>
        <w:keepLines w:val="0"/>
        <w:pageBreakBefore w:val="0"/>
        <w:kinsoku/>
        <w:wordWrap/>
        <w:overflowPunct/>
        <w:topLinePunct w:val="0"/>
        <w:autoSpaceDE/>
        <w:autoSpaceDN/>
        <w:bidi w:val="0"/>
        <w:snapToGrid/>
        <w:spacing w:line="600" w:lineRule="exact"/>
        <w:ind w:firstLine="64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四、促进提质增效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完善基础设施建设，着力强化环境保护、执法监管，加大病源防治，传染病防治，全方位、多角度、宽领域、深层次推进创建工作，确保“四川省卫生县城”复审过关，国家卫生县、省级文明城市双创成功。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FangSong_GB2312" w:hAnsi="FangSong_GB2312" w:eastAsia="FangSong_GB2312" w:cs="FangSong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SimHei" w:hAnsi="SimHei" w:eastAsia="SimHei" w:cs="SimHei"/>
          <w:sz w:val="32"/>
          <w:szCs w:val="32"/>
        </w:rPr>
      </w:pPr>
      <w:r>
        <w:rPr>
          <w:rFonts w:hint="eastAsia" w:ascii="SimHei" w:hAnsi="SimHei" w:eastAsia="SimHei" w:cs="SimHei"/>
          <w:sz w:val="32"/>
          <w:szCs w:val="32"/>
        </w:rPr>
        <w:t>第三节 完善三大服务体系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SimHei" w:hAnsi="SimHei" w:eastAsia="SimHei" w:cs="SimHei"/>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FangSong_GB2312" w:hAnsi="FangSong" w:eastAsia="FangSong_GB2312" w:cs="FangSong_GB2312"/>
          <w:bCs/>
          <w:sz w:val="32"/>
          <w:szCs w:val="32"/>
        </w:rPr>
      </w:pPr>
      <w:r>
        <w:rPr>
          <w:rFonts w:hint="eastAsia" w:ascii="FangSong_GB2312" w:hAnsi="FangSong_GB2312" w:eastAsia="FangSong_GB2312" w:cs="FangSong_GB2312"/>
          <w:sz w:val="32"/>
          <w:szCs w:val="32"/>
        </w:rPr>
        <w:t>进</w:t>
      </w:r>
      <w:r>
        <w:rPr>
          <w:rFonts w:hint="eastAsia" w:ascii="FangSong_GB2312" w:hAnsi="FangSong" w:eastAsia="FangSong_GB2312" w:cs="FangSong_GB2312"/>
          <w:bCs/>
          <w:sz w:val="32"/>
          <w:szCs w:val="32"/>
        </w:rPr>
        <w:t>一步完善县、乡、村三级医疗机构组成的城乡三级卫生服务体系，实现医疗、预防、保健等功能齐备、布局合理、运作有序，完善公共卫生预防控制、诊疗服务、中医健康服务三大体系建设。</w:t>
      </w:r>
    </w:p>
    <w:p>
      <w:pPr>
        <w:keepNext w:val="0"/>
        <w:keepLines w:val="0"/>
        <w:pageBreakBefore w:val="0"/>
        <w:kinsoku/>
        <w:wordWrap/>
        <w:overflowPunct/>
        <w:topLinePunct w:val="0"/>
        <w:autoSpaceDE/>
        <w:autoSpaceDN/>
        <w:bidi w:val="0"/>
        <w:snapToGrid/>
        <w:spacing w:line="600" w:lineRule="exact"/>
        <w:ind w:firstLine="64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一、完善公共卫生预防控制体系</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FangSong_GB2312" w:hAnsi="FangSong" w:eastAsia="FangSong_GB2312" w:cs="FangSong_GB2312"/>
          <w:bCs/>
          <w:sz w:val="32"/>
          <w:szCs w:val="32"/>
        </w:rPr>
      </w:pPr>
      <w:r>
        <w:rPr>
          <w:rFonts w:hint="eastAsia" w:ascii="FangSong_GB2312" w:hAnsi="FangSong" w:eastAsia="FangSong_GB2312" w:cs="FangSong_GB2312"/>
          <w:bCs/>
          <w:sz w:val="32"/>
          <w:szCs w:val="32"/>
        </w:rPr>
        <w:t>建设以综合医院、专科医院、乡镇卫生院为一体的疾病预防控制体系。</w:t>
      </w:r>
      <w:r>
        <w:rPr>
          <w:rFonts w:hint="eastAsia" w:ascii="FangSong_GB2312" w:hAnsi="FangSong" w:eastAsia="FangSong_GB2312" w:cs="FangSong_GB2312"/>
          <w:bCs/>
          <w:sz w:val="32"/>
          <w:szCs w:val="32"/>
          <w:lang w:eastAsia="zh-CN"/>
        </w:rPr>
        <w:t>规范</w:t>
      </w:r>
      <w:r>
        <w:rPr>
          <w:rFonts w:hint="eastAsia" w:ascii="FangSong_GB2312" w:hAnsi="FangSong" w:eastAsia="FangSong_GB2312" w:cs="FangSong_GB2312"/>
          <w:bCs/>
          <w:sz w:val="32"/>
          <w:szCs w:val="32"/>
        </w:rPr>
        <w:t>县人民医院</w:t>
      </w:r>
      <w:r>
        <w:rPr>
          <w:rFonts w:hint="eastAsia" w:ascii="FangSong_GB2312" w:hAnsi="FangSong" w:eastAsia="FangSong_GB2312" w:cs="FangSong_GB2312"/>
          <w:bCs/>
          <w:sz w:val="32"/>
          <w:szCs w:val="32"/>
          <w:lang w:eastAsia="zh-CN"/>
        </w:rPr>
        <w:t>、县中医院</w:t>
      </w:r>
      <w:r>
        <w:rPr>
          <w:rFonts w:hint="eastAsia" w:ascii="FangSong_GB2312" w:hAnsi="FangSong" w:eastAsia="FangSong_GB2312" w:cs="FangSong_GB2312"/>
          <w:bCs/>
          <w:sz w:val="32"/>
          <w:szCs w:val="32"/>
        </w:rPr>
        <w:t>发热门诊，加强疾病预防控制和妇幼保健机构建设，实施疾控中心迁建和妇幼保健机构达标工程，创建二级甲等疾控中心和</w:t>
      </w:r>
      <w:r>
        <w:rPr>
          <w:rFonts w:hint="eastAsia" w:ascii="FangSong_GB2312" w:hAnsi="FangSong" w:eastAsia="FangSong_GB2312" w:cs="FangSong_GB2312"/>
          <w:bCs/>
          <w:sz w:val="32"/>
          <w:szCs w:val="32"/>
          <w:lang w:eastAsia="zh-CN"/>
        </w:rPr>
        <w:t>二级乙等</w:t>
      </w:r>
      <w:r>
        <w:rPr>
          <w:rFonts w:hint="eastAsia" w:ascii="FangSong_GB2312" w:hAnsi="FangSong" w:eastAsia="FangSong_GB2312" w:cs="FangSong_GB2312"/>
          <w:bCs/>
          <w:sz w:val="32"/>
          <w:szCs w:val="32"/>
        </w:rPr>
        <w:t>县妇幼保健院，加快精神卫生防治体系建设，建设一个二级乙等博爱精神卫生中心，规范乡镇卫生院三区两通道建设。</w:t>
      </w:r>
    </w:p>
    <w:p>
      <w:pPr>
        <w:keepNext w:val="0"/>
        <w:keepLines w:val="0"/>
        <w:pageBreakBefore w:val="0"/>
        <w:kinsoku/>
        <w:wordWrap/>
        <w:overflowPunct/>
        <w:topLinePunct w:val="0"/>
        <w:autoSpaceDE/>
        <w:autoSpaceDN/>
        <w:bidi w:val="0"/>
        <w:snapToGrid/>
        <w:spacing w:line="600" w:lineRule="exact"/>
        <w:ind w:firstLine="64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lang w:eastAsia="zh-CN"/>
        </w:rPr>
        <w:t>二、</w:t>
      </w:r>
      <w:r>
        <w:rPr>
          <w:rFonts w:hint="eastAsia" w:ascii="KaiTi_GB2312" w:hAnsi="KaiTi_GB2312" w:eastAsia="KaiTi_GB2312" w:cs="KaiTi_GB2312"/>
          <w:b w:val="0"/>
          <w:bCs w:val="0"/>
          <w:sz w:val="32"/>
          <w:szCs w:val="32"/>
        </w:rPr>
        <w:t>完善诊疗服务体系</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 w:eastAsia="FangSong_GB2312" w:cs="FangSong_GB2312"/>
          <w:bCs/>
          <w:sz w:val="32"/>
          <w:szCs w:val="32"/>
        </w:rPr>
      </w:pPr>
      <w:r>
        <w:rPr>
          <w:rFonts w:hint="eastAsia" w:ascii="FangSong_GB2312" w:hAnsi="FangSong_GB2312" w:eastAsia="FangSong_GB2312" w:cs="FangSong_GB2312"/>
          <w:b/>
          <w:bCs/>
          <w:sz w:val="32"/>
          <w:szCs w:val="32"/>
        </w:rPr>
        <w:t>（一）加强各级医疗机构等级创建。</w:t>
      </w:r>
      <w:r>
        <w:rPr>
          <w:rFonts w:hint="eastAsia" w:ascii="FangSong_GB2312" w:hAnsi="FangSong" w:eastAsia="FangSong_GB2312" w:cs="FangSong_GB2312"/>
          <w:bCs/>
          <w:sz w:val="32"/>
          <w:szCs w:val="32"/>
        </w:rPr>
        <w:t>完成县人民医院三级乙等、县中医医院二级甲等的创建，建设</w:t>
      </w:r>
      <w:r>
        <w:rPr>
          <w:rFonts w:hint="eastAsia" w:ascii="FangSong_GB2312" w:hAnsi="FangSong" w:eastAsia="FangSong_GB2312" w:cs="FangSong_GB2312"/>
          <w:bCs/>
          <w:sz w:val="32"/>
          <w:szCs w:val="32"/>
          <w:lang w:val="en-US" w:eastAsia="zh-CN"/>
        </w:rPr>
        <w:t>1</w:t>
      </w:r>
      <w:r>
        <w:rPr>
          <w:rFonts w:hint="eastAsia" w:ascii="FangSong_GB2312" w:hAnsi="FangSong" w:eastAsia="FangSong_GB2312" w:cs="FangSong_GB2312"/>
          <w:bCs/>
          <w:sz w:val="32"/>
          <w:szCs w:val="32"/>
        </w:rPr>
        <w:t>个达标社区服务中心，完成9个</w:t>
      </w:r>
      <w:r>
        <w:rPr>
          <w:rFonts w:hint="eastAsia" w:ascii="FangSong_GB2312" w:hAnsi="FangSong" w:eastAsia="FangSong_GB2312" w:cs="FangSong_GB2312"/>
          <w:bCs/>
          <w:sz w:val="32"/>
          <w:szCs w:val="32"/>
          <w:lang w:eastAsia="zh-CN"/>
        </w:rPr>
        <w:t>乡镇卫生院服务能力</w:t>
      </w:r>
      <w:r>
        <w:rPr>
          <w:rFonts w:hint="eastAsia" w:ascii="FangSong_GB2312" w:hAnsi="FangSong" w:eastAsia="FangSong_GB2312" w:cs="FangSong_GB2312"/>
          <w:bCs/>
          <w:sz w:val="32"/>
          <w:szCs w:val="32"/>
        </w:rPr>
        <w:t>提升。</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 w:eastAsia="FangSong_GB2312" w:cs="FangSong_GB2312"/>
          <w:bCs/>
          <w:sz w:val="32"/>
          <w:szCs w:val="32"/>
        </w:rPr>
      </w:pPr>
      <w:r>
        <w:rPr>
          <w:rFonts w:hint="eastAsia" w:ascii="FangSong_GB2312" w:hAnsi="FangSong_GB2312" w:eastAsia="FangSong_GB2312" w:cs="FangSong_GB2312"/>
          <w:b/>
          <w:bCs/>
          <w:sz w:val="32"/>
          <w:szCs w:val="32"/>
        </w:rPr>
        <w:t>（二）建设区域医疗服务中心。</w:t>
      </w:r>
      <w:r>
        <w:rPr>
          <w:rFonts w:hint="eastAsia" w:ascii="FangSong_GB2312" w:hAnsi="FangSong" w:eastAsia="FangSong_GB2312" w:cs="FangSong_GB2312"/>
          <w:bCs/>
          <w:sz w:val="32"/>
          <w:szCs w:val="32"/>
        </w:rPr>
        <w:t>推进医联体建设，提升打造黑竹沟镇中心卫生院、五渡镇中心卫生院，建成</w:t>
      </w:r>
      <w:r>
        <w:rPr>
          <w:rFonts w:hint="eastAsia" w:ascii="FangSong_GB2312" w:hAnsi="FangSong" w:eastAsia="FangSong_GB2312" w:cs="FangSong_GB2312"/>
          <w:bCs/>
          <w:sz w:val="32"/>
          <w:szCs w:val="32"/>
          <w:lang w:eastAsia="zh-CN"/>
        </w:rPr>
        <w:t>两</w:t>
      </w:r>
      <w:r>
        <w:rPr>
          <w:rFonts w:hint="eastAsia" w:ascii="FangSong_GB2312" w:hAnsi="FangSong" w:eastAsia="FangSong_GB2312" w:cs="FangSong_GB2312"/>
          <w:bCs/>
          <w:sz w:val="32"/>
          <w:szCs w:val="32"/>
        </w:rPr>
        <w:t>个区域医疗服务中心。新建沙坪镇中心卫生院辐射红花和共和。扩建新林镇、红旗镇、勒乌乡三个卫生院，完善</w:t>
      </w:r>
      <w:r>
        <w:rPr>
          <w:rFonts w:hint="eastAsia" w:ascii="FangSong_GB2312" w:hAnsi="FangSong" w:eastAsia="FangSong_GB2312" w:cs="FangSong_GB2312"/>
          <w:bCs/>
          <w:sz w:val="32"/>
          <w:szCs w:val="32"/>
          <w:lang w:eastAsia="zh-CN"/>
        </w:rPr>
        <w:t>医疗</w:t>
      </w:r>
      <w:r>
        <w:rPr>
          <w:rFonts w:hint="eastAsia" w:ascii="FangSong_GB2312" w:hAnsi="FangSong" w:eastAsia="FangSong_GB2312" w:cs="FangSong_GB2312"/>
          <w:bCs/>
          <w:sz w:val="32"/>
          <w:szCs w:val="32"/>
        </w:rPr>
        <w:t>设施设备。</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 w:eastAsia="FangSong_GB2312" w:cs="FangSong_GB2312"/>
          <w:bCs/>
          <w:sz w:val="32"/>
          <w:szCs w:val="32"/>
        </w:rPr>
      </w:pPr>
      <w:r>
        <w:rPr>
          <w:rFonts w:hint="eastAsia" w:ascii="FangSong_GB2312" w:hAnsi="FangSong_GB2312" w:eastAsia="FangSong_GB2312" w:cs="FangSong_GB2312"/>
          <w:b/>
          <w:bCs/>
          <w:sz w:val="32"/>
          <w:szCs w:val="32"/>
        </w:rPr>
        <w:t>（三）完善应急救治体系建设。</w:t>
      </w:r>
      <w:r>
        <w:rPr>
          <w:rFonts w:hint="eastAsia" w:ascii="FangSong_GB2312" w:hAnsi="FangSong" w:eastAsia="FangSong_GB2312" w:cs="FangSong_GB2312"/>
          <w:bCs/>
          <w:sz w:val="32"/>
          <w:szCs w:val="32"/>
        </w:rPr>
        <w:t>深入推进卫生应急体系规范化建设，健全卫生应急管理组织体系。逐步实现卫生应急决策指挥平台互通和信息资源共享，完成县级医疗卫生机构突发公共卫生事件和救灾防病信息网络建设，辐射乡镇卫生院。加快应急物资储备中心建设和物资储备，确保应急处置及时有效。</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firstLineChars="200"/>
        <w:textAlignment w:val="auto"/>
        <w:rPr>
          <w:rFonts w:hint="eastAsia" w:ascii="KaiTi_GB2312" w:hAnsi="KaiTi_GB2312" w:eastAsia="KaiTi_GB2312" w:cs="KaiTi_GB2312"/>
          <w:b w:val="0"/>
          <w:bCs w:val="0"/>
          <w:sz w:val="32"/>
          <w:szCs w:val="32"/>
          <w:lang w:eastAsia="zh-CN"/>
        </w:rPr>
      </w:pPr>
      <w:r>
        <w:rPr>
          <w:rFonts w:hint="eastAsia" w:ascii="KaiTi_GB2312" w:hAnsi="KaiTi_GB2312" w:eastAsia="KaiTi_GB2312" w:cs="KaiTi_GB2312"/>
          <w:b w:val="0"/>
          <w:bCs w:val="0"/>
          <w:sz w:val="32"/>
          <w:szCs w:val="32"/>
          <w:lang w:eastAsia="zh-CN"/>
        </w:rPr>
        <w:t>三、完善中医康复体系</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建立覆盖城乡的“预防、养生、医疗、康复、养老”深度融合的健康养老服务体系，建设康养中心，提供健康养老服务，实现医、康、养结合，进一步满足老年人健康、养老服务需求。完成县中医医院创建二级甲等中医医院，推进中医临床科室建设工作，加强综合医院中医临床科室和中药房设置，建设新中医院到彩虹桥绿色康养大道，力争建成小凉山区域中医医疗中心。夯实中医药基层服务阵地，</w:t>
      </w:r>
      <w:r>
        <w:rPr>
          <w:rFonts w:hint="eastAsia" w:ascii="FangSong_GB2312" w:hAnsi="FangSong_GB2312" w:eastAsia="FangSong_GB2312" w:cs="FangSong_GB2312"/>
          <w:kern w:val="0"/>
          <w:sz w:val="32"/>
          <w:szCs w:val="32"/>
        </w:rPr>
        <w:t>促进中医药服务资源下沉，支持和鼓励县中医医院牵头组建以乡镇卫生院（社区卫生服务机构）为枢纽，以村卫生室为基础，构建三级联动的中医医疗服务体系。力争</w:t>
      </w:r>
      <w:r>
        <w:rPr>
          <w:rFonts w:hint="eastAsia" w:ascii="FangSong_GB2312" w:hAnsi="FangSong_GB2312" w:eastAsia="FangSong_GB2312" w:cs="FangSong_GB2312"/>
          <w:kern w:val="0"/>
          <w:sz w:val="32"/>
          <w:szCs w:val="32"/>
          <w:lang w:eastAsia="zh-CN"/>
        </w:rPr>
        <w:t>全面</w:t>
      </w:r>
      <w:r>
        <w:rPr>
          <w:rFonts w:hint="eastAsia" w:ascii="FangSong_GB2312" w:hAnsi="FangSong_GB2312" w:eastAsia="FangSong_GB2312" w:cs="FangSong_GB2312"/>
          <w:kern w:val="0"/>
          <w:sz w:val="32"/>
          <w:szCs w:val="32"/>
        </w:rPr>
        <w:t>实现乡镇卫生院、社区卫生服务中心中医馆建设，村卫生室、社区卫生服务机构均能提供中医药服务。</w:t>
      </w:r>
    </w:p>
    <w:tbl>
      <w:tblPr>
        <w:tblStyle w:val="13"/>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8359" w:type="dxa"/>
            <w:shd w:val="clear" w:color="auto" w:fill="D0CEC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firstLine="482" w:firstLineChars="200"/>
              <w:jc w:val="center"/>
              <w:textAlignment w:val="auto"/>
              <w:rPr>
                <w:rFonts w:hint="default" w:ascii="FangSong" w:hAnsi="FangSong" w:eastAsia="FangSong"/>
              </w:rPr>
            </w:pPr>
            <w:r>
              <w:rPr>
                <w:rFonts w:hint="default" w:ascii="FangSong" w:hAnsi="FangSong" w:eastAsia="FangSong"/>
                <w:b/>
                <w:bCs/>
                <w:sz w:val="24"/>
              </w:rPr>
              <w:t>专栏</w:t>
            </w:r>
            <w:r>
              <w:rPr>
                <w:rFonts w:hint="eastAsia" w:ascii="FangSong" w:hAnsi="FangSong" w:eastAsia="FangSong"/>
                <w:b/>
                <w:bCs/>
                <w:sz w:val="24"/>
              </w:rPr>
              <w:t>1：服务体系重点建设项目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jc w:val="center"/>
        </w:trPr>
        <w:tc>
          <w:tcPr>
            <w:tcW w:w="8359"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left="0" w:right="0" w:firstLine="482" w:firstLineChars="200"/>
              <w:textAlignment w:val="auto"/>
              <w:rPr>
                <w:rFonts w:hint="default" w:ascii="FangSong" w:hAnsi="FangSong" w:eastAsia="FangSong"/>
                <w:sz w:val="24"/>
                <w:szCs w:val="24"/>
              </w:rPr>
            </w:pPr>
            <w:r>
              <w:rPr>
                <w:rFonts w:hint="eastAsia" w:ascii="FangSong" w:hAnsi="FangSong" w:eastAsia="FangSong"/>
                <w:b/>
                <w:sz w:val="24"/>
                <w:szCs w:val="24"/>
              </w:rPr>
              <w:t>1.疾病预防控制体系建设项目</w:t>
            </w:r>
            <w:r>
              <w:rPr>
                <w:rFonts w:hint="eastAsia" w:ascii="FangSong" w:hAnsi="FangSong" w:eastAsia="FangSong"/>
                <w:sz w:val="24"/>
                <w:szCs w:val="24"/>
              </w:rPr>
              <w:t>。迁建疾控中心，新建业务用房5200平方米，按二级甲等疾控中心标准配齐各类实验室设备。总投资</w:t>
            </w:r>
            <w:r>
              <w:rPr>
                <w:rFonts w:hint="eastAsia" w:ascii="FangSong" w:hAnsi="FangSong" w:eastAsia="FangSong"/>
                <w:sz w:val="24"/>
                <w:szCs w:val="24"/>
                <w:lang w:val="en-US" w:eastAsia="zh-CN"/>
              </w:rPr>
              <w:t>6000</w:t>
            </w:r>
            <w:r>
              <w:rPr>
                <w:rFonts w:hint="eastAsia" w:ascii="FangSong" w:hAnsi="FangSong" w:eastAsia="FangSong"/>
                <w:sz w:val="24"/>
                <w:szCs w:val="24"/>
              </w:rPr>
              <w:t>万元。</w:t>
            </w:r>
          </w:p>
          <w:p>
            <w:pPr>
              <w:pStyle w:val="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left="0" w:right="0" w:firstLine="482" w:firstLineChars="200"/>
              <w:textAlignment w:val="auto"/>
              <w:rPr>
                <w:rFonts w:hint="default" w:ascii="FangSong" w:hAnsi="FangSong" w:eastAsia="FangSong"/>
                <w:sz w:val="24"/>
                <w:szCs w:val="24"/>
              </w:rPr>
            </w:pPr>
            <w:r>
              <w:rPr>
                <w:rFonts w:hint="eastAsia" w:ascii="FangSong" w:hAnsi="FangSong" w:eastAsia="FangSong"/>
                <w:b/>
                <w:sz w:val="24"/>
                <w:szCs w:val="24"/>
              </w:rPr>
              <w:t>2.精神卫生中心建设项目</w:t>
            </w:r>
            <w:r>
              <w:rPr>
                <w:rFonts w:hint="eastAsia" w:ascii="FangSong" w:hAnsi="FangSong" w:eastAsia="FangSong" w:cs="FangSong_GB2312"/>
                <w:b/>
                <w:sz w:val="24"/>
                <w:szCs w:val="24"/>
              </w:rPr>
              <w:t>。</w:t>
            </w:r>
            <w:r>
              <w:rPr>
                <w:rFonts w:hint="eastAsia" w:ascii="FangSong" w:hAnsi="FangSong" w:eastAsia="FangSong"/>
                <w:sz w:val="24"/>
                <w:szCs w:val="24"/>
              </w:rPr>
              <w:t>以县人民医院精神科为基础，升级打造建设一个博爱精神卫生中心，辐射周边金口河、甘洛、美姑，汉源等地，提升区域内精神类疾病的综合防治。建筑面积5400平方米，设置床位300张，配套相关设施设备。总投资</w:t>
            </w:r>
            <w:r>
              <w:rPr>
                <w:rFonts w:hint="eastAsia" w:ascii="FangSong" w:hAnsi="FangSong" w:eastAsia="FangSong"/>
                <w:sz w:val="24"/>
                <w:szCs w:val="24"/>
                <w:lang w:val="en-US" w:eastAsia="zh-CN"/>
              </w:rPr>
              <w:t>5000</w:t>
            </w:r>
            <w:r>
              <w:rPr>
                <w:rFonts w:hint="eastAsia" w:ascii="FangSong" w:hAnsi="FangSong" w:eastAsia="FangSong"/>
                <w:sz w:val="24"/>
                <w:szCs w:val="24"/>
              </w:rPr>
              <w:t>万元。</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left="0" w:right="0" w:firstLine="482" w:firstLineChars="200"/>
              <w:textAlignment w:val="auto"/>
              <w:rPr>
                <w:rFonts w:hint="default"/>
              </w:rPr>
            </w:pPr>
            <w:r>
              <w:rPr>
                <w:rFonts w:hint="eastAsia" w:ascii="FangSong" w:hAnsi="FangSong" w:eastAsia="FangSong"/>
                <w:b/>
                <w:bCs/>
                <w:sz w:val="24"/>
              </w:rPr>
              <w:t>3.县域内医疗卫生次中心建设。</w:t>
            </w:r>
            <w:r>
              <w:rPr>
                <w:rFonts w:hint="eastAsia" w:ascii="FangSong" w:hAnsi="FangSong" w:eastAsia="FangSong"/>
                <w:sz w:val="24"/>
              </w:rPr>
              <w:t>峨边彝族自治县黑竹沟镇中心卫生院、峨边彝族自治县五渡镇中心卫生院。总投资4000万元。</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left="0" w:right="0" w:firstLine="482" w:firstLineChars="200"/>
              <w:textAlignment w:val="auto"/>
              <w:rPr>
                <w:rFonts w:hint="default" w:ascii="FangSong" w:hAnsi="FangSong" w:eastAsia="FangSong"/>
                <w:sz w:val="24"/>
              </w:rPr>
            </w:pPr>
            <w:r>
              <w:rPr>
                <w:rFonts w:hint="eastAsia" w:ascii="FangSong" w:hAnsi="FangSong" w:eastAsia="FangSong"/>
                <w:b/>
                <w:bCs/>
                <w:sz w:val="24"/>
                <w:lang w:val="en-US" w:eastAsia="zh-CN"/>
              </w:rPr>
              <w:t>4</w:t>
            </w:r>
            <w:r>
              <w:rPr>
                <w:rFonts w:hint="eastAsia" w:ascii="FangSong" w:hAnsi="FangSong" w:eastAsia="FangSong"/>
                <w:b/>
                <w:bCs/>
                <w:sz w:val="24"/>
              </w:rPr>
              <w:t>.乡镇卫生院防控能力提升项目。</w:t>
            </w:r>
            <w:r>
              <w:rPr>
                <w:rFonts w:hint="eastAsia" w:ascii="FangSong" w:hAnsi="FangSong" w:eastAsia="FangSong"/>
                <w:sz w:val="24"/>
              </w:rPr>
              <w:t>加强基层疫情防控能力建设，结合乡村振兴达标要求，农村医疗服务能力，改扩建新场卫生院、大堡镇中心卫生院、毛坪镇中心卫生院、新林镇中心卫生院、红旗镇、金岩乡卫生院、宜坪乡卫生院、平等乡卫生院、杨河乡卫生院，提升防控能力和急救能力，总投资</w:t>
            </w:r>
            <w:r>
              <w:rPr>
                <w:rFonts w:hint="eastAsia" w:ascii="FangSong" w:hAnsi="FangSong" w:eastAsia="FangSong"/>
                <w:sz w:val="24"/>
                <w:lang w:val="en-US" w:eastAsia="zh-CN"/>
              </w:rPr>
              <w:t>2700</w:t>
            </w:r>
            <w:r>
              <w:rPr>
                <w:rFonts w:hint="eastAsia" w:ascii="FangSong" w:hAnsi="FangSong" w:eastAsia="FangSong"/>
                <w:sz w:val="24"/>
              </w:rPr>
              <w:t>万元。</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left="0" w:right="0" w:firstLine="482" w:firstLineChars="200"/>
              <w:textAlignment w:val="auto"/>
              <w:rPr>
                <w:rFonts w:hint="default" w:ascii="FangSong" w:hAnsi="FangSong" w:eastAsia="FangSong" w:cs="FangSong"/>
                <w:sz w:val="24"/>
                <w:szCs w:val="24"/>
              </w:rPr>
            </w:pPr>
            <w:r>
              <w:rPr>
                <w:rFonts w:hint="eastAsia" w:ascii="FangSong" w:hAnsi="FangSong" w:eastAsia="FangSong" w:cs="FangSong"/>
                <w:b/>
                <w:bCs/>
                <w:sz w:val="24"/>
                <w:szCs w:val="24"/>
                <w:lang w:val="en-US" w:eastAsia="zh-CN"/>
              </w:rPr>
              <w:t>5</w:t>
            </w:r>
            <w:r>
              <w:rPr>
                <w:rFonts w:hint="eastAsia" w:ascii="FangSong" w:hAnsi="FangSong" w:eastAsia="FangSong" w:cs="FangSong"/>
                <w:b/>
                <w:bCs/>
                <w:sz w:val="24"/>
                <w:szCs w:val="24"/>
              </w:rPr>
              <w:t>.</w:t>
            </w:r>
            <w:r>
              <w:rPr>
                <w:rFonts w:hint="eastAsia" w:ascii="FangSong" w:hAnsi="FangSong" w:eastAsia="FangSong" w:cs="FangSong"/>
                <w:b/>
                <w:bCs/>
                <w:sz w:val="24"/>
                <w:szCs w:val="24"/>
                <w:lang w:eastAsia="zh-CN"/>
              </w:rPr>
              <w:t>沙坪镇社区</w:t>
            </w:r>
            <w:r>
              <w:rPr>
                <w:rFonts w:hint="eastAsia" w:ascii="FangSong" w:hAnsi="FangSong" w:eastAsia="FangSong" w:cs="FangSong"/>
                <w:b/>
                <w:bCs/>
                <w:sz w:val="24"/>
                <w:szCs w:val="24"/>
              </w:rPr>
              <w:t>服务中心建设项目</w:t>
            </w:r>
            <w:r>
              <w:rPr>
                <w:rFonts w:hint="eastAsia" w:ascii="FangSong" w:hAnsi="FangSong" w:eastAsia="FangSong" w:cs="FangSong"/>
                <w:sz w:val="24"/>
                <w:szCs w:val="24"/>
              </w:rPr>
              <w:t>：新建</w:t>
            </w:r>
            <w:r>
              <w:rPr>
                <w:rFonts w:hint="eastAsia" w:ascii="FangSong" w:hAnsi="FangSong" w:eastAsia="FangSong" w:cs="FangSong"/>
                <w:sz w:val="24"/>
                <w:szCs w:val="24"/>
                <w:lang w:eastAsia="zh-CN"/>
              </w:rPr>
              <w:t>沙坪镇社区</w:t>
            </w:r>
            <w:r>
              <w:rPr>
                <w:rFonts w:hint="eastAsia" w:ascii="FangSong" w:hAnsi="FangSong" w:eastAsia="FangSong" w:cs="FangSong"/>
                <w:sz w:val="24"/>
                <w:szCs w:val="24"/>
              </w:rPr>
              <w:t>医疗服务中心建筑面积</w:t>
            </w:r>
            <w:r>
              <w:rPr>
                <w:rFonts w:hint="eastAsia" w:ascii="FangSong" w:hAnsi="FangSong" w:eastAsia="FangSong" w:cs="FangSong"/>
                <w:sz w:val="24"/>
                <w:szCs w:val="24"/>
                <w:lang w:val="en-US" w:eastAsia="zh-CN"/>
              </w:rPr>
              <w:t>2000</w:t>
            </w:r>
            <w:r>
              <w:rPr>
                <w:rFonts w:hint="eastAsia" w:ascii="FangSong" w:hAnsi="FangSong" w:eastAsia="FangSong" w:cs="FangSong"/>
                <w:sz w:val="24"/>
                <w:szCs w:val="24"/>
              </w:rPr>
              <w:t>平方米，总投资2400万。</w:t>
            </w:r>
          </w:p>
          <w:p>
            <w:pPr>
              <w:pStyle w:val="6"/>
              <w:keepNext w:val="0"/>
              <w:keepLines w:val="0"/>
              <w:suppressLineNumbers w:val="0"/>
              <w:spacing w:before="0" w:beforeAutospacing="0" w:after="0" w:afterAutospacing="0"/>
              <w:ind w:left="0" w:right="0" w:firstLine="360" w:firstLineChars="200"/>
              <w:rPr>
                <w:rFonts w:hint="default" w:ascii="FangSong" w:hAnsi="FangSong" w:eastAsia="FangSong" w:cs="FangSong_GB2312"/>
              </w:rPr>
            </w:pPr>
          </w:p>
        </w:tc>
      </w:tr>
    </w:tbl>
    <w:p>
      <w:pPr>
        <w:pStyle w:val="12"/>
        <w:ind w:left="0" w:leftChars="0" w:firstLine="643"/>
        <w:rPr>
          <w:rFonts w:hint="eastAsia" w:ascii="KaiTi" w:hAnsi="KaiTi" w:eastAsia="KaiTi"/>
          <w:b/>
          <w:bCs/>
          <w:sz w:val="32"/>
          <w:szCs w:val="32"/>
        </w:rPr>
      </w:pPr>
    </w:p>
    <w:p>
      <w:pPr>
        <w:pStyle w:val="12"/>
        <w:keepNext w:val="0"/>
        <w:keepLines w:val="0"/>
        <w:pageBreakBefore w:val="0"/>
        <w:widowControl w:val="0"/>
        <w:kinsoku/>
        <w:wordWrap/>
        <w:overflowPunct/>
        <w:topLinePunct w:val="0"/>
        <w:autoSpaceDE/>
        <w:autoSpaceDN/>
        <w:bidi w:val="0"/>
        <w:spacing w:after="0" w:line="600" w:lineRule="exact"/>
        <w:ind w:left="0" w:leftChars="0" w:firstLine="643"/>
        <w:jc w:val="center"/>
        <w:textAlignment w:val="auto"/>
        <w:rPr>
          <w:rFonts w:hint="eastAsia" w:ascii="SimHei" w:hAnsi="SimHei" w:eastAsia="SimHei" w:cs="SimHei"/>
          <w:b w:val="0"/>
          <w:bCs w:val="0"/>
          <w:sz w:val="32"/>
          <w:szCs w:val="32"/>
        </w:rPr>
      </w:pPr>
      <w:r>
        <w:rPr>
          <w:rFonts w:hint="eastAsia" w:ascii="SimHei" w:hAnsi="SimHei" w:eastAsia="SimHei" w:cs="SimHei"/>
          <w:b w:val="0"/>
          <w:bCs w:val="0"/>
          <w:sz w:val="32"/>
          <w:szCs w:val="32"/>
        </w:rPr>
        <w:t>第四节  实施四大工程</w:t>
      </w:r>
    </w:p>
    <w:p>
      <w:pPr>
        <w:pStyle w:val="12"/>
        <w:keepNext w:val="0"/>
        <w:keepLines w:val="0"/>
        <w:pageBreakBefore w:val="0"/>
        <w:widowControl w:val="0"/>
        <w:kinsoku/>
        <w:wordWrap/>
        <w:overflowPunct/>
        <w:topLinePunct w:val="0"/>
        <w:autoSpaceDE/>
        <w:autoSpaceDN/>
        <w:bidi w:val="0"/>
        <w:spacing w:after="0" w:line="600" w:lineRule="exact"/>
        <w:ind w:left="0" w:leftChars="0" w:firstLine="643"/>
        <w:jc w:val="left"/>
        <w:textAlignment w:val="auto"/>
        <w:rPr>
          <w:rFonts w:hint="eastAsia" w:ascii="SimHei" w:hAnsi="SimHei" w:eastAsia="SimHei" w:cs="SimHei"/>
          <w:b w:val="0"/>
          <w:bCs w:val="0"/>
          <w:sz w:val="32"/>
          <w:szCs w:val="32"/>
        </w:rPr>
      </w:pPr>
    </w:p>
    <w:p>
      <w:pPr>
        <w:pStyle w:val="12"/>
        <w:keepNext w:val="0"/>
        <w:keepLines w:val="0"/>
        <w:pageBreakBefore w:val="0"/>
        <w:widowControl w:val="0"/>
        <w:kinsoku/>
        <w:wordWrap/>
        <w:overflowPunct/>
        <w:topLinePunct w:val="0"/>
        <w:autoSpaceDE/>
        <w:autoSpaceDN/>
        <w:bidi w:val="0"/>
        <w:spacing w:after="0" w:line="600" w:lineRule="exact"/>
        <w:ind w:left="0" w:leftChars="0" w:firstLine="640"/>
        <w:jc w:val="left"/>
        <w:textAlignment w:val="auto"/>
        <w:rPr>
          <w:rFonts w:ascii="KaiTi" w:hAnsi="KaiTi" w:eastAsia="KaiTi"/>
          <w:b/>
          <w:bCs/>
          <w:sz w:val="32"/>
          <w:szCs w:val="32"/>
        </w:rPr>
      </w:pPr>
      <w:r>
        <w:rPr>
          <w:rFonts w:hint="eastAsia" w:ascii="FangSong_GB2312" w:hAnsi="FangSong" w:eastAsia="FangSong_GB2312"/>
          <w:sz w:val="32"/>
          <w:szCs w:val="32"/>
        </w:rPr>
        <w:t>不断强化县、乡、村三级疾病防治、应急处置、医疗救治能力，实施疾病预防控制补短工程、医疗救治能力提升工程、健康保障兜底工程、人才队伍培养工程。</w:t>
      </w:r>
    </w:p>
    <w:p>
      <w:pPr>
        <w:pStyle w:val="12"/>
        <w:keepNext w:val="0"/>
        <w:keepLines w:val="0"/>
        <w:pageBreakBefore w:val="0"/>
        <w:widowControl w:val="0"/>
        <w:kinsoku/>
        <w:wordWrap/>
        <w:overflowPunct/>
        <w:topLinePunct w:val="0"/>
        <w:autoSpaceDE/>
        <w:autoSpaceDN/>
        <w:bidi w:val="0"/>
        <w:spacing w:after="0" w:line="600" w:lineRule="exact"/>
        <w:ind w:left="0" w:leftChars="0" w:firstLine="643" w:firstLineChars="0"/>
        <w:jc w:val="left"/>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一、疾病预防控制补短工程</w:t>
      </w:r>
    </w:p>
    <w:p>
      <w:pPr>
        <w:pStyle w:val="12"/>
        <w:keepNext w:val="0"/>
        <w:keepLines w:val="0"/>
        <w:pageBreakBefore w:val="0"/>
        <w:widowControl w:val="0"/>
        <w:kinsoku/>
        <w:wordWrap/>
        <w:overflowPunct/>
        <w:topLinePunct w:val="0"/>
        <w:autoSpaceDE/>
        <w:autoSpaceDN/>
        <w:bidi w:val="0"/>
        <w:spacing w:after="0" w:line="600" w:lineRule="exact"/>
        <w:ind w:left="0" w:leftChars="0" w:firstLine="643" w:firstLineChars="0"/>
        <w:jc w:val="left"/>
        <w:textAlignment w:val="auto"/>
        <w:rPr>
          <w:rFonts w:ascii="FangSong_GB2312" w:hAnsi="KaiTi" w:eastAsia="FangSong_GB2312" w:cs="KaiTi"/>
          <w:b/>
          <w:bCs/>
          <w:sz w:val="32"/>
          <w:szCs w:val="32"/>
        </w:rPr>
      </w:pPr>
      <w:r>
        <w:rPr>
          <w:rFonts w:hint="eastAsia" w:ascii="FangSong_GB2312" w:hAnsi="FangSong_GB2312" w:eastAsia="FangSong_GB2312" w:cs="FangSong_GB2312"/>
          <w:b/>
          <w:bCs w:val="0"/>
          <w:sz w:val="32"/>
          <w:szCs w:val="32"/>
        </w:rPr>
        <w:t>（一）加强重大传染病防治。</w:t>
      </w:r>
      <w:r>
        <w:rPr>
          <w:rFonts w:hint="eastAsia" w:ascii="FangSong_GB2312" w:hAnsi="KaiTi" w:eastAsia="FangSong_GB2312" w:cs="FangSong_GB2312"/>
          <w:sz w:val="32"/>
          <w:szCs w:val="32"/>
        </w:rPr>
        <w:t>完善传染病监测预警机制，</w:t>
      </w:r>
      <w:r>
        <w:rPr>
          <w:rFonts w:hint="eastAsia" w:ascii="FangSong_GB2312" w:hAnsi="FangSong_GB2312" w:eastAsia="FangSong_GB2312" w:cs="FangSong_GB2312"/>
          <w:sz w:val="32"/>
          <w:szCs w:val="32"/>
        </w:rPr>
        <w:t>继续实施扩大国家免疫规划，适龄儿童国家免疫规划疫苗接种率达到96%</w:t>
      </w:r>
      <w:r>
        <w:rPr>
          <w:rFonts w:hint="eastAsia" w:ascii="FangSong_GB2312" w:hAnsi="FangSong_GB2312" w:eastAsia="FangSong_GB2312" w:cs="FangSong_GB2312"/>
          <w:sz w:val="32"/>
          <w:szCs w:val="32"/>
          <w:lang w:eastAsia="zh-CN"/>
        </w:rPr>
        <w:t>以上</w:t>
      </w:r>
      <w:r>
        <w:rPr>
          <w:rFonts w:hint="eastAsia" w:ascii="FangSong_GB2312" w:hAnsi="FangSong_GB2312" w:eastAsia="FangSong_GB2312" w:cs="FangSong_GB2312"/>
          <w:sz w:val="32"/>
          <w:szCs w:val="32"/>
        </w:rPr>
        <w:t>；降低全人群乙肝病毒感染率，加强艾滋病防控、确保艾滋病母婴零传播，建立结核病防治综合服务模式，加强耐多药肺结核筛查和监测；有效应对流感、手足口病、麻疹等重点传染病疫情。实施以传染源控制为主的狂犬病、禽流感等人畜共患病综合</w:t>
      </w:r>
      <w:r>
        <w:rPr>
          <w:rFonts w:hint="eastAsia" w:ascii="FangSong_GB2312" w:hAnsi="FangSong_GB2312" w:eastAsia="SimSun" w:cs="FangSong_GB2312"/>
          <w:sz w:val="32"/>
          <w:szCs w:val="32"/>
          <w:lang w:eastAsia="zh-CN"/>
        </w:rPr>
        <w:t>防治</w:t>
      </w:r>
      <w:r>
        <w:rPr>
          <w:rFonts w:hint="eastAsia" w:ascii="FangSong_GB2312" w:hAnsi="FangSong_GB2312" w:eastAsia="FangSong_GB2312" w:cs="FangSong_GB2312"/>
          <w:sz w:val="32"/>
          <w:szCs w:val="32"/>
        </w:rPr>
        <w:t>策略。</w:t>
      </w:r>
    </w:p>
    <w:p>
      <w:pPr>
        <w:pStyle w:val="12"/>
        <w:keepNext w:val="0"/>
        <w:keepLines w:val="0"/>
        <w:pageBreakBefore w:val="0"/>
        <w:widowControl w:val="0"/>
        <w:kinsoku/>
        <w:wordWrap/>
        <w:overflowPunct/>
        <w:topLinePunct w:val="0"/>
        <w:autoSpaceDE/>
        <w:autoSpaceDN/>
        <w:bidi w:val="0"/>
        <w:spacing w:after="0" w:line="600" w:lineRule="exact"/>
        <w:ind w:left="0" w:leftChars="0" w:firstLine="643" w:firstLineChars="0"/>
        <w:jc w:val="left"/>
        <w:textAlignment w:val="auto"/>
        <w:rPr>
          <w:rFonts w:ascii="FangSong_GB2312" w:hAnsi="KaiTi" w:eastAsia="FangSong" w:cs="KaiTi"/>
          <w:b/>
          <w:bCs/>
          <w:sz w:val="32"/>
          <w:szCs w:val="32"/>
        </w:rPr>
      </w:pPr>
      <w:r>
        <w:rPr>
          <w:rFonts w:hint="eastAsia" w:ascii="FangSong_GB2312" w:hAnsi="FangSong_GB2312" w:eastAsia="FangSong_GB2312" w:cs="FangSong_GB2312"/>
          <w:b/>
          <w:bCs w:val="0"/>
          <w:sz w:val="32"/>
          <w:szCs w:val="32"/>
        </w:rPr>
        <w:t>（二）加强慢性病规范化管理。</w:t>
      </w:r>
      <w:r>
        <w:rPr>
          <w:rFonts w:hint="eastAsia" w:ascii="FangSong_GB2312" w:hAnsi="FangSong_GB2312" w:eastAsia="FangSong_GB2312" w:cs="FangSong_GB2312"/>
          <w:sz w:val="32"/>
          <w:szCs w:val="32"/>
        </w:rPr>
        <w:t>实施</w:t>
      </w:r>
      <w:r>
        <w:rPr>
          <w:rFonts w:hint="eastAsia" w:ascii="FangSong_GB2312" w:hAnsi="FangSong_GB2312" w:eastAsia="SimSun" w:cs="FangSong_GB2312"/>
          <w:sz w:val="32"/>
          <w:szCs w:val="32"/>
          <w:lang w:eastAsia="zh-CN"/>
        </w:rPr>
        <w:t>慢性病</w:t>
      </w:r>
      <w:r>
        <w:rPr>
          <w:rFonts w:hint="eastAsia" w:ascii="FangSong_GB2312" w:hAnsi="FangSong_GB2312" w:eastAsia="FangSong_GB2312" w:cs="FangSong_GB2312"/>
          <w:sz w:val="32"/>
          <w:szCs w:val="32"/>
        </w:rPr>
        <w:t>综合防控，改变不良生活习惯和生活方式，高血压和糖尿病等慢病规范管理</w:t>
      </w:r>
      <w:r>
        <w:rPr>
          <w:rFonts w:hint="eastAsia" w:ascii="FangSong_GB2312" w:hAnsi="FangSong_GB2312" w:eastAsia="SimSun" w:cs="FangSong_GB2312"/>
          <w:sz w:val="32"/>
          <w:szCs w:val="32"/>
          <w:lang w:eastAsia="zh-CN"/>
        </w:rPr>
        <w:t>全覆盖</w:t>
      </w:r>
      <w:r>
        <w:rPr>
          <w:rFonts w:hint="eastAsia" w:ascii="FangSong_GB2312" w:hAnsi="FangSong_GB2312" w:eastAsia="FangSong_GB2312" w:cs="FangSong_GB2312"/>
          <w:sz w:val="32"/>
          <w:szCs w:val="32"/>
        </w:rPr>
        <w:t>，健全死因监测、肿瘤登记报告和慢性病与营养监测制度，建立慢性病管理台账，对符合要求的特殊慢性病做到</w:t>
      </w:r>
      <w:r>
        <w:rPr>
          <w:rFonts w:hint="eastAsia" w:ascii="FangSong_GB2312" w:hAnsi="FangSong_GB2312" w:eastAsia="FangSong_GB2312" w:cs="FangSong_GB2312"/>
          <w:sz w:val="32"/>
          <w:szCs w:val="32"/>
          <w:lang w:eastAsia="zh-CN"/>
        </w:rPr>
        <w:t>特殊门诊</w:t>
      </w:r>
      <w:r>
        <w:rPr>
          <w:rFonts w:hint="eastAsia" w:ascii="FangSong_GB2312" w:hAnsi="FangSong_GB2312" w:eastAsia="FangSong_GB2312" w:cs="FangSong_GB2312"/>
          <w:sz w:val="32"/>
          <w:szCs w:val="32"/>
        </w:rPr>
        <w:t>应办尽办。</w:t>
      </w:r>
    </w:p>
    <w:p>
      <w:pPr>
        <w:pStyle w:val="12"/>
        <w:keepNext w:val="0"/>
        <w:keepLines w:val="0"/>
        <w:pageBreakBefore w:val="0"/>
        <w:widowControl w:val="0"/>
        <w:kinsoku/>
        <w:wordWrap/>
        <w:overflowPunct/>
        <w:topLinePunct w:val="0"/>
        <w:autoSpaceDE/>
        <w:autoSpaceDN/>
        <w:bidi w:val="0"/>
        <w:spacing w:after="0" w:line="600" w:lineRule="exact"/>
        <w:ind w:left="0" w:leftChars="0" w:firstLine="640"/>
        <w:jc w:val="left"/>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val="0"/>
          <w:sz w:val="32"/>
          <w:szCs w:val="32"/>
        </w:rPr>
        <w:t>（三）强化精神疾病防治工作。</w:t>
      </w:r>
      <w:r>
        <w:rPr>
          <w:rFonts w:hint="eastAsia" w:ascii="FangSong_GB2312" w:hAnsi="FangSong_GB2312" w:eastAsia="FangSong_GB2312" w:cs="FangSong_GB2312"/>
          <w:sz w:val="32"/>
          <w:szCs w:val="32"/>
        </w:rPr>
        <w:t>全面推进精神疾病防治工作，建立健全综合管理协调机制，完善精神卫生服务网络，加强精神卫生医疗机构规范管理和人才培养。加强严重精神障碍患者报告登记、服务管理和救治救助，在册的严重精神障碍患者管理率达到</w:t>
      </w:r>
      <w:r>
        <w:rPr>
          <w:rFonts w:hint="eastAsia" w:ascii="FangSong_GB2312" w:hAnsi="FangSong_GB2312" w:eastAsia="FangSong_GB2312" w:cs="FangSong_GB2312"/>
          <w:sz w:val="32"/>
          <w:szCs w:val="32"/>
          <w:lang w:val="en-US" w:eastAsia="zh-CN"/>
        </w:rPr>
        <w:t>97.5</w:t>
      </w:r>
      <w:r>
        <w:rPr>
          <w:rFonts w:hint="eastAsia" w:ascii="FangSong_GB2312" w:hAnsi="FangSong_GB2312" w:eastAsia="FangSong_GB2312" w:cs="FangSong_GB2312"/>
          <w:sz w:val="32"/>
          <w:szCs w:val="32"/>
        </w:rPr>
        <w:t>%以上，积极开展精神卫生宣传和心理健康促进工作。</w:t>
      </w:r>
    </w:p>
    <w:p>
      <w:pPr>
        <w:pStyle w:val="12"/>
        <w:keepNext w:val="0"/>
        <w:keepLines w:val="0"/>
        <w:pageBreakBefore w:val="0"/>
        <w:widowControl w:val="0"/>
        <w:kinsoku/>
        <w:wordWrap/>
        <w:overflowPunct/>
        <w:topLinePunct w:val="0"/>
        <w:autoSpaceDE/>
        <w:autoSpaceDN/>
        <w:bidi w:val="0"/>
        <w:spacing w:after="0" w:line="600" w:lineRule="exact"/>
        <w:ind w:left="0" w:leftChars="0" w:firstLine="640"/>
        <w:jc w:val="left"/>
        <w:textAlignment w:val="auto"/>
        <w:rPr>
          <w:rFonts w:ascii="FangSong_GB2312" w:eastAsia="FangSong_GB2312" w:cs="FangSong_GB2312"/>
          <w:sz w:val="32"/>
          <w:szCs w:val="32"/>
        </w:rPr>
      </w:pPr>
      <w:r>
        <w:rPr>
          <w:rFonts w:hint="eastAsia" w:ascii="FangSong_GB2312" w:hAnsi="FangSong_GB2312" w:eastAsia="FangSong_GB2312" w:cs="FangSong_GB2312"/>
          <w:b/>
          <w:bCs w:val="0"/>
          <w:sz w:val="32"/>
          <w:szCs w:val="32"/>
        </w:rPr>
        <w:t>（四）推进职业病防治工作。</w:t>
      </w:r>
      <w:r>
        <w:rPr>
          <w:rFonts w:hint="eastAsia" w:ascii="FangSong_GB2312" w:hAnsi="FangSong_GB2312" w:eastAsia="FangSong_GB2312" w:cs="FangSong_GB2312"/>
          <w:b w:val="0"/>
          <w:bCs/>
          <w:sz w:val="32"/>
          <w:szCs w:val="32"/>
        </w:rPr>
        <w:t>推</w:t>
      </w:r>
      <w:r>
        <w:rPr>
          <w:rFonts w:hint="eastAsia" w:ascii="FangSong_GB2312" w:eastAsia="FangSong_GB2312" w:cs="FangSong_GB2312"/>
          <w:sz w:val="32"/>
          <w:szCs w:val="32"/>
        </w:rPr>
        <w:t>进实施健康四川—职业健康保护专项行动（2020</w:t>
      </w:r>
      <w:r>
        <w:rPr>
          <w:rFonts w:hint="eastAsia" w:ascii="FangSong_GB2312" w:eastAsia="SimSun" w:cs="FangSong_GB2312"/>
          <w:sz w:val="32"/>
          <w:szCs w:val="32"/>
          <w:lang w:eastAsia="zh-CN"/>
        </w:rPr>
        <w:t>—</w:t>
      </w:r>
      <w:r>
        <w:rPr>
          <w:rFonts w:hint="eastAsia" w:ascii="FangSong_GB2312" w:eastAsia="FangSong_GB2312" w:cs="FangSong_GB2312"/>
          <w:sz w:val="32"/>
          <w:szCs w:val="32"/>
        </w:rPr>
        <w:t>2030年），到2025年底，纳入治理范围的用人单位职业病危害项目申报率、职业病危害因素定期检测率、接触职业病危害的劳动者在岗期间职业健康检查率、主要负责人和职业健康管理人员培训率达到98%以上。加强医用辐射防护监测。实现接触粉尘工龄不足5年的劳动者新发尘肺病报告例数占年度报告总例数的比例明显下降。</w:t>
      </w:r>
    </w:p>
    <w:p>
      <w:pPr>
        <w:pStyle w:val="12"/>
        <w:keepNext w:val="0"/>
        <w:keepLines w:val="0"/>
        <w:pageBreakBefore w:val="0"/>
        <w:widowControl w:val="0"/>
        <w:kinsoku/>
        <w:wordWrap/>
        <w:overflowPunct/>
        <w:topLinePunct w:val="0"/>
        <w:autoSpaceDE/>
        <w:autoSpaceDN/>
        <w:bidi w:val="0"/>
        <w:spacing w:after="0" w:line="600" w:lineRule="exact"/>
        <w:ind w:left="0" w:leftChars="0" w:firstLine="643"/>
        <w:jc w:val="left"/>
        <w:textAlignment w:val="auto"/>
        <w:rPr>
          <w:rFonts w:hint="eastAsia" w:ascii="KaiTi_GB2312" w:hAnsi="KaiTi_GB2312" w:eastAsia="KaiTi_GB2312" w:cs="KaiTi_GB2312"/>
          <w:b w:val="0"/>
          <w:bCs/>
          <w:sz w:val="32"/>
          <w:szCs w:val="32"/>
        </w:rPr>
      </w:pPr>
      <w:r>
        <w:rPr>
          <w:rFonts w:hint="eastAsia" w:ascii="KaiTi_GB2312" w:hAnsi="KaiTi_GB2312" w:eastAsia="KaiTi_GB2312" w:cs="KaiTi_GB2312"/>
          <w:b w:val="0"/>
          <w:bCs/>
          <w:sz w:val="32"/>
          <w:szCs w:val="32"/>
        </w:rPr>
        <w:t>二、医疗服务能力提升工程</w:t>
      </w:r>
    </w:p>
    <w:p>
      <w:pPr>
        <w:pStyle w:val="12"/>
        <w:keepNext w:val="0"/>
        <w:keepLines w:val="0"/>
        <w:pageBreakBefore w:val="0"/>
        <w:widowControl w:val="0"/>
        <w:kinsoku/>
        <w:wordWrap/>
        <w:overflowPunct/>
        <w:topLinePunct w:val="0"/>
        <w:autoSpaceDE/>
        <w:autoSpaceDN/>
        <w:bidi w:val="0"/>
        <w:spacing w:after="0" w:line="600" w:lineRule="exact"/>
        <w:ind w:left="0" w:leftChars="0" w:firstLine="640"/>
        <w:jc w:val="left"/>
        <w:textAlignment w:val="auto"/>
        <w:rPr>
          <w:rFonts w:ascii="FangSong" w:hAnsi="FangSong" w:eastAsia="FangSong" w:cs="KaiTi"/>
          <w:b/>
          <w:sz w:val="32"/>
          <w:szCs w:val="32"/>
        </w:rPr>
      </w:pPr>
      <w:r>
        <w:rPr>
          <w:rFonts w:hint="eastAsia" w:ascii="FangSong_GB2312" w:hAnsi="FangSong_GB2312" w:eastAsia="FangSong_GB2312" w:cs="FangSong_GB2312"/>
          <w:b/>
          <w:bCs/>
          <w:sz w:val="32"/>
          <w:szCs w:val="32"/>
        </w:rPr>
        <w:t>（一）提升医疗救治能力。</w:t>
      </w:r>
      <w:r>
        <w:rPr>
          <w:rFonts w:hint="eastAsia" w:ascii="FangSong_GB2312" w:hAnsi="FangSong_GB2312" w:eastAsia="FangSong_GB2312" w:cs="FangSong_GB2312"/>
          <w:sz w:val="32"/>
          <w:szCs w:val="32"/>
        </w:rPr>
        <w:t>加强对临床专科建设发展的规划引导和支持，提升临床专科整体服务能力与水平，县人民医院消化内科建成省重点临床专科，充分利用省市、</w:t>
      </w:r>
      <w:r>
        <w:rPr>
          <w:rFonts w:hint="eastAsia" w:ascii="FangSong_GB2312" w:hAnsi="FangSong_GB2312" w:eastAsia="FangSong_GB2312" w:cs="FangSong_GB2312"/>
          <w:sz w:val="32"/>
          <w:szCs w:val="32"/>
          <w:lang w:eastAsia="zh-CN"/>
        </w:rPr>
        <w:t>东西协作、市对口</w:t>
      </w:r>
      <w:r>
        <w:rPr>
          <w:rFonts w:hint="eastAsia" w:ascii="FangSong_GB2312" w:hAnsi="FangSong_GB2312" w:eastAsia="FangSong_GB2312" w:cs="FangSong_GB2312"/>
          <w:sz w:val="32"/>
          <w:szCs w:val="32"/>
        </w:rPr>
        <w:t>援彝</w:t>
      </w:r>
      <w:r>
        <w:rPr>
          <w:rFonts w:hint="eastAsia" w:ascii="FangSong_GB2312" w:hAnsi="FangSong_GB2312" w:eastAsia="FangSong_GB2312" w:cs="FangSong_GB2312"/>
          <w:sz w:val="32"/>
          <w:szCs w:val="32"/>
          <w:lang w:eastAsia="zh-CN"/>
        </w:rPr>
        <w:t>等对口援助</w:t>
      </w:r>
      <w:r>
        <w:rPr>
          <w:rFonts w:hint="eastAsia" w:ascii="FangSong_GB2312" w:hAnsi="FangSong_GB2312" w:eastAsia="FangSong_GB2312" w:cs="FangSong_GB2312"/>
          <w:sz w:val="32"/>
          <w:szCs w:val="32"/>
        </w:rPr>
        <w:t>资源，提升儿科、妇科等薄弱领域重点专科诊疗能力，促进医疗服务体系协调发展，全面提升县级公立医院综合医疗救治能力。</w:t>
      </w:r>
      <w:r>
        <w:rPr>
          <w:rFonts w:hint="eastAsia" w:ascii="FangSong_GB2312" w:hAnsi="FangSong_GB2312" w:eastAsia="FangSong_GB2312" w:cs="FangSong_GB2312"/>
          <w:bCs/>
          <w:sz w:val="32"/>
          <w:szCs w:val="32"/>
        </w:rPr>
        <w:t>持续推进医疗质量管理、强化医疗核心制度的落实，完善质量控制体系建设，规范医疗质量管理。积极做好医疗机构新冠疫情等传染病防控工作，</w:t>
      </w:r>
      <w:r>
        <w:rPr>
          <w:rFonts w:hint="eastAsia" w:ascii="FangSong_GB2312" w:hAnsi="FangSong_GB2312" w:eastAsia="FangSong_GB2312" w:cs="FangSong_GB2312"/>
          <w:bCs/>
          <w:sz w:val="32"/>
          <w:szCs w:val="32"/>
          <w:shd w:val="clear" w:color="auto" w:fill="FFFFFF"/>
        </w:rPr>
        <w:t>提升医疗机构医院感染管理水平，推进落实医疗机构感控督导制度，</w:t>
      </w:r>
      <w:r>
        <w:rPr>
          <w:rFonts w:hint="eastAsia" w:ascii="FangSong_GB2312" w:hAnsi="FangSong_GB2312" w:eastAsia="FangSong_GB2312" w:cs="FangSong_GB2312"/>
          <w:bCs/>
          <w:sz w:val="32"/>
          <w:szCs w:val="32"/>
        </w:rPr>
        <w:t>进一步规范医院感染管理，保障医疗质量和医疗安全，维护人民群众健康权益。</w:t>
      </w:r>
    </w:p>
    <w:p>
      <w:pPr>
        <w:pStyle w:val="12"/>
        <w:keepNext w:val="0"/>
        <w:keepLines w:val="0"/>
        <w:pageBreakBefore w:val="0"/>
        <w:widowControl w:val="0"/>
        <w:kinsoku/>
        <w:wordWrap/>
        <w:overflowPunct/>
        <w:topLinePunct w:val="0"/>
        <w:autoSpaceDE/>
        <w:autoSpaceDN/>
        <w:bidi w:val="0"/>
        <w:spacing w:after="0" w:line="600" w:lineRule="exact"/>
        <w:ind w:left="0" w:leftChars="0" w:firstLine="640"/>
        <w:jc w:val="left"/>
        <w:textAlignment w:val="auto"/>
        <w:rPr>
          <w:rFonts w:ascii="FangSong" w:hAnsi="FangSong" w:eastAsia="FangSong" w:cs="FangSong_GB2312"/>
          <w:sz w:val="32"/>
          <w:szCs w:val="32"/>
        </w:rPr>
      </w:pPr>
      <w:r>
        <w:rPr>
          <w:rFonts w:hint="eastAsia" w:ascii="FangSong_GB2312" w:hAnsi="FangSong_GB2312" w:eastAsia="FangSong_GB2312" w:cs="FangSong_GB2312"/>
          <w:b/>
          <w:bCs/>
          <w:sz w:val="32"/>
          <w:szCs w:val="32"/>
        </w:rPr>
        <w:t>（二）提升应急处置能力。</w:t>
      </w:r>
      <w:r>
        <w:rPr>
          <w:rFonts w:hint="eastAsia" w:ascii="FangSong_GB2312" w:eastAsia="FangSong_GB2312"/>
          <w:sz w:val="32"/>
          <w:szCs w:val="32"/>
        </w:rPr>
        <w:t>依靠卫生应急人才、物资储备、科技</w:t>
      </w:r>
      <w:r>
        <w:rPr>
          <w:rFonts w:hint="eastAsia" w:ascii="FangSong_GB2312" w:eastAsia="FangSong_GB2312"/>
          <w:sz w:val="32"/>
          <w:szCs w:val="32"/>
          <w:lang w:eastAsia="zh-CN"/>
        </w:rPr>
        <w:t>创新</w:t>
      </w:r>
      <w:r>
        <w:rPr>
          <w:rFonts w:hint="eastAsia" w:ascii="FangSong_GB2312" w:eastAsia="FangSong_GB2312"/>
          <w:sz w:val="32"/>
          <w:szCs w:val="32"/>
        </w:rPr>
        <w:t>、社会</w:t>
      </w:r>
      <w:r>
        <w:rPr>
          <w:rFonts w:hint="eastAsia" w:ascii="FangSong_GB2312" w:eastAsia="FangSong_GB2312"/>
          <w:sz w:val="32"/>
          <w:szCs w:val="32"/>
          <w:lang w:eastAsia="zh-CN"/>
        </w:rPr>
        <w:t>力量</w:t>
      </w:r>
      <w:r>
        <w:rPr>
          <w:rFonts w:hint="eastAsia" w:ascii="FangSong_GB2312" w:eastAsia="FangSong_GB2312"/>
          <w:sz w:val="32"/>
          <w:szCs w:val="32"/>
        </w:rPr>
        <w:t>四大支撑系统，加强全县卫生应急队伍规范化管理，开展卫生应急培训演练。到2025年，</w:t>
      </w:r>
      <w:r>
        <w:rPr>
          <w:rFonts w:hint="eastAsia" w:ascii="FangSong_GB2312" w:hAnsi="FangSong_GB2312" w:eastAsia="FangSong_GB2312" w:cs="FangSong_GB2312"/>
          <w:kern w:val="0"/>
          <w:sz w:val="32"/>
          <w:szCs w:val="32"/>
        </w:rPr>
        <w:t>县级医疗卫生机构突发公共卫生事件和救灾防病信息网络直报率达到100%，乡镇医疗机构达到90%以上；</w:t>
      </w:r>
      <w:r>
        <w:rPr>
          <w:rFonts w:hint="eastAsia" w:ascii="FangSong_GB2312" w:eastAsia="FangSong_GB2312"/>
          <w:sz w:val="32"/>
          <w:szCs w:val="32"/>
        </w:rPr>
        <w:t>各类突发公共事件医学救援及时率和规范处置率达到90%。</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jc w:val="left"/>
        <w:textAlignment w:val="auto"/>
        <w:rPr>
          <w:rFonts w:ascii="FangSong_GB2312" w:eastAsia="FangSong_GB2312"/>
          <w:sz w:val="32"/>
          <w:szCs w:val="32"/>
        </w:rPr>
      </w:pPr>
      <w:r>
        <w:rPr>
          <w:rFonts w:hint="eastAsia" w:ascii="FangSong_GB2312" w:hAnsi="FangSong_GB2312" w:eastAsia="FangSong_GB2312" w:cs="FangSong_GB2312"/>
          <w:b/>
          <w:bCs/>
          <w:kern w:val="2"/>
          <w:sz w:val="32"/>
          <w:szCs w:val="32"/>
          <w:lang w:val="en-US" w:eastAsia="zh-CN" w:bidi="ar-SA"/>
        </w:rPr>
        <w:t>（三）优化医疗服务环境。</w:t>
      </w:r>
      <w:r>
        <w:rPr>
          <w:rFonts w:hint="eastAsia" w:ascii="FangSong_GB2312" w:hAnsi="FangSong_GB2312" w:eastAsia="FangSong_GB2312" w:cs="FangSong_GB2312"/>
          <w:sz w:val="32"/>
          <w:szCs w:val="32"/>
          <w:shd w:val="clear" w:color="auto" w:fill="FFFFFF"/>
        </w:rPr>
        <w:t>持续推进医院文化建设，深化“以病人为中心”的优质服务，开设预约诊疗和远程诊疗，加大县级医疗机构与乡镇卫生院远程放射、超声、心电服务。推进智慧医院建设，为患者提供预约诊疗、移动支付、就诊提醒、结果查询、信息推送等便捷服务，提升患者就医获得感。</w:t>
      </w:r>
      <w:r>
        <w:rPr>
          <w:rFonts w:hint="eastAsia" w:ascii="FangSong_GB2312" w:hAnsi="FangSong" w:eastAsia="FangSong_GB2312" w:cs="FangSong_GB2312"/>
          <w:bCs/>
          <w:sz w:val="32"/>
          <w:szCs w:val="32"/>
        </w:rPr>
        <w:t>建立区域人口健康信息平台，</w:t>
      </w:r>
      <w:r>
        <w:rPr>
          <w:rFonts w:hint="eastAsia" w:ascii="FangSong" w:hAnsi="FangSong" w:eastAsia="FangSong" w:cs="FangSong_GB2312"/>
          <w:sz w:val="32"/>
          <w:szCs w:val="32"/>
        </w:rPr>
        <w:t>实现全县人口健康信息卡，</w:t>
      </w:r>
      <w:r>
        <w:rPr>
          <w:rFonts w:hint="eastAsia" w:ascii="FangSong_GB2312" w:eastAsia="FangSong_GB2312"/>
          <w:sz w:val="32"/>
          <w:szCs w:val="32"/>
        </w:rPr>
        <w:t>实现各级医疗服务、医疗保障与公共卫生服务的信息共享与业务协同。</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jc w:val="left"/>
        <w:textAlignment w:val="auto"/>
        <w:rPr>
          <w:rFonts w:hint="eastAsia" w:ascii="FangSong_GB2312" w:hAnsi="FangSong_GB2312" w:eastAsia="FangSong_GB2312" w:cs="FangSong_GB2312"/>
          <w:kern w:val="2"/>
          <w:sz w:val="32"/>
          <w:szCs w:val="32"/>
          <w:lang w:val="en-US" w:eastAsia="zh-CN" w:bidi="ar-SA"/>
        </w:rPr>
      </w:pPr>
      <w:r>
        <w:rPr>
          <w:rFonts w:hint="eastAsia" w:ascii="FangSong_GB2312" w:hAnsi="FangSong_GB2312" w:eastAsia="FangSong_GB2312" w:cs="FangSong_GB2312"/>
          <w:b/>
          <w:bCs/>
          <w:kern w:val="2"/>
          <w:sz w:val="32"/>
          <w:szCs w:val="32"/>
          <w:lang w:val="en-US" w:eastAsia="zh-CN" w:bidi="ar-SA"/>
        </w:rPr>
        <w:t>（四）增强中医健康服务能力。</w:t>
      </w:r>
      <w:r>
        <w:rPr>
          <w:rFonts w:hint="eastAsia" w:ascii="FangSong_GB2312" w:hAnsi="FangSong_GB2312" w:eastAsia="FangSong_GB2312" w:cs="FangSong_GB2312"/>
          <w:sz w:val="32"/>
          <w:szCs w:val="32"/>
        </w:rPr>
        <w:t>发挥中医药在突发公共卫生事件中的作用，建立重大疫情中医药人群预防和早期介入治疗机制，健全中西医结合机制</w:t>
      </w:r>
      <w:r>
        <w:rPr>
          <w:rFonts w:hint="eastAsia" w:ascii="FangSong_GB2312" w:hAnsi="FangSong_GB2312" w:eastAsia="FangSong_GB2312" w:cs="FangSong_GB2312"/>
          <w:kern w:val="0"/>
          <w:sz w:val="32"/>
          <w:szCs w:val="32"/>
        </w:rPr>
        <w:t>。</w:t>
      </w:r>
      <w:r>
        <w:rPr>
          <w:rFonts w:hint="eastAsia" w:ascii="FangSong_GB2312" w:hAnsi="FangSong_GB2312" w:eastAsia="FangSong_GB2312" w:cs="FangSong_GB2312"/>
          <w:sz w:val="32"/>
          <w:szCs w:val="32"/>
        </w:rPr>
        <w:t>以县中医院中医药适宜技术推广基地为平台，向基层医疗卫生机构推广中医药适宜技术，切实满足人民群众对中医药服务的需求。将中医药优势与治未病和健康管理、康复养老相结合，实施中医治未病健康促进专项行动，提供中医非药物疗法的比例达到100%，村卫生室提供中医非药物疗法的比</w:t>
      </w:r>
      <w:r>
        <w:rPr>
          <w:rFonts w:hint="eastAsia" w:ascii="FangSong_GB2312" w:hAnsi="FangSong_GB2312" w:eastAsia="FangSong_GB2312" w:cs="FangSong_GB2312"/>
          <w:kern w:val="2"/>
          <w:sz w:val="32"/>
          <w:szCs w:val="32"/>
          <w:lang w:val="en-US" w:eastAsia="zh-CN" w:bidi="ar-SA"/>
        </w:rPr>
        <w:t>例达到60%。65岁老人和0-6岁儿童的中医服务比例达到65%。</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jc w:val="left"/>
        <w:textAlignment w:val="auto"/>
        <w:rPr>
          <w:rFonts w:hint="eastAsia" w:ascii="FangSong_GB2312" w:hAnsi="FangSong_GB2312" w:eastAsia="FangSong_GB2312" w:cs="FangSong_GB2312"/>
          <w:kern w:val="2"/>
          <w:sz w:val="32"/>
          <w:szCs w:val="32"/>
          <w:lang w:val="en-US" w:eastAsia="zh-CN" w:bidi="ar-SA"/>
        </w:rPr>
      </w:pP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jc w:val="left"/>
        <w:textAlignment w:val="auto"/>
        <w:rPr>
          <w:rFonts w:hint="eastAsia" w:ascii="FangSong_GB2312" w:hAnsi="FangSong_GB2312" w:eastAsia="FangSong_GB2312" w:cs="FangSong_GB2312"/>
          <w:kern w:val="2"/>
          <w:sz w:val="32"/>
          <w:szCs w:val="32"/>
          <w:lang w:val="en-US" w:eastAsia="zh-CN" w:bidi="ar-SA"/>
        </w:rPr>
      </w:pP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jc w:val="left"/>
        <w:textAlignment w:val="auto"/>
        <w:rPr>
          <w:rFonts w:hint="eastAsia" w:ascii="FangSong_GB2312" w:hAnsi="FangSong_GB2312" w:eastAsia="FangSong_GB2312" w:cs="FangSong_GB2312"/>
          <w:kern w:val="2"/>
          <w:sz w:val="32"/>
          <w:szCs w:val="32"/>
          <w:lang w:val="en-US" w:eastAsia="zh-CN" w:bidi="ar-SA"/>
        </w:rPr>
      </w:pPr>
    </w:p>
    <w:p>
      <w:pPr>
        <w:pStyle w:val="6"/>
        <w:keepNext w:val="0"/>
        <w:keepLines w:val="0"/>
        <w:pageBreakBefore w:val="0"/>
        <w:widowControl w:val="0"/>
        <w:kinsoku/>
        <w:wordWrap/>
        <w:overflowPunct/>
        <w:topLinePunct w:val="0"/>
        <w:autoSpaceDE/>
        <w:autoSpaceDN/>
        <w:bidi w:val="0"/>
        <w:spacing w:line="500" w:lineRule="exact"/>
        <w:textAlignment w:val="auto"/>
      </w:pPr>
    </w:p>
    <w:tbl>
      <w:tblPr>
        <w:tblStyle w:val="13"/>
        <w:tblW w:w="8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8627" w:type="dxa"/>
            <w:shd w:val="clear" w:color="auto" w:fill="D0CEC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2" w:firstLineChars="200"/>
              <w:jc w:val="center"/>
              <w:textAlignment w:val="auto"/>
              <w:rPr>
                <w:rFonts w:hint="default" w:ascii="FangSong" w:hAnsi="FangSong" w:eastAsia="FangSong"/>
              </w:rPr>
            </w:pPr>
            <w:r>
              <w:rPr>
                <w:rFonts w:hint="default" w:ascii="FangSong" w:hAnsi="FangSong" w:eastAsia="FangSong"/>
                <w:b/>
                <w:bCs/>
                <w:sz w:val="24"/>
              </w:rPr>
              <w:t>专栏</w:t>
            </w:r>
            <w:r>
              <w:rPr>
                <w:rFonts w:hint="eastAsia" w:ascii="FangSong" w:hAnsi="FangSong" w:eastAsia="FangSong"/>
                <w:b/>
                <w:bCs/>
                <w:sz w:val="24"/>
              </w:rPr>
              <w:t>2：救治能力重点建设项目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jc w:val="center"/>
        </w:trPr>
        <w:tc>
          <w:tcPr>
            <w:tcW w:w="8627"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firstLine="482" w:firstLineChars="200"/>
              <w:textAlignment w:val="auto"/>
              <w:rPr>
                <w:rFonts w:hint="default" w:ascii="FangSong" w:hAnsi="FangSong" w:eastAsia="FangSong" w:cs="FangSong"/>
                <w:sz w:val="24"/>
                <w:szCs w:val="24"/>
              </w:rPr>
            </w:pPr>
            <w:r>
              <w:rPr>
                <w:rFonts w:hint="eastAsia" w:ascii="FangSong" w:hAnsi="FangSong" w:eastAsia="FangSong" w:cs="FangSong"/>
                <w:b/>
                <w:bCs/>
                <w:sz w:val="24"/>
                <w:szCs w:val="24"/>
                <w:lang w:val="en-US" w:eastAsia="zh-CN"/>
              </w:rPr>
              <w:t>6</w:t>
            </w:r>
            <w:r>
              <w:rPr>
                <w:rFonts w:hint="eastAsia" w:ascii="FangSong" w:hAnsi="FangSong" w:eastAsia="FangSong" w:cs="FangSong"/>
                <w:b/>
                <w:bCs/>
                <w:sz w:val="24"/>
                <w:szCs w:val="24"/>
              </w:rPr>
              <w:t>.县人民医院重点科室建设</w:t>
            </w:r>
            <w:r>
              <w:rPr>
                <w:rFonts w:hint="eastAsia" w:ascii="FangSong" w:hAnsi="FangSong" w:eastAsia="FangSong" w:cs="FangSong"/>
                <w:sz w:val="24"/>
                <w:szCs w:val="24"/>
              </w:rPr>
              <w:t>。县人民医院建设胸痛中心、卒中中心和新生儿危重症救治中心建设</w:t>
            </w:r>
            <w:r>
              <w:rPr>
                <w:rFonts w:hint="eastAsia" w:ascii="FangSong" w:hAnsi="FangSong" w:eastAsia="FangSong" w:cs="FangSong"/>
                <w:sz w:val="24"/>
                <w:szCs w:val="24"/>
                <w:lang w:eastAsia="zh-CN"/>
              </w:rPr>
              <w:t>、县中医院老年病专科建设</w:t>
            </w:r>
            <w:r>
              <w:rPr>
                <w:rFonts w:hint="eastAsia" w:ascii="FangSong" w:hAnsi="FangSong" w:eastAsia="FangSong" w:cs="FangSong"/>
                <w:sz w:val="24"/>
                <w:szCs w:val="24"/>
              </w:rPr>
              <w:t>。总投资</w:t>
            </w:r>
            <w:r>
              <w:rPr>
                <w:rFonts w:hint="eastAsia" w:ascii="FangSong" w:hAnsi="FangSong" w:eastAsia="FangSong" w:cs="FangSong"/>
                <w:sz w:val="24"/>
                <w:szCs w:val="24"/>
                <w:lang w:val="en-US" w:eastAsia="zh-CN"/>
              </w:rPr>
              <w:t>3000</w:t>
            </w:r>
            <w:r>
              <w:rPr>
                <w:rFonts w:hint="eastAsia" w:ascii="FangSong" w:hAnsi="FangSong" w:eastAsia="FangSong" w:cs="FangSong"/>
                <w:sz w:val="24"/>
                <w:szCs w:val="24"/>
              </w:rPr>
              <w:t>万元。</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firstLine="482" w:firstLineChars="200"/>
              <w:textAlignment w:val="auto"/>
              <w:rPr>
                <w:rFonts w:hint="default" w:ascii="FangSong" w:hAnsi="FangSong" w:eastAsia="FangSong" w:cs="FangSong"/>
                <w:sz w:val="24"/>
                <w:szCs w:val="24"/>
              </w:rPr>
            </w:pPr>
            <w:r>
              <w:rPr>
                <w:rFonts w:hint="eastAsia" w:ascii="FangSong" w:hAnsi="FangSong" w:eastAsia="FangSong" w:cs="FangSong"/>
                <w:b/>
                <w:bCs/>
                <w:sz w:val="24"/>
                <w:szCs w:val="24"/>
                <w:lang w:val="en-US" w:eastAsia="zh-CN"/>
              </w:rPr>
              <w:t>7</w:t>
            </w:r>
            <w:r>
              <w:rPr>
                <w:rFonts w:hint="eastAsia" w:ascii="FangSong" w:hAnsi="FangSong" w:eastAsia="FangSong" w:cs="FangSong"/>
                <w:b/>
                <w:bCs/>
                <w:sz w:val="24"/>
                <w:szCs w:val="24"/>
              </w:rPr>
              <w:t>.应急体系建设</w:t>
            </w:r>
            <w:r>
              <w:rPr>
                <w:rFonts w:hint="eastAsia" w:ascii="FangSong" w:hAnsi="FangSong" w:eastAsia="FangSong" w:cs="FangSong"/>
                <w:sz w:val="24"/>
                <w:szCs w:val="24"/>
              </w:rPr>
              <w:t>。在旅游景区、车站、大型公共场所等10余点位配备急救设备。总投资</w:t>
            </w:r>
            <w:r>
              <w:rPr>
                <w:rFonts w:hint="eastAsia" w:ascii="FangSong" w:hAnsi="FangSong" w:eastAsia="FangSong" w:cs="FangSong"/>
                <w:sz w:val="24"/>
                <w:szCs w:val="24"/>
                <w:lang w:val="en-US" w:eastAsia="zh-CN"/>
              </w:rPr>
              <w:t>100</w:t>
            </w:r>
            <w:r>
              <w:rPr>
                <w:rFonts w:hint="eastAsia" w:ascii="FangSong" w:hAnsi="FangSong" w:eastAsia="FangSong" w:cs="FangSong"/>
                <w:sz w:val="24"/>
                <w:szCs w:val="24"/>
              </w:rPr>
              <w:t>万元。</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firstLine="482" w:firstLineChars="200"/>
              <w:textAlignment w:val="auto"/>
              <w:rPr>
                <w:rFonts w:hint="default" w:ascii="FangSong" w:hAnsi="FangSong" w:eastAsia="FangSong" w:cs="FangSong"/>
                <w:sz w:val="24"/>
                <w:szCs w:val="24"/>
              </w:rPr>
            </w:pPr>
            <w:r>
              <w:rPr>
                <w:rFonts w:hint="eastAsia" w:ascii="FangSong" w:hAnsi="FangSong" w:eastAsia="FangSong" w:cs="FangSong"/>
                <w:b/>
                <w:bCs/>
                <w:sz w:val="24"/>
                <w:szCs w:val="24"/>
                <w:lang w:val="en-US" w:eastAsia="zh-CN"/>
              </w:rPr>
              <w:t>8</w:t>
            </w:r>
            <w:r>
              <w:rPr>
                <w:rFonts w:hint="eastAsia" w:ascii="FangSong" w:hAnsi="FangSong" w:eastAsia="FangSong" w:cs="FangSong"/>
                <w:b/>
                <w:bCs/>
                <w:sz w:val="24"/>
                <w:szCs w:val="24"/>
              </w:rPr>
              <w:t>.</w:t>
            </w:r>
            <w:r>
              <w:rPr>
                <w:rFonts w:hint="eastAsia" w:ascii="FangSong" w:hAnsi="FangSong" w:eastAsia="FangSong" w:cs="FangSong"/>
                <w:b/>
                <w:bCs/>
                <w:sz w:val="24"/>
                <w:szCs w:val="24"/>
                <w:lang w:val="en-US" w:eastAsia="zh-CN"/>
              </w:rPr>
              <w:t>县中医医院治未病楼建设项目</w:t>
            </w:r>
            <w:r>
              <w:rPr>
                <w:rFonts w:hint="eastAsia" w:ascii="FangSong" w:hAnsi="FangSong" w:eastAsia="FangSong" w:cs="FangSong"/>
                <w:sz w:val="24"/>
                <w:szCs w:val="24"/>
              </w:rPr>
              <w:t>。</w:t>
            </w:r>
            <w:r>
              <w:rPr>
                <w:rFonts w:hint="eastAsia" w:ascii="FangSong" w:hAnsi="FangSong" w:eastAsia="FangSong" w:cs="FangSong"/>
                <w:sz w:val="24"/>
                <w:szCs w:val="24"/>
                <w:lang w:eastAsia="zh-CN"/>
              </w:rPr>
              <w:t>在现有中医院辖区实施</w:t>
            </w:r>
            <w:r>
              <w:rPr>
                <w:rFonts w:hint="eastAsia" w:ascii="FangSong" w:hAnsi="FangSong" w:eastAsia="FangSong" w:cs="FangSong"/>
                <w:sz w:val="24"/>
                <w:szCs w:val="24"/>
                <w:lang w:val="en-US" w:eastAsia="zh-CN"/>
              </w:rPr>
              <w:t>治未病楼土建、装修及医疗设备配置，建筑总面积4000平方米。预计投资4000万。</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firstLine="482" w:firstLineChars="200"/>
              <w:textAlignment w:val="auto"/>
              <w:rPr>
                <w:rFonts w:hint="default" w:ascii="FangSong" w:hAnsi="FangSong" w:eastAsia="FangSong" w:cs="FangSong"/>
                <w:sz w:val="24"/>
                <w:szCs w:val="24"/>
              </w:rPr>
            </w:pPr>
            <w:r>
              <w:rPr>
                <w:rFonts w:hint="eastAsia" w:ascii="FangSong" w:hAnsi="FangSong" w:eastAsia="FangSong" w:cs="FangSong"/>
                <w:b/>
                <w:bCs/>
                <w:sz w:val="24"/>
                <w:szCs w:val="24"/>
                <w:lang w:val="en-US" w:eastAsia="zh-CN"/>
              </w:rPr>
              <w:t>9</w:t>
            </w:r>
            <w:r>
              <w:rPr>
                <w:rFonts w:hint="eastAsia" w:ascii="FangSong" w:hAnsi="FangSong" w:eastAsia="FangSong" w:cs="FangSong"/>
                <w:b/>
                <w:bCs/>
                <w:sz w:val="24"/>
                <w:szCs w:val="24"/>
              </w:rPr>
              <w:t>.县域医共体信息化平台建设</w:t>
            </w:r>
            <w:r>
              <w:rPr>
                <w:rFonts w:hint="eastAsia" w:ascii="FangSong" w:hAnsi="FangSong" w:eastAsia="FangSong" w:cs="FangSong"/>
                <w:sz w:val="24"/>
                <w:szCs w:val="24"/>
              </w:rPr>
              <w:t>。推进城乡卫生健康服务一体化，构建优质高效的医疗卫生服务体系，建设县域医共体信息化平台，完成县域远程影像中心、检验中心建设。总投资</w:t>
            </w:r>
            <w:r>
              <w:rPr>
                <w:rFonts w:hint="eastAsia" w:ascii="FangSong" w:hAnsi="FangSong" w:eastAsia="FangSong" w:cs="FangSong"/>
                <w:sz w:val="24"/>
                <w:szCs w:val="24"/>
                <w:lang w:val="en-US" w:eastAsia="zh-CN"/>
              </w:rPr>
              <w:t>3000</w:t>
            </w:r>
            <w:r>
              <w:rPr>
                <w:rFonts w:hint="eastAsia" w:ascii="FangSong" w:hAnsi="FangSong" w:eastAsia="FangSong" w:cs="FangSong"/>
                <w:sz w:val="24"/>
                <w:szCs w:val="24"/>
              </w:rPr>
              <w:t>万元。</w:t>
            </w:r>
          </w:p>
          <w:p>
            <w:pPr>
              <w:pStyle w:val="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firstLine="482" w:firstLineChars="200"/>
              <w:textAlignment w:val="auto"/>
              <w:rPr>
                <w:rFonts w:hint="default" w:ascii="FangSong" w:hAnsi="FangSong" w:eastAsia="FangSong" w:cs="FangSong"/>
                <w:bCs/>
                <w:sz w:val="24"/>
                <w:szCs w:val="24"/>
              </w:rPr>
            </w:pPr>
            <w:r>
              <w:rPr>
                <w:rFonts w:hint="eastAsia" w:ascii="FangSong" w:hAnsi="FangSong" w:eastAsia="FangSong" w:cs="FangSong"/>
                <w:b/>
                <w:bCs/>
                <w:sz w:val="24"/>
                <w:szCs w:val="24"/>
                <w:lang w:val="en-US" w:eastAsia="zh-CN"/>
              </w:rPr>
              <w:t>10</w:t>
            </w:r>
            <w:r>
              <w:rPr>
                <w:rFonts w:hint="eastAsia" w:ascii="FangSong" w:hAnsi="FangSong" w:eastAsia="FangSong" w:cs="FangSong"/>
                <w:b/>
                <w:bCs/>
                <w:sz w:val="24"/>
                <w:szCs w:val="24"/>
              </w:rPr>
              <w:t>.妇幼保健院的二级达标建设。</w:t>
            </w:r>
            <w:r>
              <w:rPr>
                <w:rFonts w:hint="eastAsia" w:ascii="FangSong" w:hAnsi="FangSong" w:eastAsia="FangSong" w:cs="FangSong"/>
                <w:bCs/>
                <w:sz w:val="24"/>
                <w:szCs w:val="24"/>
              </w:rPr>
              <w:t>按照</w:t>
            </w:r>
            <w:r>
              <w:rPr>
                <w:rFonts w:hint="eastAsia" w:ascii="FangSong" w:hAnsi="FangSong" w:eastAsia="FangSong" w:cs="FangSong"/>
                <w:bCs/>
                <w:sz w:val="24"/>
                <w:szCs w:val="24"/>
                <w:lang w:eastAsia="zh-CN"/>
              </w:rPr>
              <w:t>等级达标</w:t>
            </w:r>
            <w:r>
              <w:rPr>
                <w:rFonts w:hint="eastAsia" w:ascii="FangSong" w:hAnsi="FangSong" w:eastAsia="FangSong" w:cs="FangSong"/>
                <w:bCs/>
                <w:sz w:val="24"/>
                <w:szCs w:val="24"/>
              </w:rPr>
              <w:t>要求，2025年末妇幼保健院完成二级乙等建设。总投资</w:t>
            </w:r>
            <w:r>
              <w:rPr>
                <w:rFonts w:hint="eastAsia" w:ascii="FangSong" w:hAnsi="FangSong" w:eastAsia="FangSong" w:cs="FangSong"/>
                <w:bCs/>
                <w:sz w:val="24"/>
                <w:szCs w:val="24"/>
                <w:lang w:val="en-US" w:eastAsia="zh-CN"/>
              </w:rPr>
              <w:t>2</w:t>
            </w:r>
            <w:r>
              <w:rPr>
                <w:rFonts w:hint="eastAsia" w:ascii="FangSong" w:hAnsi="FangSong" w:eastAsia="FangSong" w:cs="FangSong"/>
                <w:bCs/>
                <w:sz w:val="24"/>
                <w:szCs w:val="24"/>
              </w:rPr>
              <w:t>000万元。</w:t>
            </w:r>
          </w:p>
          <w:p>
            <w:pPr>
              <w:pStyle w:val="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firstLine="482" w:firstLineChars="200"/>
              <w:textAlignment w:val="auto"/>
              <w:rPr>
                <w:rFonts w:hint="eastAsia" w:ascii="FangSong" w:hAnsi="FangSong" w:eastAsia="FangSong" w:cs="FangSong"/>
                <w:sz w:val="24"/>
                <w:szCs w:val="24"/>
              </w:rPr>
            </w:pPr>
            <w:r>
              <w:rPr>
                <w:rFonts w:hint="eastAsia" w:ascii="FangSong" w:hAnsi="FangSong" w:eastAsia="FangSong" w:cs="FangSong"/>
                <w:b/>
                <w:bCs w:val="0"/>
                <w:sz w:val="24"/>
                <w:szCs w:val="24"/>
                <w:lang w:val="en-US" w:eastAsia="zh-CN"/>
              </w:rPr>
              <w:t>11</w:t>
            </w:r>
            <w:r>
              <w:rPr>
                <w:rFonts w:hint="eastAsia" w:ascii="FangSong" w:hAnsi="FangSong" w:eastAsia="FangSong" w:cs="FangSong"/>
                <w:b/>
                <w:bCs w:val="0"/>
                <w:sz w:val="24"/>
                <w:szCs w:val="24"/>
              </w:rPr>
              <w:t>.</w:t>
            </w:r>
            <w:r>
              <w:rPr>
                <w:rFonts w:hint="eastAsia" w:ascii="FangSong" w:hAnsi="FangSong" w:eastAsia="FangSong" w:cs="FangSong"/>
                <w:b/>
                <w:bCs/>
                <w:sz w:val="24"/>
                <w:szCs w:val="24"/>
              </w:rPr>
              <w:t>县人民医院智慧医院建设。</w:t>
            </w:r>
            <w:r>
              <w:rPr>
                <w:rFonts w:hint="eastAsia" w:ascii="FangSong" w:hAnsi="FangSong" w:eastAsia="FangSong" w:cs="FangSong"/>
                <w:b/>
                <w:bCs/>
                <w:sz w:val="24"/>
                <w:szCs w:val="24"/>
                <w:lang w:eastAsia="zh-CN"/>
              </w:rPr>
              <w:t>按照省市关于信息化建设的相关要求和绩效考核的指标，县人民医院需在“十四”末期</w:t>
            </w:r>
            <w:r>
              <w:rPr>
                <w:rFonts w:hint="eastAsia" w:ascii="FangSong" w:hAnsi="FangSong" w:eastAsia="FangSong" w:cs="FangSong"/>
                <w:bCs/>
                <w:sz w:val="24"/>
                <w:szCs w:val="24"/>
              </w:rPr>
              <w:t>建成智慧医院，医院能力提升达到三乙水平</w:t>
            </w:r>
            <w:r>
              <w:rPr>
                <w:rFonts w:hint="eastAsia" w:ascii="FangSong" w:hAnsi="FangSong" w:eastAsia="FangSong" w:cs="FangSong"/>
                <w:sz w:val="24"/>
                <w:szCs w:val="24"/>
              </w:rPr>
              <w:t>。总投资</w:t>
            </w:r>
            <w:r>
              <w:rPr>
                <w:rFonts w:hint="eastAsia" w:ascii="FangSong" w:hAnsi="FangSong" w:eastAsia="FangSong" w:cs="FangSong"/>
                <w:sz w:val="24"/>
                <w:szCs w:val="24"/>
                <w:lang w:val="en-US" w:eastAsia="zh-CN"/>
              </w:rPr>
              <w:t>2000</w:t>
            </w:r>
            <w:r>
              <w:rPr>
                <w:rFonts w:hint="eastAsia" w:ascii="FangSong" w:hAnsi="FangSong" w:eastAsia="FangSong" w:cs="FangSong"/>
                <w:sz w:val="24"/>
                <w:szCs w:val="24"/>
              </w:rPr>
              <w:t>万元。</w:t>
            </w:r>
          </w:p>
          <w:p>
            <w:pPr>
              <w:pStyle w:val="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firstLine="482" w:firstLineChars="200"/>
              <w:textAlignment w:val="auto"/>
              <w:rPr>
                <w:rFonts w:hint="eastAsia" w:ascii="FangSong" w:hAnsi="FangSong" w:eastAsia="FangSong" w:cs="FangSong"/>
                <w:sz w:val="24"/>
                <w:szCs w:val="24"/>
                <w:lang w:val="en-US" w:eastAsia="zh-CN"/>
              </w:rPr>
            </w:pPr>
            <w:r>
              <w:rPr>
                <w:rFonts w:hint="eastAsia" w:ascii="FangSong" w:hAnsi="FangSong" w:eastAsia="FangSong" w:cs="FangSong"/>
                <w:b/>
                <w:bCs/>
                <w:sz w:val="24"/>
                <w:szCs w:val="24"/>
                <w:lang w:val="en-US" w:eastAsia="zh-CN"/>
              </w:rPr>
              <w:t>12.</w:t>
            </w:r>
            <w:r>
              <w:rPr>
                <w:rFonts w:hint="eastAsia" w:ascii="FangSong" w:hAnsi="FangSong" w:eastAsia="FangSong" w:cs="FangSong"/>
                <w:sz w:val="24"/>
                <w:szCs w:val="24"/>
                <w:lang w:val="en-US" w:eastAsia="zh-CN"/>
              </w:rPr>
              <w:t>医养结合康复养老中心建设。在太阳坪规划完善彝医养生馆和城南新区规划建设医养结合康复养老中心，建筑面积15000平方米，设立开放床位200—300张，配齐配套设施设备，提供医疗、康复、养老结合的康养服务，需要时作为突发公共卫生事件的后备应急用房。预计总投资8000万元。</w:t>
            </w:r>
          </w:p>
          <w:p>
            <w:pPr>
              <w:pStyle w:val="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firstLine="482" w:firstLineChars="200"/>
              <w:textAlignment w:val="auto"/>
              <w:rPr>
                <w:rFonts w:hint="default" w:ascii="FangSong" w:hAnsi="FangSong" w:eastAsia="FangSong" w:cs="FangSong"/>
                <w:sz w:val="24"/>
                <w:szCs w:val="24"/>
              </w:rPr>
            </w:pPr>
            <w:r>
              <w:rPr>
                <w:rFonts w:hint="eastAsia" w:ascii="FangSong" w:hAnsi="FangSong" w:eastAsia="FangSong"/>
                <w:b/>
                <w:bCs/>
                <w:sz w:val="24"/>
                <w:lang w:val="en-US" w:eastAsia="zh-CN"/>
              </w:rPr>
              <w:t>13</w:t>
            </w:r>
            <w:r>
              <w:rPr>
                <w:rFonts w:hint="eastAsia" w:ascii="FangSong" w:hAnsi="FangSong" w:eastAsia="FangSong"/>
                <w:b/>
                <w:bCs/>
                <w:sz w:val="24"/>
              </w:rPr>
              <w:t>.妇幼儿童健康服务中心和普惠托育幼中心建设项目。</w:t>
            </w:r>
            <w:r>
              <w:rPr>
                <w:rFonts w:hint="eastAsia" w:ascii="FangSong" w:hAnsi="FangSong" w:eastAsia="FangSong"/>
                <w:bCs/>
                <w:sz w:val="24"/>
              </w:rPr>
              <w:t>新建妇幼儿童健康服务中心和可容纳</w:t>
            </w:r>
            <w:r>
              <w:rPr>
                <w:rFonts w:hint="eastAsia" w:ascii="FangSong" w:hAnsi="FangSong" w:eastAsia="FangSong"/>
                <w:bCs/>
                <w:sz w:val="24"/>
                <w:lang w:val="en-US" w:eastAsia="zh-CN"/>
              </w:rPr>
              <w:t>540</w:t>
            </w:r>
            <w:r>
              <w:rPr>
                <w:rFonts w:hint="eastAsia" w:ascii="FangSong" w:hAnsi="FangSong" w:eastAsia="FangSong"/>
                <w:bCs/>
                <w:sz w:val="24"/>
              </w:rPr>
              <w:t>人的普惠托育中心，总</w:t>
            </w:r>
            <w:r>
              <w:rPr>
                <w:rFonts w:hint="eastAsia" w:ascii="FangSong" w:hAnsi="FangSong" w:eastAsia="FangSong"/>
                <w:bCs/>
                <w:sz w:val="24"/>
                <w:lang w:eastAsia="zh-CN"/>
              </w:rPr>
              <w:t>建筑</w:t>
            </w:r>
            <w:r>
              <w:rPr>
                <w:rFonts w:hint="eastAsia" w:ascii="FangSong" w:hAnsi="FangSong" w:eastAsia="FangSong"/>
                <w:bCs/>
                <w:sz w:val="24"/>
              </w:rPr>
              <w:t>面积6000平方米，配齐设施设备。总投资5000万元。</w:t>
            </w:r>
          </w:p>
          <w:p>
            <w:pPr>
              <w:pStyle w:val="6"/>
              <w:keepNext w:val="0"/>
              <w:keepLines w:val="0"/>
              <w:suppressLineNumbers w:val="0"/>
              <w:spacing w:before="0" w:beforeAutospacing="0" w:after="0" w:afterAutospacing="0"/>
              <w:ind w:left="0" w:right="0" w:firstLine="480" w:firstLineChars="200"/>
              <w:rPr>
                <w:rFonts w:hint="default" w:ascii="FangSong" w:hAnsi="FangSong" w:eastAsia="FangSong" w:cs="FangSong"/>
                <w:sz w:val="24"/>
                <w:szCs w:val="24"/>
                <w:lang w:val="en-US" w:eastAsia="zh-CN"/>
              </w:rPr>
            </w:pPr>
          </w:p>
          <w:p>
            <w:pPr>
              <w:pStyle w:val="6"/>
              <w:keepNext w:val="0"/>
              <w:keepLines w:val="0"/>
              <w:suppressLineNumbers w:val="0"/>
              <w:spacing w:before="0" w:beforeAutospacing="0" w:after="0" w:afterAutospacing="0"/>
              <w:ind w:left="0" w:right="0"/>
              <w:rPr>
                <w:rFonts w:hint="default"/>
              </w:rPr>
            </w:pPr>
          </w:p>
        </w:tc>
      </w:tr>
    </w:tbl>
    <w:p>
      <w:pPr>
        <w:pStyle w:val="6"/>
        <w:spacing w:line="360" w:lineRule="auto"/>
        <w:rPr>
          <w:rFonts w:ascii="FangSong_GB2312" w:hAnsi="FangSong_GB2312" w:eastAsia="FangSong_GB2312" w:cs="FangSong_GB2312"/>
          <w:sz w:val="32"/>
          <w:szCs w:val="32"/>
        </w:rPr>
      </w:pPr>
    </w:p>
    <w:p>
      <w:pPr>
        <w:pStyle w:val="6"/>
        <w:keepNext w:val="0"/>
        <w:keepLines w:val="0"/>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三、健康保障兜底工程</w:t>
      </w:r>
    </w:p>
    <w:p>
      <w:pPr>
        <w:pStyle w:val="6"/>
        <w:keepNext w:val="0"/>
        <w:keepLines w:val="0"/>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val="0"/>
          <w:i w:val="0"/>
          <w:iCs w:val="0"/>
          <w:sz w:val="32"/>
          <w:szCs w:val="32"/>
        </w:rPr>
        <w:t>（一）强化医疗保障。</w:t>
      </w:r>
      <w:r>
        <w:rPr>
          <w:rFonts w:hint="eastAsia" w:ascii="FangSong_GB2312" w:hAnsi="FangSong_GB2312" w:eastAsia="FangSong_GB2312" w:cs="FangSong_GB2312"/>
          <w:sz w:val="32"/>
          <w:szCs w:val="32"/>
        </w:rPr>
        <w:t>全力推动医保、医药、医疗“三医”改革，发挥医保制度的“牛鼻子”作用，提高基本医疗保障水平，实施全民参保计划，落实特殊群体资助参保政策，提升参保覆盖面，城乡居民基本医疗保险参保率达98%以上。实施医疗救助保障工程，健全重大疾病医疗保险和救助制度，落实医疗保险转移接续、异地就医直接结算制度。推进支付方式改革，深化医疗卫生制度改革，实施国家组织药品和耗材集中采购，落实“互联网+”医疗服务价格和医保支付政策，探索对紧密型县域医共体实行总额付费。提升经办服务能力，实施医疗保障服务中心信息化（标准化）建设，强化医保基金监管。</w:t>
      </w:r>
    </w:p>
    <w:p>
      <w:pPr>
        <w:pStyle w:val="6"/>
        <w:keepNext w:val="0"/>
        <w:keepLines w:val="0"/>
        <w:pageBreakBefore w:val="0"/>
        <w:widowControl w:val="0"/>
        <w:kinsoku/>
        <w:wordWrap/>
        <w:overflowPunct/>
        <w:topLinePunct w:val="0"/>
        <w:autoSpaceDE/>
        <w:autoSpaceDN/>
        <w:bidi w:val="0"/>
        <w:adjustRightInd/>
        <w:snapToGrid w:val="0"/>
        <w:spacing w:line="620" w:lineRule="exact"/>
        <w:ind w:firstLine="640" w:firstLineChars="200"/>
        <w:textAlignment w:val="auto"/>
        <w:rPr>
          <w:rFonts w:ascii="FangSong_GB2312" w:eastAsia="FangSong_GB2312"/>
          <w:sz w:val="32"/>
          <w:szCs w:val="32"/>
        </w:rPr>
      </w:pPr>
      <w:r>
        <w:rPr>
          <w:rFonts w:hint="eastAsia" w:ascii="FangSong_GB2312" w:hAnsi="FangSong_GB2312" w:eastAsia="FangSong_GB2312" w:cs="FangSong_GB2312"/>
          <w:b/>
          <w:bCs w:val="0"/>
          <w:i w:val="0"/>
          <w:iCs w:val="0"/>
          <w:sz w:val="32"/>
          <w:szCs w:val="32"/>
        </w:rPr>
        <w:t>（二）提升妇幼健康水平。</w:t>
      </w:r>
      <w:r>
        <w:rPr>
          <w:rFonts w:hint="eastAsia" w:ascii="FangSong_GB2312" w:hAnsi="SimSun" w:eastAsia="FangSong_GB2312" w:cs="SimSun"/>
          <w:bCs/>
          <w:sz w:val="32"/>
          <w:szCs w:val="32"/>
        </w:rPr>
        <w:t>实施母婴安全计划，倡</w:t>
      </w:r>
      <w:r>
        <w:rPr>
          <w:rFonts w:hint="eastAsia" w:ascii="FangSong_GB2312" w:hAnsi="SimSun" w:eastAsia="FangSong_GB2312" w:cs="SimSun"/>
          <w:sz w:val="32"/>
          <w:szCs w:val="32"/>
        </w:rPr>
        <w:t>导优生优育，向孕产妇免费提供生育全过程的基本医疗保健服务，全面实施住院分娩补助；加强出生缺陷综合防控，实施</w:t>
      </w:r>
      <w:r>
        <w:rPr>
          <w:rFonts w:hint="eastAsia" w:ascii="FangSong_GB2312" w:hAnsi="FangSong_GB2312" w:eastAsia="FangSong_GB2312" w:cs="FangSong_GB2312"/>
          <w:sz w:val="32"/>
          <w:szCs w:val="32"/>
        </w:rPr>
        <w:t>贫困地区新生儿遗传代谢病筛查项目</w:t>
      </w:r>
      <w:r>
        <w:rPr>
          <w:rFonts w:hint="eastAsia" w:ascii="FangSong_GB2312" w:hAnsi="SimSun" w:eastAsia="FangSong_GB2312" w:cs="SimSun"/>
          <w:sz w:val="32"/>
          <w:szCs w:val="32"/>
        </w:rPr>
        <w:t>；建立参加自愿婚前医学检查激励机制，对参加自愿婚前医学检查的夫妇给予奖励</w:t>
      </w:r>
      <w:r>
        <w:rPr>
          <w:rFonts w:hint="eastAsia" w:ascii="FangSong_GB2312" w:eastAsia="FangSong_GB2312"/>
          <w:sz w:val="32"/>
          <w:szCs w:val="32"/>
        </w:rPr>
        <w:t>；</w:t>
      </w:r>
      <w:r>
        <w:rPr>
          <w:rFonts w:hint="eastAsia" w:ascii="FangSong_GB2312" w:hAnsi="SimSun" w:eastAsia="FangSong_GB2312" w:cs="SimSun"/>
          <w:bCs/>
          <w:sz w:val="32"/>
          <w:szCs w:val="32"/>
        </w:rPr>
        <w:t>开展妇女常见病和“</w:t>
      </w:r>
      <w:r>
        <w:rPr>
          <w:rFonts w:hint="eastAsia" w:ascii="FangSong_GB2312" w:hAnsi="FangSong_GB2312" w:eastAsia="FangSong_GB2312" w:cs="FangSong_GB2312"/>
          <w:sz w:val="32"/>
          <w:szCs w:val="32"/>
        </w:rPr>
        <w:t>两癌</w:t>
      </w:r>
      <w:r>
        <w:rPr>
          <w:rFonts w:hint="eastAsia" w:ascii="FangSong_GB2312" w:hAnsi="SimSun" w:eastAsia="FangSong_GB2312" w:cs="SimSun"/>
          <w:bCs/>
          <w:sz w:val="32"/>
          <w:szCs w:val="32"/>
        </w:rPr>
        <w:t>”筛查，提高妇女病筛查率和早诊早治率；</w:t>
      </w:r>
      <w:r>
        <w:rPr>
          <w:rFonts w:hint="eastAsia" w:ascii="FangSong_GB2312" w:hAnsi="SimSun" w:eastAsia="FangSong_GB2312" w:cs="SimSun"/>
          <w:sz w:val="32"/>
          <w:szCs w:val="32"/>
        </w:rPr>
        <w:t>开展0至6岁残疾儿童筛查工作，实现残疾儿童早发现、早诊断、早干预；</w:t>
      </w:r>
      <w:r>
        <w:rPr>
          <w:rFonts w:hint="eastAsia" w:ascii="FangSong_GB2312" w:eastAsia="FangSong_GB2312"/>
          <w:sz w:val="32"/>
          <w:szCs w:val="32"/>
        </w:rPr>
        <w:t>加大对出生医学证明监管检查力度，坚决查处违法违规行为。</w:t>
      </w:r>
    </w:p>
    <w:p>
      <w:pPr>
        <w:pStyle w:val="6"/>
        <w:keepNext w:val="0"/>
        <w:keepLines w:val="0"/>
        <w:pageBreakBefore w:val="0"/>
        <w:widowControl w:val="0"/>
        <w:kinsoku/>
        <w:wordWrap/>
        <w:overflowPunct/>
        <w:topLinePunct w:val="0"/>
        <w:autoSpaceDE/>
        <w:autoSpaceDN/>
        <w:bidi w:val="0"/>
        <w:adjustRightInd/>
        <w:snapToGrid w:val="0"/>
        <w:spacing w:line="620" w:lineRule="exact"/>
        <w:ind w:firstLine="640" w:firstLineChars="200"/>
        <w:textAlignment w:val="auto"/>
        <w:rPr>
          <w:rFonts w:ascii="FangSong_GB2312" w:hAnsi="FangSong" w:eastAsia="FangSong_GB2312"/>
          <w:sz w:val="32"/>
          <w:szCs w:val="32"/>
        </w:rPr>
      </w:pPr>
      <w:r>
        <w:rPr>
          <w:rFonts w:hint="eastAsia" w:ascii="FangSong_GB2312" w:hAnsi="FangSong_GB2312" w:eastAsia="FangSong_GB2312" w:cs="FangSong_GB2312"/>
          <w:b/>
          <w:bCs w:val="0"/>
          <w:i w:val="0"/>
          <w:iCs w:val="0"/>
          <w:sz w:val="32"/>
          <w:szCs w:val="32"/>
        </w:rPr>
        <w:t>（三）提升人口和计划生育服务水平。</w:t>
      </w:r>
      <w:r>
        <w:rPr>
          <w:rFonts w:hint="eastAsia" w:ascii="FangSong_GB2312" w:hAnsi="FangSong" w:eastAsia="FangSong_GB2312"/>
          <w:bCs/>
          <w:sz w:val="32"/>
          <w:szCs w:val="32"/>
        </w:rPr>
        <w:t>改革完善计划生育服务管理体系，加强出生人口动态监测，鼓</w:t>
      </w:r>
      <w:r>
        <w:rPr>
          <w:rFonts w:hint="eastAsia" w:ascii="FangSong_GB2312" w:hAnsi="FangSong" w:eastAsia="FangSong_GB2312"/>
          <w:sz w:val="32"/>
          <w:szCs w:val="32"/>
        </w:rPr>
        <w:t>励群众按政策生育，促进人口均衡发展。深化计划生育利益导向机制，加大对独生子女死亡伤残家庭扶持力度。建立多元化、多样化，覆盖城乡的婴幼儿照护服务体系，婴幼儿社会化照护率达到全市平均水平。</w:t>
      </w:r>
    </w:p>
    <w:p>
      <w:pPr>
        <w:pStyle w:val="6"/>
        <w:keepNext w:val="0"/>
        <w:keepLines w:val="0"/>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KaiTi_GB2312" w:hAnsi="KaiTi_GB2312" w:eastAsia="KaiTi_GB2312" w:cs="KaiTi_GB2312"/>
          <w:b/>
          <w:bCs/>
          <w:sz w:val="32"/>
          <w:szCs w:val="32"/>
        </w:rPr>
      </w:pPr>
      <w:r>
        <w:rPr>
          <w:rFonts w:hint="eastAsia" w:ascii="FangSong_GB2312" w:hAnsi="FangSong_GB2312" w:eastAsia="FangSong_GB2312" w:cs="FangSong_GB2312"/>
          <w:b/>
          <w:bCs w:val="0"/>
          <w:i w:val="0"/>
          <w:iCs w:val="0"/>
          <w:sz w:val="32"/>
          <w:szCs w:val="32"/>
        </w:rPr>
        <w:t>（四）开展老年健康服务。</w:t>
      </w:r>
      <w:r>
        <w:rPr>
          <w:rFonts w:hint="eastAsia" w:ascii="FangSong_GB2312" w:eastAsia="FangSong_GB2312"/>
          <w:sz w:val="32"/>
          <w:szCs w:val="32"/>
        </w:rPr>
        <w:t>开展老年常见病、慢性病的健康指导和综合干预，65岁以上老年人健康管理率达到70%以上。提高基层医疗卫生机构为居家老年人提供上门服务的能力，加强综合性医院老年病科建设，</w:t>
      </w:r>
      <w:r>
        <w:rPr>
          <w:rFonts w:hint="eastAsia" w:ascii="FangSong" w:hAnsi="FangSong" w:eastAsia="FangSong" w:cs="FangSong"/>
          <w:sz w:val="32"/>
          <w:szCs w:val="32"/>
          <w:lang w:val="en-US" w:eastAsia="zh-CN"/>
        </w:rPr>
        <w:t>规划新建核桃坪二级乙等医院（峨边老年病专科医院），</w:t>
      </w:r>
      <w:r>
        <w:rPr>
          <w:rFonts w:hint="eastAsia" w:ascii="FangSong_GB2312" w:eastAsia="FangSong_GB2312"/>
          <w:sz w:val="32"/>
          <w:szCs w:val="32"/>
        </w:rPr>
        <w:t>提高基层医疗卫生机构康复、护理床位占比。推动医疗卫生</w:t>
      </w:r>
      <w:r>
        <w:rPr>
          <w:rFonts w:hint="eastAsia" w:ascii="FangSong_GB2312"/>
          <w:sz w:val="32"/>
          <w:szCs w:val="32"/>
          <w:lang w:eastAsia="zh-CN"/>
        </w:rPr>
        <w:t>与</w:t>
      </w:r>
      <w:r>
        <w:rPr>
          <w:rFonts w:hint="eastAsia" w:ascii="FangSong_GB2312" w:eastAsia="FangSong_GB2312"/>
          <w:sz w:val="32"/>
          <w:szCs w:val="32"/>
        </w:rPr>
        <w:t>康养服务融合发展，建立健全医疗机构与养老机构之间的业务协作机制。</w:t>
      </w:r>
    </w:p>
    <w:p>
      <w:pPr>
        <w:pStyle w:val="6"/>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四、人才队伍培养工程</w:t>
      </w:r>
    </w:p>
    <w:p>
      <w:pPr>
        <w:pStyle w:val="6"/>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FangSong_GB2312" w:hAnsi="FangSong_GB2312" w:eastAsia="FangSong_GB2312" w:cs="FangSong_GB2312"/>
          <w:bCs/>
          <w:sz w:val="32"/>
          <w:szCs w:val="32"/>
        </w:rPr>
      </w:pPr>
      <w:r>
        <w:rPr>
          <w:rFonts w:hint="eastAsia" w:ascii="FangSong_GB2312" w:hAnsi="FangSong_GB2312" w:eastAsia="FangSong_GB2312" w:cs="FangSong_GB2312"/>
          <w:b/>
          <w:bCs/>
          <w:sz w:val="32"/>
          <w:szCs w:val="32"/>
        </w:rPr>
        <w:t>（一）拓宽招引人才渠道。</w:t>
      </w:r>
      <w:r>
        <w:rPr>
          <w:rFonts w:hint="eastAsia" w:ascii="FangSong_GB2312" w:hAnsi="FangSong" w:eastAsia="FangSong_GB2312"/>
          <w:sz w:val="32"/>
          <w:szCs w:val="32"/>
        </w:rPr>
        <w:t>坚决贯彻省委 省政府《关于加快推进卫生与健康事业发展的意见》精神，多渠道引进和培养卫生人才，加大农村订单定向医学生（本科）免费培养、定向医学专科生引进力度，制定紧缺卫生专业人才考核聘用政策，依托乐山职业技术学院培养我县本土卫生人才，</w:t>
      </w:r>
      <w:r>
        <w:rPr>
          <w:rFonts w:hint="eastAsia" w:ascii="FangSong_GB2312" w:hAnsi="FangSong" w:eastAsia="FangSong_GB2312"/>
          <w:bCs/>
          <w:sz w:val="32"/>
          <w:szCs w:val="32"/>
        </w:rPr>
        <w:t>力争5年内</w:t>
      </w:r>
      <w:r>
        <w:rPr>
          <w:rFonts w:hint="eastAsia" w:ascii="FangSong_GB2312" w:hAnsi="FangSong" w:eastAsia="FangSong_GB2312"/>
          <w:sz w:val="32"/>
          <w:szCs w:val="32"/>
        </w:rPr>
        <w:t>每千人口执业（助理医师）达到1.8人，每千人口注册护士达到2.0人，切实解决我县卫生人才短缺问题。优化卫生人才队伍的结构，均衡医、药、护、技等专业人才比例，实现</w:t>
      </w:r>
      <w:r>
        <w:rPr>
          <w:rFonts w:hint="eastAsia" w:ascii="FangSong_GB2312" w:hAnsi="FangSong_GB2312" w:eastAsia="FangSong_GB2312" w:cs="FangSong_GB2312"/>
          <w:bCs/>
          <w:sz w:val="32"/>
          <w:szCs w:val="32"/>
        </w:rPr>
        <w:t>中高级专业技术人才比例由2020年的36%提升到45%。</w:t>
      </w:r>
    </w:p>
    <w:p>
      <w:pPr>
        <w:pStyle w:val="6"/>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FangSong_GB2312" w:hAnsi="FangSong" w:eastAsia="FangSong_GB2312" w:cs="FangSong_GB2312"/>
          <w:bCs/>
          <w:kern w:val="0"/>
          <w:sz w:val="32"/>
          <w:szCs w:val="32"/>
        </w:rPr>
      </w:pPr>
      <w:r>
        <w:rPr>
          <w:rFonts w:hint="eastAsia" w:ascii="FangSong_GB2312" w:hAnsi="FangSong_GB2312" w:eastAsia="FangSong_GB2312" w:cs="FangSong_GB2312"/>
          <w:b/>
          <w:bCs/>
          <w:sz w:val="32"/>
          <w:szCs w:val="32"/>
        </w:rPr>
        <w:t>（二）激发医务人员的内生动力。</w:t>
      </w:r>
      <w:r>
        <w:rPr>
          <w:rFonts w:hint="eastAsia" w:ascii="FangSong" w:hAnsi="FangSong" w:eastAsia="FangSong"/>
          <w:sz w:val="32"/>
          <w:szCs w:val="32"/>
        </w:rPr>
        <w:t>实施薪酬制度改革，</w:t>
      </w:r>
      <w:r>
        <w:rPr>
          <w:rFonts w:hint="eastAsia" w:ascii="FangSong_GB2312" w:hAnsi="FangSong" w:eastAsia="FangSong_GB2312" w:cs="FangSong_GB2312"/>
          <w:bCs/>
          <w:kern w:val="0"/>
          <w:sz w:val="32"/>
          <w:szCs w:val="32"/>
        </w:rPr>
        <w:t>建立与医疗服务劳动价值匹配的</w:t>
      </w:r>
      <w:r>
        <w:rPr>
          <w:rFonts w:hint="eastAsia" w:ascii="FangSong" w:hAnsi="FangSong" w:eastAsia="FangSong"/>
          <w:sz w:val="32"/>
          <w:szCs w:val="32"/>
        </w:rPr>
        <w:t>绩效工资制度，建立乡</w:t>
      </w:r>
      <w:r>
        <w:rPr>
          <w:rFonts w:hint="eastAsia" w:ascii="FangSong_GB2312" w:hAnsi="FangSong" w:eastAsia="FangSong_GB2312" w:cs="FangSong_GB2312"/>
          <w:bCs/>
          <w:kern w:val="0"/>
          <w:sz w:val="32"/>
          <w:szCs w:val="32"/>
        </w:rPr>
        <w:t>村卫生人员稳定长效的激励机制，出台政策解决</w:t>
      </w:r>
      <w:r>
        <w:rPr>
          <w:rFonts w:hint="eastAsia" w:ascii="FangSong_GB2312" w:hAnsi="FangSong" w:eastAsia="FangSong_GB2312" w:cs="FangSong_GB2312"/>
          <w:bCs/>
          <w:kern w:val="0"/>
          <w:sz w:val="32"/>
          <w:szCs w:val="32"/>
          <w:lang w:eastAsia="zh-CN"/>
        </w:rPr>
        <w:t>乡</w:t>
      </w:r>
      <w:r>
        <w:rPr>
          <w:rFonts w:hint="eastAsia" w:ascii="FangSong_GB2312" w:hAnsi="FangSong" w:eastAsia="FangSong_GB2312" w:cs="FangSong_GB2312"/>
          <w:bCs/>
          <w:kern w:val="0"/>
          <w:sz w:val="32"/>
          <w:szCs w:val="32"/>
        </w:rPr>
        <w:t>村医生队伍中的遗留问题。持续开展</w:t>
      </w:r>
      <w:r>
        <w:rPr>
          <w:rFonts w:hint="eastAsia" w:ascii="FangSong_GB2312" w:hAnsi="FangSong_GB2312" w:eastAsia="FangSong_GB2312" w:cs="FangSong_GB2312"/>
          <w:sz w:val="32"/>
          <w:szCs w:val="32"/>
        </w:rPr>
        <w:t>民族地区基层医疗卫生机构技术大练兵、设备使用率提升行动和健康管理全覆盖“</w:t>
      </w:r>
      <w:r>
        <w:rPr>
          <w:rFonts w:hint="eastAsia" w:ascii="FangSong_GB2312" w:hAnsi="FangSong" w:eastAsia="FangSong_GB2312" w:cs="FangSong_GB2312"/>
          <w:bCs/>
          <w:kern w:val="0"/>
          <w:sz w:val="32"/>
          <w:szCs w:val="32"/>
        </w:rPr>
        <w:t>三大行动</w:t>
      </w:r>
      <w:r>
        <w:rPr>
          <w:rFonts w:hint="eastAsia" w:ascii="FangSong_GB2312" w:hAnsi="FangSong_GB2312" w:eastAsia="FangSong_GB2312" w:cs="FangSong_GB2312"/>
          <w:sz w:val="32"/>
          <w:szCs w:val="32"/>
        </w:rPr>
        <w:t>”</w:t>
      </w:r>
      <w:r>
        <w:rPr>
          <w:rFonts w:hint="eastAsia" w:ascii="FangSong_GB2312" w:hAnsi="FangSong" w:eastAsia="FangSong_GB2312" w:cs="FangSong_GB2312"/>
          <w:bCs/>
          <w:kern w:val="0"/>
          <w:sz w:val="32"/>
          <w:szCs w:val="32"/>
        </w:rPr>
        <w:t>，形成医务人员比、学、超、帮的良好氛围，提升综合服务能力，增强医务人员职业荣誉感、价值感和成就感，激发积极性、创造性。</w:t>
      </w:r>
    </w:p>
    <w:p>
      <w:pPr>
        <w:pStyle w:val="6"/>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FangSong_GB2312" w:hAnsi="FangSong_GB2312" w:eastAsia="FangSong_GB2312" w:cs="FangSong_GB2312"/>
          <w:b/>
          <w:sz w:val="32"/>
          <w:szCs w:val="32"/>
        </w:rPr>
      </w:pPr>
      <w:r>
        <w:rPr>
          <w:rFonts w:hint="eastAsia" w:ascii="FangSong_GB2312" w:hAnsi="FangSong_GB2312" w:eastAsia="FangSong_GB2312" w:cs="FangSong_GB2312"/>
          <w:b/>
          <w:bCs/>
          <w:sz w:val="32"/>
          <w:szCs w:val="32"/>
        </w:rPr>
        <w:t>（三）加强医疗队伍素能培训。</w:t>
      </w:r>
      <w:r>
        <w:rPr>
          <w:rFonts w:hint="eastAsia" w:ascii="FangSong_GB2312" w:hAnsi="FangSong_GB2312" w:eastAsia="FangSong_GB2312" w:cs="FangSong_GB2312"/>
          <w:sz w:val="32"/>
          <w:szCs w:val="32"/>
        </w:rPr>
        <w:t>持续加强医德医风建设，通过典型引路、正向激励，以案说法、反面警示等方式彻底解决服务意识不强、服务态度不优、服务行为不规范等问题，杜绝开大处方、收受红包等行为。采取“请进来、走出去”、线上线下双结合等形式强化人员培训，促进医务人员学历和职称双提升。</w:t>
      </w:r>
    </w:p>
    <w:p>
      <w:pPr>
        <w:keepNext w:val="0"/>
        <w:keepLines w:val="0"/>
        <w:pageBreakBefore w:val="0"/>
        <w:widowControl w:val="0"/>
        <w:kinsoku/>
        <w:wordWrap/>
        <w:overflowPunct/>
        <w:topLinePunct w:val="0"/>
        <w:autoSpaceDE/>
        <w:autoSpaceDN/>
        <w:bidi w:val="0"/>
        <w:adjustRightInd/>
        <w:snapToGrid/>
        <w:spacing w:line="600" w:lineRule="exact"/>
        <w:ind w:firstLine="2570" w:firstLineChars="800"/>
        <w:textAlignment w:val="auto"/>
        <w:rPr>
          <w:rFonts w:hint="eastAsia" w:ascii="SimHei" w:hAnsi="SimHei" w:eastAsia="SimHei" w:cs="SimHei"/>
          <w:b/>
          <w:bCs/>
          <w:sz w:val="32"/>
          <w:szCs w:val="32"/>
        </w:rPr>
      </w:pP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3200" w:firstLineChars="1000"/>
        <w:jc w:val="both"/>
        <w:textAlignment w:val="auto"/>
        <w:rPr>
          <w:rFonts w:hint="eastAsia" w:ascii="SimHei" w:hAnsi="SimHei" w:eastAsia="SimHei" w:cs="SimHei"/>
          <w:b w:val="0"/>
          <w:bCs w:val="0"/>
          <w:sz w:val="32"/>
          <w:szCs w:val="32"/>
        </w:rPr>
      </w:pPr>
      <w:r>
        <w:rPr>
          <w:rFonts w:hint="eastAsia" w:ascii="SimHei" w:hAnsi="SimHei" w:eastAsia="SimHei" w:cs="SimHei"/>
          <w:b w:val="0"/>
          <w:bCs w:val="0"/>
          <w:sz w:val="32"/>
          <w:szCs w:val="32"/>
        </w:rPr>
        <w:t xml:space="preserve"> 保障措施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SimHei" w:hAnsi="SimHei" w:eastAsia="SimHei" w:cs="SimHei"/>
          <w:b w:val="0"/>
          <w:bCs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SimHei" w:hAnsi="SimHei" w:eastAsia="SimHei" w:cs="SimHei"/>
          <w:b w:val="0"/>
          <w:bCs w:val="0"/>
          <w:sz w:val="32"/>
          <w:szCs w:val="32"/>
        </w:rPr>
      </w:pPr>
      <w:r>
        <w:rPr>
          <w:rFonts w:hint="eastAsia" w:ascii="SimHei" w:hAnsi="SimHei" w:eastAsia="SimHei" w:cs="SimHei"/>
          <w:b w:val="0"/>
          <w:bCs w:val="0"/>
          <w:sz w:val="32"/>
          <w:szCs w:val="32"/>
        </w:rPr>
        <w:t>一、坚持政府主导，加大财政投入</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FangSong_GB2312" w:hAnsi="FangSong_GB2312" w:eastAsia="FangSong_GB2312" w:cs="FangSong_GB2312"/>
          <w:b/>
          <w:sz w:val="32"/>
          <w:szCs w:val="32"/>
        </w:rPr>
      </w:pPr>
      <w:r>
        <w:rPr>
          <w:rFonts w:hint="eastAsia" w:ascii="FangSong_GB2312" w:hAnsi="FangSong_GB2312" w:eastAsia="FangSong_GB2312" w:cs="FangSong_GB2312"/>
          <w:bCs/>
          <w:sz w:val="32"/>
          <w:szCs w:val="32"/>
        </w:rPr>
        <w:t>卫生健康服务体系建设坚持政府主导，最大限度发挥政府的公共服务职能。严格按照政府卫生投入政策，落实对</w:t>
      </w:r>
      <w:r>
        <w:rPr>
          <w:rFonts w:hint="eastAsia" w:ascii="FangSong_GB2312" w:hAnsi="FangSong_GB2312" w:eastAsia="FangSong_GB2312" w:cs="FangSong_GB2312"/>
          <w:bCs/>
          <w:sz w:val="32"/>
          <w:szCs w:val="32"/>
          <w:lang w:eastAsia="zh-CN"/>
        </w:rPr>
        <w:t>卫生健康</w:t>
      </w:r>
      <w:r>
        <w:rPr>
          <w:rFonts w:hint="eastAsia" w:ascii="FangSong_GB2312" w:hAnsi="FangSong_GB2312" w:eastAsia="FangSong_GB2312" w:cs="FangSong_GB2312"/>
          <w:bCs/>
          <w:sz w:val="32"/>
          <w:szCs w:val="32"/>
        </w:rPr>
        <w:t>的投入，保障体系建设配套资金足额到位。在土地利用和城乡总体规划中统筹考虑医疗卫生机构发展需要，保障用地供给。要精心组织、精细实施重大疾病防治、卫生监督、精神卫生防治、妇幼保健、基层医疗卫生等重大医疗卫生服务体系建设项目，改善各级各类医疗卫生服务体系的基础设施条件。</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SimHei" w:hAnsi="SimHei" w:eastAsia="SimHei" w:cs="SimHei"/>
          <w:b w:val="0"/>
          <w:bCs w:val="0"/>
          <w:sz w:val="32"/>
          <w:szCs w:val="32"/>
        </w:rPr>
      </w:pPr>
      <w:r>
        <w:rPr>
          <w:rFonts w:hint="eastAsia" w:ascii="SimHei" w:hAnsi="SimHei" w:eastAsia="SimHei" w:cs="SimHei"/>
          <w:b w:val="0"/>
          <w:bCs w:val="0"/>
          <w:sz w:val="32"/>
          <w:szCs w:val="32"/>
        </w:rPr>
        <w:t>二、强化工作协作，形成部门合力</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ascii="FangSong_GB2312" w:hAnsi="KaiTi" w:eastAsia="FangSong_GB2312" w:cs="Microsoft YaHei"/>
          <w:b/>
          <w:sz w:val="32"/>
          <w:szCs w:val="32"/>
        </w:rPr>
      </w:pPr>
      <w:r>
        <w:rPr>
          <w:rFonts w:hint="eastAsia" w:ascii="FangSong_GB2312" w:eastAsia="FangSong_GB2312" w:cs="FangSong_GB2312"/>
          <w:sz w:val="32"/>
          <w:szCs w:val="32"/>
        </w:rPr>
        <w:t>“十四五”</w:t>
      </w:r>
      <w:r>
        <w:rPr>
          <w:rFonts w:hint="eastAsia" w:ascii="FangSong_GB2312" w:eastAsia="FangSong_GB2312" w:cs="FangSong_GB2312"/>
          <w:sz w:val="32"/>
          <w:szCs w:val="32"/>
          <w:lang w:eastAsia="zh-CN"/>
        </w:rPr>
        <w:t>卫生健康</w:t>
      </w:r>
      <w:r>
        <w:rPr>
          <w:rFonts w:hint="eastAsia" w:ascii="FangSong_GB2312" w:eastAsia="FangSong_GB2312" w:cs="FangSong_GB2312"/>
          <w:sz w:val="32"/>
          <w:szCs w:val="32"/>
        </w:rPr>
        <w:t>发展规划是未来5年卫生发展的宏伟蓝图，要切实把卫生改革与发展作为事关全局的大事，认真组织规划实施。政府是实施规划的责任主体和工作主体，要把规划作为财政投入、项目建设、人员配置、床位设置、绩效考核等的依据，增强规划的约束力。要狠抓落实、责任到位，把规划的实施纳入政府的重要议事日程，全面完成规划提出的各项目标任务。发改、财政、人社、住建、卫健等各有关部门要大力支持和密切配合，县卫健局加强规划实施和监控，将</w:t>
      </w:r>
      <w:r>
        <w:rPr>
          <w:rFonts w:hint="eastAsia" w:ascii="FangSong_GB2312" w:eastAsia="FangSong_GB2312" w:cs="FangSong_GB2312"/>
          <w:sz w:val="32"/>
          <w:szCs w:val="32"/>
          <w:lang w:eastAsia="zh-CN"/>
        </w:rPr>
        <w:t>卫生健康</w:t>
      </w:r>
      <w:r>
        <w:rPr>
          <w:rFonts w:hint="eastAsia" w:ascii="FangSong_GB2312" w:eastAsia="FangSong_GB2312" w:cs="FangSong_GB2312"/>
          <w:sz w:val="32"/>
          <w:szCs w:val="32"/>
        </w:rPr>
        <w:t>发展与经济发展、和谐社会的构建等统一起来，严格控制不合理的医疗卫生资源投入，稳固公立医疗机构的主导地位，充分发挥市场调节功能，科学配置医疗卫生资源，保证规划的落实，促进规划目标的实现。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SimHei" w:hAnsi="SimHei" w:eastAsia="SimHei" w:cs="SimHei"/>
          <w:b w:val="0"/>
          <w:bCs w:val="0"/>
          <w:sz w:val="32"/>
          <w:szCs w:val="32"/>
        </w:rPr>
      </w:pPr>
      <w:r>
        <w:rPr>
          <w:rFonts w:hint="eastAsia" w:ascii="SimHei" w:hAnsi="SimHei" w:eastAsia="SimHei" w:cs="SimHei"/>
          <w:b w:val="0"/>
          <w:bCs w:val="0"/>
          <w:sz w:val="32"/>
          <w:szCs w:val="32"/>
        </w:rPr>
        <w:t>三、强化宏观调控，实施行业管理</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FangSong_GB2312" w:hAnsi="FangSong_GB2312" w:eastAsia="FangSong_GB2312" w:cs="FangSong_GB2312"/>
          <w:bCs/>
          <w:sz w:val="32"/>
          <w:szCs w:val="32"/>
        </w:rPr>
      </w:pPr>
      <w:r>
        <w:rPr>
          <w:rFonts w:hint="eastAsia" w:ascii="FangSong_GB2312" w:hAnsi="FangSong_GB2312" w:eastAsia="FangSong_GB2312" w:cs="FangSong_GB2312"/>
          <w:bCs/>
          <w:sz w:val="32"/>
          <w:szCs w:val="32"/>
        </w:rPr>
        <w:t>以医疗卫生服务体系规划为依据，对区域内的医疗资源配置实行宏观调控，对医疗卫生行业内的所有资源实行属地化管理，有计划地协调发展公立医疗机构</w:t>
      </w:r>
      <w:r>
        <w:rPr>
          <w:rFonts w:hint="eastAsia" w:ascii="FangSong_GB2312" w:hAnsi="FangSong_GB2312" w:eastAsia="SimSun" w:cs="FangSong_GB2312"/>
          <w:bCs/>
          <w:sz w:val="32"/>
          <w:szCs w:val="32"/>
          <w:lang w:eastAsia="zh-CN"/>
        </w:rPr>
        <w:t>；</w:t>
      </w:r>
      <w:r>
        <w:rPr>
          <w:rFonts w:hint="eastAsia" w:ascii="FangSong_GB2312" w:hAnsi="FangSong_GB2312" w:eastAsia="FangSong_GB2312" w:cs="FangSong_GB2312"/>
          <w:bCs/>
          <w:sz w:val="32"/>
          <w:szCs w:val="32"/>
        </w:rPr>
        <w:t>以区域卫生规划和医疗机构设置规划为依据，按照医疗机构设置标准，有计划地审批社会办医疗卫生机构。对各级医疗卫生机构的资源配置进行统一规划、协调发展。</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SimHei" w:hAnsi="SimHei" w:eastAsia="SimHei" w:cs="SimHei"/>
          <w:b w:val="0"/>
          <w:bCs w:val="0"/>
          <w:sz w:val="32"/>
          <w:szCs w:val="32"/>
        </w:rPr>
      </w:pPr>
      <w:r>
        <w:rPr>
          <w:rFonts w:hint="eastAsia" w:ascii="SimHei" w:hAnsi="SimHei" w:eastAsia="SimHei" w:cs="SimHei"/>
          <w:b w:val="0"/>
          <w:bCs w:val="0"/>
          <w:sz w:val="32"/>
          <w:szCs w:val="32"/>
        </w:rPr>
        <w:t>四、强化监督管理，科学考核评估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FangSong_GB2312" w:hAnsi="FangSong_GB2312" w:eastAsia="FangSong_GB2312" w:cs="FangSong_GB2312"/>
          <w:bCs/>
          <w:sz w:val="32"/>
          <w:szCs w:val="32"/>
          <w:lang w:eastAsia="zh-CN"/>
        </w:rPr>
      </w:pPr>
      <w:r>
        <w:rPr>
          <w:rFonts w:hint="eastAsia" w:ascii="FangSong_GB2312" w:hAnsi="FangSong_GB2312" w:eastAsia="FangSong_GB2312" w:cs="FangSong_GB2312"/>
          <w:bCs/>
          <w:sz w:val="32"/>
          <w:szCs w:val="32"/>
        </w:rPr>
        <w:t>加强对规划实施情况的动态监测与跟踪分析，及时发现和解决执行中出现的问题，推进规划顺利实施。在规划实施中期和期末要对实施情况进行科学</w:t>
      </w:r>
      <w:r>
        <w:rPr>
          <w:rFonts w:hint="eastAsia" w:ascii="FangSong_GB2312" w:hAnsi="FangSong_GB2312" w:eastAsia="SimSun" w:cs="FangSong_GB2312"/>
          <w:bCs/>
          <w:sz w:val="32"/>
          <w:szCs w:val="32"/>
          <w:lang w:eastAsia="zh-CN"/>
        </w:rPr>
        <w:t>考核</w:t>
      </w:r>
      <w:r>
        <w:rPr>
          <w:rFonts w:hint="eastAsia" w:ascii="FangSong_GB2312" w:hAnsi="FangSong_GB2312" w:eastAsia="FangSong_GB2312" w:cs="FangSong_GB2312"/>
          <w:bCs/>
          <w:sz w:val="32"/>
          <w:szCs w:val="32"/>
          <w:lang w:eastAsia="zh-CN"/>
        </w:rPr>
        <w:t>。</w:t>
      </w:r>
    </w:p>
    <w:p>
      <w:pPr>
        <w:pStyle w:val="4"/>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FangSong" w:hAnsi="FangSong" w:eastAsia="FangSong" w:cs="FangSong_GB2312"/>
          <w:bCs/>
          <w:sz w:val="32"/>
          <w:szCs w:val="32"/>
          <w:lang w:eastAsia="zh-CN"/>
        </w:rPr>
      </w:pPr>
    </w:p>
    <w:p>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sz w:val="32"/>
          <w:szCs w:val="32"/>
          <w:lang w:val="en-US" w:eastAsia="zh-CN"/>
        </w:rPr>
      </w:pPr>
      <w:r>
        <w:rPr>
          <w:rFonts w:hint="eastAsia" w:ascii="FangSong_GB2312" w:hAnsi="FangSong_GB2312" w:eastAsia="FangSong_GB2312" w:cs="FangSong_GB2312"/>
          <w:b w:val="0"/>
          <w:bCs w:val="0"/>
          <w:sz w:val="32"/>
          <w:szCs w:val="32"/>
          <w:lang w:eastAsia="zh-CN"/>
        </w:rPr>
        <w:t>附件</w:t>
      </w:r>
      <w:r>
        <w:rPr>
          <w:rFonts w:hint="eastAsia" w:ascii="FangSong_GB2312" w:hAnsi="FangSong_GB2312" w:eastAsia="FangSong_GB2312" w:cs="FangSong_GB2312"/>
          <w:bCs/>
          <w:sz w:val="32"/>
          <w:szCs w:val="32"/>
          <w:lang w:eastAsia="zh-CN"/>
        </w:rPr>
        <w:t>：</w:t>
      </w:r>
      <w:r>
        <w:rPr>
          <w:rFonts w:hint="eastAsia" w:ascii="FangSong_GB2312" w:hAnsi="FangSong_GB2312" w:eastAsia="FangSong_GB2312" w:cs="FangSong_GB2312"/>
          <w:b w:val="0"/>
          <w:bCs/>
          <w:sz w:val="32"/>
          <w:szCs w:val="32"/>
          <w:lang w:val="en-US" w:eastAsia="zh-CN"/>
        </w:rPr>
        <w:t>峨边彝族自治县“十四五”卫生健康发展规划项目表</w:t>
      </w:r>
    </w:p>
    <w:p>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sz w:val="32"/>
          <w:szCs w:val="32"/>
          <w:lang w:val="en-US" w:eastAsia="zh-CN"/>
        </w:rPr>
        <w:sectPr>
          <w:footerReference r:id="rId7" w:type="default"/>
          <w:pgSz w:w="11906" w:h="16838"/>
          <w:pgMar w:top="2041" w:right="1468" w:bottom="1587" w:left="1468" w:header="851" w:footer="992" w:gutter="0"/>
          <w:pgNumType w:fmt="decimal" w:start="1"/>
          <w:cols w:space="0" w:num="1"/>
          <w:rtlGutter w:val="0"/>
          <w:docGrid w:type="lines" w:linePitch="312" w:charSpace="0"/>
        </w:sectPr>
      </w:pPr>
    </w:p>
    <w:p>
      <w:pPr>
        <w:pStyle w:val="4"/>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SimHei" w:hAnsi="SimHei" w:eastAsia="SimHei" w:cs="SimHei"/>
          <w:sz w:val="32"/>
          <w:szCs w:val="32"/>
          <w:lang w:val="en-US" w:eastAsia="zh-CN"/>
        </w:rPr>
      </w:pPr>
      <w:r>
        <w:rPr>
          <w:rFonts w:hint="eastAsia" w:ascii="SimHei" w:hAnsi="SimHei" w:eastAsia="SimHei" w:cs="SimHei"/>
          <w:sz w:val="32"/>
          <w:szCs w:val="32"/>
          <w:lang w:val="en-US" w:eastAsia="zh-CN"/>
        </w:rPr>
        <w:t>附件：</w:t>
      </w:r>
    </w:p>
    <w:p>
      <w:pPr>
        <w:pStyle w:val="4"/>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FZXiaoBiaoSong-B05S" w:hAnsi="FZXiaoBiaoSong-B05S" w:eastAsia="FZXiaoBiaoSong-B05S" w:cs="FZXiaoBiaoSong-B05S"/>
          <w:sz w:val="44"/>
          <w:szCs w:val="44"/>
          <w:lang w:val="en-US" w:eastAsia="zh-CN"/>
        </w:rPr>
      </w:pPr>
      <w:r>
        <w:rPr>
          <w:rFonts w:hint="eastAsia" w:ascii="FZXiaoBiaoSong-B05S" w:hAnsi="FZXiaoBiaoSong-B05S" w:eastAsia="FZXiaoBiaoSong-B05S" w:cs="FZXiaoBiaoSong-B05S"/>
          <w:sz w:val="44"/>
          <w:szCs w:val="44"/>
          <w:lang w:val="en-US" w:eastAsia="zh-CN"/>
        </w:rPr>
        <w:t>峨边彝族自治县“十四五”卫生健康发展规划项目表</w:t>
      </w:r>
    </w:p>
    <w:tbl>
      <w:tblPr>
        <w:tblStyle w:val="13"/>
        <w:tblW w:w="138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6"/>
        <w:gridCol w:w="1631"/>
        <w:gridCol w:w="971"/>
        <w:gridCol w:w="1439"/>
        <w:gridCol w:w="2760"/>
        <w:gridCol w:w="1433"/>
        <w:gridCol w:w="1747"/>
        <w:gridCol w:w="1237"/>
        <w:gridCol w:w="916"/>
        <w:gridCol w:w="1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序号</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项目名称</w:t>
            </w:r>
          </w:p>
        </w:tc>
        <w:tc>
          <w:tcPr>
            <w:tcW w:w="9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建设性质（新建/续建）</w:t>
            </w:r>
          </w:p>
        </w:tc>
        <w:tc>
          <w:tcPr>
            <w:tcW w:w="14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建设地址</w:t>
            </w:r>
          </w:p>
        </w:tc>
        <w:tc>
          <w:tcPr>
            <w:tcW w:w="2760"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建设内容及其规模</w:t>
            </w: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项目总投资（万元）</w:t>
            </w:r>
          </w:p>
        </w:tc>
        <w:tc>
          <w:tcPr>
            <w:tcW w:w="1747" w:type="dxa"/>
            <w:vMerge w:val="restart"/>
            <w:tcBorders>
              <w:top w:val="single" w:color="000000" w:sz="4" w:space="0"/>
              <w:left w:val="nil"/>
              <w:bottom w:val="single" w:color="000000" w:sz="4" w:space="0"/>
              <w:right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“十四五”期间完成投资（万元）</w:t>
            </w:r>
          </w:p>
        </w:tc>
        <w:tc>
          <w:tcPr>
            <w:tcW w:w="12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建设年限</w:t>
            </w: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责任单位</w:t>
            </w:r>
          </w:p>
        </w:tc>
        <w:tc>
          <w:tcPr>
            <w:tcW w:w="118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联系人及联系方式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2760" w:type="dxa"/>
            <w:vMerge w:val="continue"/>
            <w:tcBorders>
              <w:top w:val="single" w:color="000000" w:sz="4" w:space="0"/>
              <w:left w:val="single" w:color="000000" w:sz="4" w:space="0"/>
              <w:bottom w:val="single" w:color="000000" w:sz="4" w:space="0"/>
              <w:right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747" w:type="dxa"/>
            <w:vMerge w:val="continue"/>
            <w:tcBorders>
              <w:top w:val="single" w:color="000000" w:sz="4" w:space="0"/>
              <w:left w:val="nil"/>
              <w:bottom w:val="single" w:color="000000" w:sz="4" w:space="0"/>
              <w:right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18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2760" w:type="dxa"/>
            <w:vMerge w:val="continue"/>
            <w:tcBorders>
              <w:top w:val="single" w:color="000000" w:sz="4" w:space="0"/>
              <w:left w:val="single" w:color="000000" w:sz="4" w:space="0"/>
              <w:bottom w:val="single" w:color="000000" w:sz="4" w:space="0"/>
              <w:right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747" w:type="dxa"/>
            <w:vMerge w:val="continue"/>
            <w:tcBorders>
              <w:top w:val="single" w:color="000000" w:sz="4" w:space="0"/>
              <w:left w:val="nil"/>
              <w:bottom w:val="single" w:color="000000" w:sz="4" w:space="0"/>
              <w:right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18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1</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疾病预防控制体系建设项目</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新建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沙坪镇</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迁建疾控中心，新建业务用房5200平方米，按二级甲等疾控中心标准配齐各类实验室设备</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6,000.00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3,000.00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2024-2027</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县疾控中心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宋新阳18980276262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精神卫生中心建设项目</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改新建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eastAsia="zh-CN"/>
              </w:rPr>
            </w:pPr>
            <w:r>
              <w:rPr>
                <w:rFonts w:hint="eastAsia" w:ascii="SimSun" w:hAnsi="SimSun" w:eastAsia="SimSun" w:cs="SimSun"/>
                <w:b w:val="0"/>
                <w:bCs w:val="0"/>
                <w:sz w:val="24"/>
                <w:szCs w:val="24"/>
                <w:lang w:eastAsia="zh-CN"/>
              </w:rPr>
              <w:t>城南新区</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以县人民医院精神科为基础，升级打造建设一个博爱精神卫生中心，辐射周边金口河、甘洛、美姑，汉源等地，提升区域内精神类疾病的综合防治。建筑面积5400平方米，设置床位300张，配套相关设施设备</w:t>
            </w:r>
            <w:r>
              <w:rPr>
                <w:rFonts w:hint="eastAsia" w:ascii="SimSun" w:hAnsi="SimSun" w:eastAsia="SimSun" w:cs="SimSun"/>
                <w:b w:val="0"/>
                <w:bCs w:val="0"/>
                <w:sz w:val="24"/>
                <w:szCs w:val="24"/>
                <w:lang w:val="en-US" w:eastAsia="zh-CN"/>
              </w:rPr>
              <w:t>。</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5,000.00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2024-2027</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县人民医院</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赵清利13890684508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4"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3</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县域内医疗卫生次中心建设</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改建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eastAsia="zh-CN"/>
              </w:rPr>
            </w:pPr>
            <w:r>
              <w:rPr>
                <w:rFonts w:hint="eastAsia" w:ascii="SimSun" w:hAnsi="SimSun" w:eastAsia="SimSun" w:cs="SimSun"/>
                <w:b w:val="0"/>
                <w:bCs w:val="0"/>
                <w:sz w:val="24"/>
                <w:szCs w:val="24"/>
                <w:lang w:eastAsia="zh-CN"/>
              </w:rPr>
              <w:t>黑竹沟镇中心卫生院、五渡镇中心卫生院</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改扩建中心卫生院，建筑面积</w:t>
            </w:r>
            <w:r>
              <w:rPr>
                <w:rFonts w:hint="eastAsia" w:ascii="SimSun" w:hAnsi="SimSun" w:cs="SimSun"/>
                <w:b w:val="0"/>
                <w:bCs w:val="0"/>
                <w:sz w:val="24"/>
                <w:szCs w:val="24"/>
                <w:lang w:eastAsia="zh-CN"/>
              </w:rPr>
              <w:t>达到</w:t>
            </w:r>
            <w:r>
              <w:rPr>
                <w:rFonts w:hint="eastAsia" w:ascii="SimSun" w:hAnsi="SimSun" w:eastAsia="SimSun" w:cs="SimSun"/>
                <w:b w:val="0"/>
                <w:bCs w:val="0"/>
                <w:sz w:val="24"/>
                <w:szCs w:val="24"/>
              </w:rPr>
              <w:t>4800</w:t>
            </w:r>
            <w:r>
              <w:rPr>
                <w:rFonts w:hint="eastAsia" w:ascii="SimSun" w:hAnsi="SimSun" w:cs="SimSun"/>
                <w:b w:val="0"/>
                <w:bCs w:val="0"/>
                <w:sz w:val="24"/>
                <w:szCs w:val="24"/>
                <w:lang w:eastAsia="zh-CN"/>
              </w:rPr>
              <w:t>平方</w:t>
            </w:r>
            <w:r>
              <w:rPr>
                <w:rFonts w:hint="eastAsia" w:ascii="SimSun" w:hAnsi="SimSun" w:eastAsia="SimSun" w:cs="SimSun"/>
                <w:b w:val="0"/>
                <w:bCs w:val="0"/>
                <w:sz w:val="24"/>
                <w:szCs w:val="24"/>
              </w:rPr>
              <w:t>米，设置床位50张，按照二级医疗机构标准完善科室建设、配齐相关设施设备和人员配置。</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4,000.00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2024-2027</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卫健局</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胡志恒18980274199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9"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4</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乡镇卫生院防控能力提升项目</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扩建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9个乡镇</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eastAsia="zh-CN"/>
              </w:rPr>
            </w:pPr>
            <w:r>
              <w:rPr>
                <w:rFonts w:hint="eastAsia" w:ascii="SimSun" w:hAnsi="SimSun" w:eastAsia="SimSun" w:cs="SimSun"/>
                <w:b w:val="0"/>
                <w:bCs w:val="0"/>
                <w:sz w:val="24"/>
                <w:szCs w:val="24"/>
              </w:rPr>
              <w:t>加强基层疫情防控能力建设，结合乡村振兴达标要求，农村医疗服务能力，改扩建新场卫生院、大堡镇中心卫生院、毛坪镇中心卫生院、新林镇中心卫生院、红旗镇、金岩乡卫生院、宜坪乡卫生院、平等乡卫生院、杨河乡卫生院，提升防控能力和急救能力</w:t>
            </w:r>
            <w:r>
              <w:rPr>
                <w:rFonts w:hint="eastAsia" w:ascii="SimSun" w:hAnsi="SimSun" w:eastAsia="SimSun" w:cs="SimSun"/>
                <w:b w:val="0"/>
                <w:bCs w:val="0"/>
                <w:sz w:val="24"/>
                <w:szCs w:val="24"/>
                <w:lang w:eastAsia="zh-CN"/>
              </w:rPr>
              <w:t>。</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2,700.00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1.200.00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2023-2026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卫健局</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胡志恒18980274199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5</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eastAsia="zh-CN"/>
              </w:rPr>
              <w:t>沙坪镇社区</w:t>
            </w:r>
            <w:r>
              <w:rPr>
                <w:rFonts w:hint="eastAsia" w:ascii="SimSun" w:hAnsi="SimSun" w:eastAsia="SimSun" w:cs="SimSun"/>
                <w:b w:val="0"/>
                <w:bCs w:val="0"/>
                <w:sz w:val="24"/>
                <w:szCs w:val="24"/>
              </w:rPr>
              <w:t>服务中心建设项目</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新建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沙坪镇</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新建</w:t>
            </w:r>
            <w:r>
              <w:rPr>
                <w:rFonts w:hint="eastAsia" w:ascii="SimSun" w:hAnsi="SimSun" w:eastAsia="SimSun" w:cs="SimSun"/>
                <w:b w:val="0"/>
                <w:bCs w:val="0"/>
                <w:sz w:val="24"/>
                <w:szCs w:val="24"/>
                <w:lang w:eastAsia="zh-CN"/>
              </w:rPr>
              <w:t>沙坪镇社区</w:t>
            </w:r>
            <w:r>
              <w:rPr>
                <w:rFonts w:hint="eastAsia" w:ascii="SimSun" w:hAnsi="SimSun" w:eastAsia="SimSun" w:cs="SimSun"/>
                <w:b w:val="0"/>
                <w:bCs w:val="0"/>
                <w:sz w:val="24"/>
                <w:szCs w:val="24"/>
              </w:rPr>
              <w:t>医疗服务中心建筑面积</w:t>
            </w:r>
            <w:r>
              <w:rPr>
                <w:rFonts w:hint="eastAsia" w:ascii="SimSun" w:hAnsi="SimSun" w:eastAsia="SimSun" w:cs="SimSun"/>
                <w:b w:val="0"/>
                <w:bCs w:val="0"/>
                <w:sz w:val="24"/>
                <w:szCs w:val="24"/>
                <w:lang w:val="en-US" w:eastAsia="zh-CN"/>
              </w:rPr>
              <w:t>2000</w:t>
            </w:r>
            <w:r>
              <w:rPr>
                <w:rFonts w:hint="eastAsia" w:ascii="SimSun" w:hAnsi="SimSun" w:eastAsia="SimSun" w:cs="SimSun"/>
                <w:b w:val="0"/>
                <w:bCs w:val="0"/>
                <w:sz w:val="24"/>
                <w:szCs w:val="24"/>
              </w:rPr>
              <w:t>平方米</w:t>
            </w:r>
            <w:r>
              <w:rPr>
                <w:rFonts w:hint="eastAsia" w:ascii="SimSun" w:hAnsi="SimSun" w:eastAsia="SimSun" w:cs="SimSun"/>
                <w:b w:val="0"/>
                <w:bCs w:val="0"/>
                <w:sz w:val="24"/>
                <w:szCs w:val="24"/>
                <w:lang w:val="en-US" w:eastAsia="zh-CN"/>
              </w:rPr>
              <w:t>。配备相关设施设备。</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2,400.00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2,400.00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2024-2026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kern w:val="2"/>
                <w:sz w:val="24"/>
                <w:szCs w:val="24"/>
                <w:lang w:val="en-US" w:eastAsia="zh-CN" w:bidi="ar-SA"/>
              </w:rPr>
            </w:pPr>
            <w:r>
              <w:rPr>
                <w:rFonts w:hint="eastAsia" w:ascii="SimSun" w:hAnsi="SimSun" w:eastAsia="SimSun" w:cs="SimSun"/>
                <w:b w:val="0"/>
                <w:bCs w:val="0"/>
                <w:sz w:val="24"/>
                <w:szCs w:val="24"/>
                <w:lang w:val="en-US" w:eastAsia="zh-CN"/>
              </w:rPr>
              <w:t>卫健局</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曹建强13540570289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6</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县人民医院重点科室建设</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扩建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县人民医院、县中医院</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县人民医院建设胸痛中心、卒中中心和新生儿危重症救治中心建设</w:t>
            </w:r>
            <w:r>
              <w:rPr>
                <w:rFonts w:hint="eastAsia" w:ascii="SimSun" w:hAnsi="SimSun" w:eastAsia="SimSun" w:cs="SimSun"/>
                <w:b w:val="0"/>
                <w:bCs w:val="0"/>
                <w:sz w:val="24"/>
                <w:szCs w:val="24"/>
                <w:lang w:eastAsia="zh-CN"/>
              </w:rPr>
              <w:t>、县中医院老年病专科建设。</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3.000.00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3.000.00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2023-2025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县人民医院、县中医院</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赵清利13890684508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7</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应急体系建设</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续建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峨边</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在旅游景区、车站、大型公共场所等10余点位配备急救设备</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100.00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100.00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2023-2025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卫健局</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胡志恒18980274199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8</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县中医医院治未病楼建设</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新建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沙坪镇滨江路274号附5号</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eastAsia="zh-CN"/>
              </w:rPr>
              <w:t>在现有中医院辖区实施</w:t>
            </w:r>
            <w:r>
              <w:rPr>
                <w:rFonts w:hint="eastAsia" w:ascii="SimSun" w:hAnsi="SimSun" w:eastAsia="SimSun" w:cs="SimSun"/>
                <w:b w:val="0"/>
                <w:bCs w:val="0"/>
                <w:sz w:val="24"/>
                <w:szCs w:val="24"/>
                <w:lang w:val="en-US" w:eastAsia="zh-CN"/>
              </w:rPr>
              <w:t>治未病楼土建、装修及医疗设备配置，建筑总面积4000平方米</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4,000.00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1,000.00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2024-2027</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县中医院</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隆仕军15228172966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9</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县域医共体信息化平台建设</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新建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人民医院</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推进城乡卫生健康服务一体化，构建优质高效的医疗卫生服务体系，建设县域医共体信息化平台，完成县域远程影像中心、检验中心建设</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3,000.00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2024-2026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人民医院</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赵清利13890684508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10</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妇幼儿童健康服务中心和普惠托</w:t>
            </w:r>
            <w:r>
              <w:rPr>
                <w:rFonts w:hint="eastAsia" w:ascii="SimSun" w:hAnsi="SimSun" w:cs="SimSun"/>
                <w:b w:val="0"/>
                <w:bCs w:val="0"/>
                <w:sz w:val="24"/>
                <w:szCs w:val="24"/>
                <w:lang w:eastAsia="zh-CN"/>
              </w:rPr>
              <w:t>育</w:t>
            </w:r>
            <w:r>
              <w:rPr>
                <w:rFonts w:hint="eastAsia" w:ascii="SimSun" w:hAnsi="SimSun" w:eastAsia="SimSun" w:cs="SimSun"/>
                <w:b w:val="0"/>
                <w:bCs w:val="0"/>
                <w:sz w:val="24"/>
                <w:szCs w:val="24"/>
              </w:rPr>
              <w:t>中心建设项目</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新建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沙坪镇</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新建妇幼儿童健康服务普惠托育幼中心，可容纳540人，总</w:t>
            </w:r>
            <w:r>
              <w:rPr>
                <w:rFonts w:hint="eastAsia" w:ascii="SimSun" w:hAnsi="SimSun" w:cs="SimSun"/>
                <w:b w:val="0"/>
                <w:bCs w:val="0"/>
                <w:sz w:val="24"/>
                <w:szCs w:val="24"/>
                <w:lang w:val="en-US" w:eastAsia="zh-CN"/>
              </w:rPr>
              <w:t>建筑</w:t>
            </w:r>
            <w:r>
              <w:rPr>
                <w:rFonts w:hint="eastAsia" w:ascii="SimSun" w:hAnsi="SimSun" w:eastAsia="SimSun" w:cs="SimSun"/>
                <w:b w:val="0"/>
                <w:bCs w:val="0"/>
                <w:sz w:val="24"/>
                <w:szCs w:val="24"/>
                <w:lang w:val="en-US" w:eastAsia="zh-CN"/>
              </w:rPr>
              <w:t>面积6000平方米，配齐设施设备。</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5,000.00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3,000.00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2024-2026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县妇计中心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李国军13508130727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11</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妇幼保健院的二级达标建设</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eastAsia="zh-CN"/>
              </w:rPr>
            </w:pPr>
            <w:r>
              <w:rPr>
                <w:rFonts w:hint="eastAsia" w:ascii="SimSun" w:hAnsi="SimSun" w:eastAsia="SimSun" w:cs="SimSun"/>
                <w:b w:val="0"/>
                <w:bCs w:val="0"/>
                <w:sz w:val="24"/>
                <w:szCs w:val="24"/>
                <w:lang w:eastAsia="zh-CN"/>
              </w:rPr>
              <w:t>扩建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黄磷场</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按照</w:t>
            </w:r>
            <w:r>
              <w:rPr>
                <w:rFonts w:hint="eastAsia" w:ascii="SimSun" w:hAnsi="SimSun" w:eastAsia="SimSun" w:cs="SimSun"/>
                <w:b w:val="0"/>
                <w:bCs w:val="0"/>
                <w:sz w:val="24"/>
                <w:szCs w:val="24"/>
                <w:lang w:eastAsia="zh-CN"/>
              </w:rPr>
              <w:t>等级达标</w:t>
            </w:r>
            <w:r>
              <w:rPr>
                <w:rFonts w:hint="eastAsia" w:ascii="SimSun" w:hAnsi="SimSun" w:eastAsia="SimSun" w:cs="SimSun"/>
                <w:b w:val="0"/>
                <w:bCs w:val="0"/>
                <w:sz w:val="24"/>
                <w:szCs w:val="24"/>
              </w:rPr>
              <w:t>要求，2025年末妇幼保健院完成二级乙等建设</w:t>
            </w:r>
            <w:r>
              <w:rPr>
                <w:rFonts w:hint="eastAsia" w:ascii="SimSun" w:hAnsi="SimSun" w:eastAsia="SimSun" w:cs="SimSun"/>
                <w:b w:val="0"/>
                <w:bCs w:val="0"/>
                <w:sz w:val="24"/>
                <w:szCs w:val="24"/>
                <w:lang w:val="en-US" w:eastAsia="zh-CN"/>
              </w:rPr>
              <w:t>。</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1,000.00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2023-2025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县妇计中心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李国军13508130727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7"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12</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县人民医院智慧医院建设</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扩建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县人民医院</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eastAsia="zh-CN"/>
              </w:rPr>
              <w:t>按照省市关于信息化建设的相关要求和绩效考核的指标，县人民医院需在“十四”末期</w:t>
            </w:r>
            <w:r>
              <w:rPr>
                <w:rFonts w:hint="eastAsia" w:ascii="SimSun" w:hAnsi="SimSun" w:eastAsia="SimSun" w:cs="SimSun"/>
                <w:b w:val="0"/>
                <w:bCs w:val="0"/>
                <w:sz w:val="24"/>
                <w:szCs w:val="24"/>
              </w:rPr>
              <w:t>建成智慧医院，医院能力提升达到三乙水平</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2023-2025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人民医院</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赵清利13890684508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1"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13</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医养结合康复养老中心建设</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新建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各乡镇</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在太阳坪规划完善彝医养生馆和城南新区规划建设医养结合康复养老中心，建筑面积15000平方米，设立开放床位200—300张，配齐配套设施设备，提供医疗、康复、养老结合的康养服务，需要时作为突发公共卫生事件的后备应急用房。</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8,000.00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5,000.00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2023-2026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卫健局</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曹建强13540570289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SimSun" w:hAnsi="SimSun" w:eastAsia="SimSun" w:cs="SimSun"/>
                <w:b w:val="0"/>
                <w:bCs w:val="0"/>
                <w:kern w:val="2"/>
                <w:sz w:val="24"/>
                <w:szCs w:val="24"/>
                <w:lang w:val="en-US" w:eastAsia="zh-CN" w:bidi="ar-SA"/>
              </w:rPr>
            </w:pPr>
            <w:r>
              <w:rPr>
                <w:rFonts w:hint="eastAsia" w:ascii="SimSun" w:hAnsi="SimSun" w:eastAsia="SimSun" w:cs="SimSun"/>
                <w:b w:val="0"/>
                <w:bCs w:val="0"/>
                <w:sz w:val="24"/>
                <w:szCs w:val="24"/>
                <w:lang w:val="en-US" w:eastAsia="zh-CN"/>
              </w:rPr>
              <w:t>合计</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SimSun" w:hAnsi="SimSun" w:eastAsia="SimSun" w:cs="SimSun"/>
                <w:b w:val="0"/>
                <w:bCs w:val="0"/>
                <w:kern w:val="2"/>
                <w:sz w:val="24"/>
                <w:szCs w:val="24"/>
                <w:lang w:val="en-US" w:eastAsia="zh-CN" w:bidi="ar-SA"/>
              </w:rPr>
            </w:pPr>
            <w:r>
              <w:rPr>
                <w:rFonts w:hint="eastAsia" w:ascii="SimSun" w:hAnsi="SimSun" w:eastAsia="SimSun" w:cs="SimSun"/>
                <w:b w:val="0"/>
                <w:bCs w:val="0"/>
                <w:sz w:val="24"/>
                <w:szCs w:val="24"/>
                <w:lang w:val="en-US" w:eastAsia="zh-CN"/>
              </w:rPr>
              <w:t>47,200.00</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SimSun" w:hAnsi="SimSun" w:eastAsia="SimSun" w:cs="SimSun"/>
                <w:b w:val="0"/>
                <w:bCs w:val="0"/>
                <w:kern w:val="2"/>
                <w:sz w:val="24"/>
                <w:szCs w:val="24"/>
                <w:lang w:val="en-US" w:eastAsia="zh-CN" w:bidi="ar-SA"/>
              </w:rPr>
            </w:pPr>
            <w:r>
              <w:rPr>
                <w:rFonts w:hint="eastAsia" w:ascii="SimSun" w:hAnsi="SimSun" w:eastAsia="SimSun" w:cs="SimSun"/>
                <w:b w:val="0"/>
                <w:bCs w:val="0"/>
                <w:sz w:val="24"/>
                <w:szCs w:val="24"/>
                <w:lang w:val="en-US" w:eastAsia="zh-CN"/>
              </w:rPr>
              <w:t>25.700.00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eastAsia="zh-CN"/>
              </w:rPr>
            </w:pP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eastAsia="zh-CN"/>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eastAsia="zh-CN"/>
              </w:rPr>
            </w:pP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eastAsia="zh-CN"/>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eastAsia="zh-CN"/>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eastAsia="zh-CN"/>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eastAsia="zh-CN"/>
              </w:rPr>
            </w:pPr>
          </w:p>
        </w:tc>
      </w:tr>
    </w:tbl>
    <w:p>
      <w:pPr>
        <w:pStyle w:val="4"/>
        <w:rPr>
          <w:rFonts w:hint="eastAsia" w:ascii="SimSun" w:hAnsi="SimSun" w:eastAsia="SimSun" w:cs="SimSun"/>
          <w:b w:val="0"/>
          <w:bCs w:val="0"/>
        </w:rPr>
      </w:pPr>
    </w:p>
    <w:p>
      <w:pPr>
        <w:pStyle w:val="2"/>
        <w:rPr>
          <w:rFonts w:hint="eastAsia"/>
          <w:lang w:val="en-US" w:eastAsia="zh-CN"/>
        </w:rPr>
        <w:sectPr>
          <w:footerReference r:id="rId8" w:type="default"/>
          <w:pgSz w:w="16838" w:h="11905" w:orient="landscape"/>
          <w:pgMar w:top="1417" w:right="1417" w:bottom="1417" w:left="1417" w:header="851" w:footer="992" w:gutter="0"/>
          <w:pgNumType w:fmt="decimal"/>
          <w:cols w:space="0" w:num="1"/>
          <w:rtlGutter w:val="0"/>
          <w:docGrid w:type="lines" w:linePitch="323" w:charSpace="0"/>
        </w:sectPr>
      </w:pPr>
    </w:p>
    <w:p>
      <w:pPr>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lang w:val="en-US" w:eastAsia="zh-CN"/>
        </w:rPr>
      </w:pPr>
    </w:p>
    <w:p>
      <w:pPr>
        <w:keepNext w:val="0"/>
        <w:keepLines w:val="0"/>
        <w:widowControl w:val="0"/>
        <w:suppressLineNumbers w:val="0"/>
        <w:spacing w:before="0" w:beforeAutospacing="0" w:after="0" w:afterAutospacing="0" w:line="720" w:lineRule="exact"/>
        <w:ind w:left="0" w:right="0"/>
        <w:jc w:val="both"/>
        <w:rPr>
          <w:rFonts w:hint="eastAsia" w:ascii="FangSong_GB2312" w:hAnsi="Times New Roman" w:eastAsia="FangSong_GB2312" w:cs="FangSong_GB2312"/>
          <w:color w:val="000000"/>
          <w:spacing w:val="-4"/>
          <w:kern w:val="0"/>
          <w:sz w:val="32"/>
          <w:szCs w:val="32"/>
          <w:lang w:val="en-US" w:eastAsia="zh-CN" w:bidi="ar"/>
        </w:rPr>
      </w:pPr>
      <w:r>
        <w:rPr>
          <w:rFonts w:hint="eastAsia" w:ascii="SimHei" w:hAnsi="Times New Roman" w:eastAsia="SimHei" w:cs="SimHei"/>
          <w:color w:val="000000"/>
          <w:kern w:val="0"/>
          <w:sz w:val="32"/>
          <w:szCs w:val="32"/>
          <w:lang w:val="en-US" w:eastAsia="zh-CN" w:bidi="ar"/>
        </w:rPr>
        <w:t>信息公开选项：</w:t>
      </w:r>
      <w:r>
        <w:rPr>
          <w:rFonts w:hint="eastAsia" w:ascii="FZXiaoBiaoSong-B05S" w:hAnsi="FZXiaoBiaoSong-B05S" w:eastAsia="FZXiaoBiaoSong-B05S" w:cs="FZXiaoBiaoSong-B05S"/>
          <w:color w:val="000000"/>
          <w:kern w:val="2"/>
          <w:sz w:val="32"/>
          <w:szCs w:val="32"/>
          <w:lang w:val="en-US" w:eastAsia="zh-CN" w:bidi="ar"/>
        </w:rPr>
        <w:t>主动公开</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FangSong_GB2312" w:eastAsia="FangSong_GB2312" w:cs="FangSong_GB2312"/>
          <w:color w:val="000000"/>
          <w:spacing w:val="-4"/>
          <w:kern w:val="0"/>
          <w:sz w:val="32"/>
          <w:szCs w:val="32"/>
          <w:lang w:val="en-US"/>
        </w:rPr>
      </w:pPr>
      <w:r>
        <w:rPr>
          <w:rFonts w:hint="eastAsia" w:ascii="FangSong_GB2312" w:hAnsi="Times New Roman" w:eastAsia="FangSong_GB2312" w:cs="FangSong_GB2312"/>
          <w:color w:val="000000"/>
          <w:spacing w:val="-4"/>
          <w:kern w:val="0"/>
          <w:sz w:val="32"/>
          <w:szCs w:val="32"/>
          <w:lang w:val="en-US" w:eastAsia="zh-CN" w:bidi="ar"/>
        </w:rPr>
        <w:t>────────────────────────────────────────</w:t>
      </w:r>
    </w:p>
    <w:p>
      <w:pPr>
        <w:keepNext w:val="0"/>
        <w:keepLines w:val="0"/>
        <w:widowControl w:val="0"/>
        <w:suppressLineNumbers w:val="0"/>
        <w:autoSpaceDE w:val="0"/>
        <w:autoSpaceDN w:val="0"/>
        <w:adjustRightInd w:val="0"/>
        <w:spacing w:before="0" w:beforeAutospacing="0" w:after="0" w:afterAutospacing="0" w:line="320" w:lineRule="exact"/>
        <w:ind w:left="0" w:right="0" w:firstLine="280" w:firstLineChars="100"/>
        <w:jc w:val="left"/>
        <w:rPr>
          <w:rFonts w:hint="eastAsia" w:ascii="FangSong_GB2312" w:eastAsia="FangSong_GB2312" w:cs="FangSong_GB2312"/>
          <w:color w:val="000000"/>
          <w:kern w:val="0"/>
          <w:sz w:val="28"/>
          <w:szCs w:val="28"/>
          <w:lang w:val="en-US"/>
        </w:rPr>
      </w:pPr>
      <w:r>
        <w:rPr>
          <w:rFonts w:hint="eastAsia" w:ascii="FangSong_GB2312" w:hAnsi="Times New Roman" w:eastAsia="FangSong_GB2312" w:cs="FangSong_GB2312"/>
          <w:color w:val="000000"/>
          <w:kern w:val="0"/>
          <w:sz w:val="28"/>
          <w:szCs w:val="28"/>
          <w:lang w:val="en-US" w:eastAsia="zh-CN" w:bidi="ar"/>
        </w:rPr>
        <w:t xml:space="preserve">峨边彝族自治县人民政府办公室            </w:t>
      </w:r>
      <w:r>
        <w:rPr>
          <w:rFonts w:hint="eastAsia" w:ascii="FangSong_GB2312" w:eastAsia="FangSong_GB2312" w:cs="FangSong_GB2312"/>
          <w:color w:val="000000"/>
          <w:kern w:val="0"/>
          <w:sz w:val="28"/>
          <w:szCs w:val="28"/>
          <w:lang w:val="en-US" w:eastAsia="zh-CN" w:bidi="ar"/>
        </w:rPr>
        <w:t xml:space="preserve"> </w:t>
      </w:r>
      <w:r>
        <w:rPr>
          <w:rFonts w:hint="eastAsia" w:ascii="FangSong_GB2312" w:hAnsi="Times New Roman" w:eastAsia="FangSong_GB2312" w:cs="FangSong_GB2312"/>
          <w:color w:val="000000"/>
          <w:kern w:val="0"/>
          <w:sz w:val="28"/>
          <w:szCs w:val="28"/>
          <w:lang w:val="en-US" w:eastAsia="zh-CN" w:bidi="ar"/>
        </w:rPr>
        <w:t>2023年</w:t>
      </w:r>
      <w:r>
        <w:rPr>
          <w:rFonts w:hint="eastAsia" w:ascii="FangSong_GB2312" w:eastAsia="FangSong_GB2312" w:cs="FangSong_GB2312"/>
          <w:color w:val="000000"/>
          <w:kern w:val="0"/>
          <w:sz w:val="28"/>
          <w:szCs w:val="28"/>
          <w:lang w:val="en-US" w:eastAsia="zh-CN" w:bidi="ar"/>
        </w:rPr>
        <w:t>10</w:t>
      </w:r>
      <w:r>
        <w:rPr>
          <w:rFonts w:hint="eastAsia" w:ascii="FangSong_GB2312" w:hAnsi="Times New Roman" w:eastAsia="FangSong_GB2312" w:cs="FangSong_GB2312"/>
          <w:color w:val="000000"/>
          <w:kern w:val="0"/>
          <w:sz w:val="28"/>
          <w:szCs w:val="28"/>
          <w:lang w:val="en-US" w:eastAsia="zh-CN" w:bidi="ar"/>
        </w:rPr>
        <w:t>月</w:t>
      </w:r>
      <w:r>
        <w:rPr>
          <w:rFonts w:hint="eastAsia" w:ascii="FangSong_GB2312" w:eastAsia="FangSong_GB2312" w:cs="FangSong_GB2312"/>
          <w:color w:val="000000"/>
          <w:kern w:val="0"/>
          <w:sz w:val="28"/>
          <w:szCs w:val="28"/>
          <w:lang w:val="en-US" w:eastAsia="zh-CN" w:bidi="ar"/>
        </w:rPr>
        <w:t>13</w:t>
      </w:r>
      <w:r>
        <w:rPr>
          <w:rFonts w:hint="eastAsia" w:ascii="FangSong_GB2312" w:hAnsi="Times New Roman" w:eastAsia="FangSong_GB2312" w:cs="FangSong_GB2312"/>
          <w:color w:val="000000"/>
          <w:kern w:val="0"/>
          <w:sz w:val="28"/>
          <w:szCs w:val="28"/>
          <w:lang w:val="en-US" w:eastAsia="zh-CN" w:bidi="ar"/>
        </w:rPr>
        <w:t>日印发</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lang w:val="en-US" w:eastAsia="zh-CN"/>
        </w:rPr>
      </w:pPr>
      <w:r>
        <w:rPr>
          <w:rFonts w:hint="eastAsia" w:ascii="FangSong_GB2312" w:hAnsi="Times New Roman" w:eastAsia="FangSong_GB2312" w:cs="FangSong_GB2312"/>
          <w:color w:val="000000"/>
          <w:spacing w:val="-4"/>
          <w:kern w:val="0"/>
          <w:sz w:val="32"/>
          <w:szCs w:val="32"/>
          <w:lang w:val="en-US" w:eastAsia="zh-CN" w:bidi="ar"/>
        </w:rPr>
        <w:t>────────────────────────────────────────</w:t>
      </w:r>
    </w:p>
    <w:sectPr>
      <w:pgSz w:w="11905" w:h="16838"/>
      <w:pgMar w:top="2041" w:right="1468" w:bottom="1587" w:left="1468" w:header="851" w:footer="992" w:gutter="0"/>
      <w:pgNumType w:fmt="decimal"/>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embedRegular r:id="rId1" w:fontKey="{7715C66D-A581-4FFE-B675-3925DE9A35F5}"/>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2" w:fontKey="{49F2E146-5C39-4F8F-B96B-C8BEAB307AA8}"/>
  </w:font>
  <w:font w:name="SimHei">
    <w:panose1 w:val="02010609060101010101"/>
    <w:charset w:val="86"/>
    <w:family w:val="auto"/>
    <w:pitch w:val="default"/>
    <w:sig w:usb0="800002BF" w:usb1="38CF7CFA" w:usb2="00000016" w:usb3="00000000" w:csb0="00040001" w:csb1="00000000"/>
    <w:embedRegular r:id="rId3" w:fontKey="{603A7D34-3E22-4803-932B-D1F5E86B683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
    <w:panose1 w:val="02010609060101010101"/>
    <w:charset w:val="86"/>
    <w:family w:val="modern"/>
    <w:pitch w:val="default"/>
    <w:sig w:usb0="800002BF" w:usb1="38CF7CFA" w:usb2="00000016" w:usb3="00000000" w:csb0="00040001" w:csb1="00000000"/>
    <w:embedRegular r:id="rId4" w:fontKey="{887C82AC-6164-4226-9FA1-33C1483213D7}"/>
  </w:font>
  <w:font w:name="FangSong_GB2312">
    <w:altName w:val="Times New Roman"/>
    <w:panose1 w:val="02010609030101010101"/>
    <w:charset w:val="86"/>
    <w:family w:val="modern"/>
    <w:pitch w:val="default"/>
    <w:sig w:usb0="00000000" w:usb1="00000000" w:usb2="00000000" w:usb3="00000000" w:csb0="00040000" w:csb1="00000000"/>
    <w:embedRegular r:id="rId5" w:fontKey="{F6D170CD-65F2-4E4F-85B1-EC886AECB1B9}"/>
  </w:font>
  <w:font w:name="FZXiaoBiaoSong-B05S">
    <w:panose1 w:val="02000000000000000000"/>
    <w:charset w:val="86"/>
    <w:family w:val="script"/>
    <w:pitch w:val="default"/>
    <w:sig w:usb0="00000001" w:usb1="080E0000" w:usb2="00000000" w:usb3="00000000" w:csb0="00040000" w:csb1="00000000"/>
    <w:embedRegular r:id="rId6" w:fontKey="{8B52DD48-FBCB-4FB2-9B50-8DAE1C2BE300}"/>
  </w:font>
  <w:font w:name="Cambria">
    <w:panose1 w:val="02040503050406030204"/>
    <w:charset w:val="00"/>
    <w:family w:val="roman"/>
    <w:pitch w:val="default"/>
    <w:sig w:usb0="E00002FF" w:usb1="400004FF" w:usb2="00000000" w:usb3="00000000" w:csb0="2000019F" w:csb1="00000000"/>
  </w:font>
  <w:font w:name="Arial Unicode MS">
    <w:altName w:val="Arial"/>
    <w:panose1 w:val="020B0604020202020204"/>
    <w:charset w:val="00"/>
    <w:family w:val="auto"/>
    <w:pitch w:val="default"/>
    <w:sig w:usb0="00000000" w:usb1="00000000" w:usb2="00000000" w:usb3="00000000" w:csb0="00000001" w:csb1="00000000"/>
  </w:font>
  <w:font w:name="KaiTi_GB2312">
    <w:altName w:val="KaiTi"/>
    <w:panose1 w:val="02010609030101010101"/>
    <w:charset w:val="86"/>
    <w:family w:val="modern"/>
    <w:pitch w:val="default"/>
    <w:sig w:usb0="00000000" w:usb1="00000000" w:usb2="00000000" w:usb3="00000000" w:csb0="00040000" w:csb1="00000000"/>
    <w:embedRegular r:id="rId7" w:fontKey="{680C9536-BC6A-4806-B1C4-49697C49D61F}"/>
  </w:font>
  <w:font w:name="KaiTi">
    <w:panose1 w:val="02010609060101010101"/>
    <w:charset w:val="86"/>
    <w:family w:val="auto"/>
    <w:pitch w:val="default"/>
    <w:sig w:usb0="800002BF" w:usb1="38CF7CFA" w:usb2="00000016" w:usb3="00000000" w:csb0="00040001" w:csb1="00000000"/>
    <w:embedRegular r:id="rId8" w:fontKey="{CE70B302-3882-4E62-A211-F8FB9F637F6A}"/>
  </w:font>
  <w:font w:name="Microsoft YaHei">
    <w:panose1 w:val="020B0503020204020204"/>
    <w:charset w:val="86"/>
    <w:family w:val="swiss"/>
    <w:pitch w:val="default"/>
    <w:sig w:usb0="80000287" w:usb1="280F3C52" w:usb2="00000016" w:usb3="00000000" w:csb0="0004001F" w:csb1="00000000"/>
    <w:embedRegular r:id="rId9" w:fontKey="{992F48F6-33C7-4CD5-831D-82626B0C3BBB}"/>
  </w:font>
  <w:font w:name="MS PGothic">
    <w:panose1 w:val="020B0600070205080204"/>
    <w:charset w:val="80"/>
    <w:family w:val="auto"/>
    <w:pitch w:val="default"/>
    <w:sig w:usb0="E00002FF" w:usb1="6AC7FDFB" w:usb2="00000012" w:usb3="00000000" w:csb0="4002009F" w:csb1="DFD70000"/>
  </w:font>
  <w:font w:name="FangSong_GB2312">
    <w:altName w:val="FangSong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7"/>
      </w:rPr>
    </w:pPr>
    <w:r>
      <w:fldChar w:fldCharType="begin"/>
    </w:r>
    <w:r>
      <w:rPr>
        <w:rStyle w:val="17"/>
      </w:rPr>
      <w:instrText xml:space="preserve">PAGE  </w:instrText>
    </w:r>
    <w: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-59690</wp:posOffset>
              </wp:positionV>
              <wp:extent cx="321310" cy="1993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21310" cy="199390"/>
                      </a:xfrm>
                      <a:prstGeom prst="rect">
                        <a:avLst/>
                      </a:prstGeom>
                      <a:noFill/>
                      <a:ln>
                        <a:noFill/>
                      </a:ln>
                    </wps:spPr>
                    <wps:txbx>
                      <w:txbxContent>
                        <w:p>
                          <w:pPr>
                            <w:pStyle w:val="6"/>
                            <w:rPr>
                              <w:b/>
                              <w:bCs/>
                              <w:sz w:val="28"/>
                              <w:szCs w:val="28"/>
                            </w:rPr>
                          </w:pPr>
                        </w:p>
                      </w:txbxContent>
                    </wps:txbx>
                    <wps:bodyPr lIns="0" tIns="0" rIns="0" bIns="0" upright="1"/>
                  </wps:wsp>
                </a:graphicData>
              </a:graphic>
            </wp:anchor>
          </w:drawing>
        </mc:Choice>
        <mc:Fallback>
          <w:pict>
            <v:shape id="_x0000_s1026" o:spid="_x0000_s1026" o:spt="202" type="#_x0000_t202" style="position:absolute;left:0pt;margin-top:-4.7pt;height:15.7pt;width:25.3pt;mso-position-horizontal:outside;mso-position-horizontal-relative:margin;z-index:251659264;mso-width-relative:page;mso-height-relative:page;" filled="f" stroked="f" coordsize="21600,21600" o:gfxdata="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uBG8p9UAAAAFAQAADwAAAAAAAAABACAAAAAiAAAAZHJzL2Rvd25yZXYueG1sUEsBAhQAFAAA&#10;AAgAh07iQIxWI4G5AQAAcQMAAA4AAAAAAAAAAQAgAAAAJAEAAGRycy9lMm9Eb2MueG1sUEsFBgAA&#10;AAAGAAYAWQEAAE8FAAAAAA==&#10;">
              <v:fill on="f" focussize="0,0"/>
              <v:stroke on="f"/>
              <v:imagedata o:title=""/>
              <o:lock v:ext="edit" aspectratio="f"/>
              <v:textbox inset="0mm,0mm,0mm,0mm">
                <w:txbxContent>
                  <w:p>
                    <w:pPr>
                      <w:pStyle w:val="6"/>
                      <w:rPr>
                        <w:b/>
                        <w:bCs/>
                        <w:sz w:val="28"/>
                        <w:szCs w:val="2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-59690</wp:posOffset>
              </wp:positionV>
              <wp:extent cx="321310" cy="199390"/>
              <wp:effectExtent l="0" t="0" r="0" b="0"/>
              <wp:wrapNone/>
              <wp:docPr id="4" name="文本框 4"/>
              <wp:cNvGraphicFramePr/>
              <a:graphic xmlns:a="http://schemas.openxmlformats.org/drawingml/2006/main">
                <a:graphicData uri="http://schemas.microsoft.com/office/word/2010/wordprocessingShape">
                  <wps:wsp>
                    <wps:cNvSpPr txBox="1"/>
                    <wps:spPr>
                      <a:xfrm>
                        <a:off x="0" y="0"/>
                        <a:ext cx="321310" cy="199390"/>
                      </a:xfrm>
                      <a:prstGeom prst="rect">
                        <a:avLst/>
                      </a:prstGeom>
                      <a:noFill/>
                      <a:ln>
                        <a:noFill/>
                      </a:ln>
                    </wps:spPr>
                    <wps:txbx>
                      <w:txbxContent>
                        <w:p>
                          <w:pPr>
                            <w:pStyle w:val="6"/>
                            <w:rPr>
                              <w:b/>
                              <w:bCs/>
                              <w:sz w:val="28"/>
                              <w:szCs w:val="28"/>
                            </w:rPr>
                          </w:pPr>
                        </w:p>
                      </w:txbxContent>
                    </wps:txbx>
                    <wps:bodyPr lIns="0" tIns="0" rIns="0" bIns="0" upright="1"/>
                  </wps:wsp>
                </a:graphicData>
              </a:graphic>
            </wp:anchor>
          </w:drawing>
        </mc:Choice>
        <mc:Fallback>
          <w:pict>
            <v:shape id="_x0000_s1026" o:spid="_x0000_s1026" o:spt="202" type="#_x0000_t202" style="position:absolute;left:0pt;margin-top:-4.7pt;height:15.7pt;width:25.3pt;mso-position-horizontal:outside;mso-position-horizontal-relative:margin;z-index:251660288;mso-width-relative:page;mso-height-relative:page;" filled="f" stroked="f" coordsize="21600,21600" o:gfxdata="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gRvKfVAAAABQEAAA8AAAAAAAAAAQAgAAAAIgAAAGRycy9kb3ducmV2LnhtbFBLAQIUABQA&#10;AAAIAIdO4kAwfjX9ugEAAHEDAAAOAAAAAAAAAAEAIAAAACQBAABkcnMvZTJvRG9jLnhtbFBLBQYA&#10;AAAABgAGAFkBAABQBQAAAAA=&#10;">
              <v:fill on="f" focussize="0,0"/>
              <v:stroke on="f"/>
              <v:imagedata o:title=""/>
              <o:lock v:ext="edit" aspectratio="f"/>
              <v:textbox inset="0mm,0mm,0mm,0mm">
                <w:txbxContent>
                  <w:p>
                    <w:pPr>
                      <w:pStyle w:val="6"/>
                      <w:rPr>
                        <w:b/>
                        <w:bCs/>
                        <w:sz w:val="28"/>
                        <w:szCs w:val="2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rPr>
        <w:rFonts w:ascii="SimSun" w:hAnsi="SimSun" w:eastAsia="SimSun" w:cs="SimSun"/>
        <w:sz w:val="13"/>
        <w:szCs w:val="13"/>
      </w:rPr>
    </w:pPr>
    <w:r>
      <w:rPr>
        <w:sz w:val="13"/>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sz w:val="13"/>
      </w:rPr>
      <mc:AlternateContent>
        <mc:Choice Requires="wps">
          <w:drawing>
            <wp:anchor distT="0" distB="0" distL="114300" distR="114300" simplePos="0" relativeHeight="251661312" behindDoc="0" locked="0" layoutInCell="1" allowOverlap="1">
              <wp:simplePos x="0" y="0"/>
              <wp:positionH relativeFrom="margin">
                <wp:posOffset>5048250</wp:posOffset>
              </wp:positionH>
              <wp:positionV relativeFrom="paragraph">
                <wp:posOffset>-152400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7.5pt;margin-top:-12pt;height:144pt;width:144pt;mso-position-horizontal-relative:margin;mso-wrap-style:none;z-index:251661312;mso-width-relative:page;mso-height-relative:page;" filled="f" stroked="f" coordsize="21600,21600" o:gfxdata="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PsbA6/ZAAAADA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223432"/>
    <w:multiLevelType w:val="singleLevel"/>
    <w:tmpl w:val="48223432"/>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61"/>
  <w:displayHorizontalDrawingGridEvery w:val="0"/>
  <w:displayVerticalDrawingGridEvery w:val="2"/>
  <w:characterSpacingControl w:val="compressPunctuation"/>
  <w:compat>
    <w:spaceForUL/>
    <w:balanceSingleByteDoubleByteWidth/>
    <w:doNotLeaveBackslashAlone/>
    <w:ulTrailSpace/>
    <w:doNotExpandShiftReturn/>
    <w:adjustLineHeightInTable/>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28107E8F"/>
    <w:rsid w:val="010E1812"/>
    <w:rsid w:val="047A5783"/>
    <w:rsid w:val="04A23F13"/>
    <w:rsid w:val="062E0809"/>
    <w:rsid w:val="06F42B68"/>
    <w:rsid w:val="08FE62CB"/>
    <w:rsid w:val="09E813E1"/>
    <w:rsid w:val="0A6A7750"/>
    <w:rsid w:val="0AC534D0"/>
    <w:rsid w:val="0B531FF2"/>
    <w:rsid w:val="0BF50980"/>
    <w:rsid w:val="0D1C6411"/>
    <w:rsid w:val="0F5B4403"/>
    <w:rsid w:val="0F7770A0"/>
    <w:rsid w:val="0FFE6F05"/>
    <w:rsid w:val="113E6669"/>
    <w:rsid w:val="120668A8"/>
    <w:rsid w:val="126C1002"/>
    <w:rsid w:val="14641C2A"/>
    <w:rsid w:val="157C65B4"/>
    <w:rsid w:val="15C57AE6"/>
    <w:rsid w:val="18DC4807"/>
    <w:rsid w:val="19334480"/>
    <w:rsid w:val="19B8688B"/>
    <w:rsid w:val="1AA42B4A"/>
    <w:rsid w:val="1C314E90"/>
    <w:rsid w:val="1F9800E7"/>
    <w:rsid w:val="20726691"/>
    <w:rsid w:val="20821653"/>
    <w:rsid w:val="23183EF8"/>
    <w:rsid w:val="24660324"/>
    <w:rsid w:val="24A83652"/>
    <w:rsid w:val="25087658"/>
    <w:rsid w:val="26C92BC5"/>
    <w:rsid w:val="26DE2E2F"/>
    <w:rsid w:val="28107E8F"/>
    <w:rsid w:val="2A585CB7"/>
    <w:rsid w:val="2B1D1ABE"/>
    <w:rsid w:val="2B9543C7"/>
    <w:rsid w:val="2D7C2183"/>
    <w:rsid w:val="2DF31F7F"/>
    <w:rsid w:val="2FD8767E"/>
    <w:rsid w:val="311F3577"/>
    <w:rsid w:val="31B640B7"/>
    <w:rsid w:val="32D35FBF"/>
    <w:rsid w:val="33610B31"/>
    <w:rsid w:val="33D24C23"/>
    <w:rsid w:val="35610116"/>
    <w:rsid w:val="35875CBB"/>
    <w:rsid w:val="36B47DE3"/>
    <w:rsid w:val="36FB0D9F"/>
    <w:rsid w:val="3BCE402B"/>
    <w:rsid w:val="3DA66438"/>
    <w:rsid w:val="3DE90CA8"/>
    <w:rsid w:val="40186DD6"/>
    <w:rsid w:val="4206398B"/>
    <w:rsid w:val="422410AB"/>
    <w:rsid w:val="427D6138"/>
    <w:rsid w:val="43A7723A"/>
    <w:rsid w:val="44007D63"/>
    <w:rsid w:val="447C1B1D"/>
    <w:rsid w:val="461D30BB"/>
    <w:rsid w:val="470613E9"/>
    <w:rsid w:val="47132172"/>
    <w:rsid w:val="48382F58"/>
    <w:rsid w:val="49331F2A"/>
    <w:rsid w:val="4A821219"/>
    <w:rsid w:val="4AA43713"/>
    <w:rsid w:val="4CBD7ED0"/>
    <w:rsid w:val="4D33295D"/>
    <w:rsid w:val="517C5847"/>
    <w:rsid w:val="51A1671E"/>
    <w:rsid w:val="52BB686B"/>
    <w:rsid w:val="530D56CF"/>
    <w:rsid w:val="546D6916"/>
    <w:rsid w:val="564D7C8C"/>
    <w:rsid w:val="569B167D"/>
    <w:rsid w:val="5A292701"/>
    <w:rsid w:val="5A985AD8"/>
    <w:rsid w:val="5C4949D0"/>
    <w:rsid w:val="5E832452"/>
    <w:rsid w:val="5F647D21"/>
    <w:rsid w:val="5F8C5268"/>
    <w:rsid w:val="601A1897"/>
    <w:rsid w:val="625C2B98"/>
    <w:rsid w:val="655D1CFC"/>
    <w:rsid w:val="65644F35"/>
    <w:rsid w:val="6604569D"/>
    <w:rsid w:val="67EB02F1"/>
    <w:rsid w:val="697C56B4"/>
    <w:rsid w:val="69C45391"/>
    <w:rsid w:val="69FC3AA7"/>
    <w:rsid w:val="6BED148A"/>
    <w:rsid w:val="6D3746D5"/>
    <w:rsid w:val="6D717ACE"/>
    <w:rsid w:val="6FC21322"/>
    <w:rsid w:val="70CB1296"/>
    <w:rsid w:val="732609C3"/>
    <w:rsid w:val="741561AB"/>
    <w:rsid w:val="756E3FB5"/>
    <w:rsid w:val="77F54124"/>
    <w:rsid w:val="780C5B00"/>
    <w:rsid w:val="7A031D57"/>
    <w:rsid w:val="7DD047BF"/>
    <w:rsid w:val="7DEE6939"/>
    <w:rsid w:val="7F307370"/>
    <w:rsid w:val="7F8C2C66"/>
    <w:rsid w:val="7F927530"/>
    <w:rsid w:val="BE770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SimSun" w:cs="Times New Roman"/>
      <w:kern w:val="2"/>
      <w:sz w:val="21"/>
      <w:szCs w:val="24"/>
      <w:lang w:val="en-US" w:eastAsia="zh-CN" w:bidi="ar-SA"/>
    </w:rPr>
  </w:style>
  <w:style w:type="paragraph" w:styleId="2">
    <w:name w:val="heading 2"/>
    <w:basedOn w:val="1"/>
    <w:next w:val="1"/>
    <w:autoRedefine/>
    <w:unhideWhenUsed/>
    <w:qFormat/>
    <w:uiPriority w:val="0"/>
    <w:pPr>
      <w:keepNext/>
      <w:keepLines/>
      <w:outlineLvl w:val="1"/>
    </w:pPr>
    <w:rPr>
      <w:rFonts w:ascii="SimHei" w:hAnsi="SimHei" w:eastAsia="SimHei"/>
      <w:bCs/>
      <w:kern w:val="0"/>
      <w:szCs w:val="20"/>
    </w:rPr>
  </w:style>
  <w:style w:type="character" w:default="1" w:styleId="15">
    <w:name w:val="Default Paragraph Font"/>
    <w:autoRedefine/>
    <w:semiHidden/>
    <w:qFormat/>
    <w:uiPriority w:val="0"/>
  </w:style>
  <w:style w:type="table" w:default="1" w:styleId="13">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eastAsia="SimSun" w:cs="Times New Roman"/>
      <w:kern w:val="2"/>
      <w:sz w:val="21"/>
      <w:szCs w:val="22"/>
    </w:rPr>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autoRedefine/>
    <w:qFormat/>
    <w:uiPriority w:val="0"/>
    <w:pPr>
      <w:adjustRightInd w:val="0"/>
      <w:spacing w:line="315" w:lineRule="atLeast"/>
      <w:jc w:val="left"/>
      <w:textAlignment w:val="baseline"/>
    </w:pPr>
    <w:rPr>
      <w:rFonts w:ascii="FangSong_GB2312" w:eastAsia="FangSong_GB2312"/>
      <w:kern w:val="0"/>
      <w:sz w:val="28"/>
      <w:szCs w:val="20"/>
    </w:rPr>
  </w:style>
  <w:style w:type="paragraph" w:styleId="5">
    <w:name w:val="Body Text Indent"/>
    <w:basedOn w:val="1"/>
    <w:autoRedefine/>
    <w:semiHidden/>
    <w:unhideWhenUsed/>
    <w:qFormat/>
    <w:uiPriority w:val="99"/>
    <w:pPr>
      <w:spacing w:after="120"/>
      <w:ind w:left="420"/>
    </w:pPr>
  </w:style>
  <w:style w:type="paragraph" w:styleId="6">
    <w:name w:val="footer"/>
    <w:basedOn w:val="1"/>
    <w:link w:val="20"/>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toc 2"/>
    <w:basedOn w:val="1"/>
    <w:next w:val="1"/>
    <w:autoRedefine/>
    <w:qFormat/>
    <w:uiPriority w:val="0"/>
    <w:pPr>
      <w:ind w:left="420" w:leftChars="200"/>
    </w:pPr>
    <w:rPr>
      <w:rFonts w:ascii="Calibri" w:hAnsi="Calibri" w:eastAsia="SimSun" w:cs="Times New Roman"/>
      <w:szCs w:val="24"/>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0">
    <w:name w:val="Title"/>
    <w:basedOn w:val="1"/>
    <w:next w:val="1"/>
    <w:autoRedefine/>
    <w:qFormat/>
    <w:uiPriority w:val="0"/>
    <w:pPr>
      <w:widowControl w:val="0"/>
      <w:topLinePunct/>
      <w:spacing w:line="580" w:lineRule="exact"/>
      <w:jc w:val="center"/>
      <w:outlineLvl w:val="2"/>
    </w:pPr>
    <w:rPr>
      <w:rFonts w:ascii="FZXiaoBiaoSong-B05S" w:hAnsi="Cambria" w:eastAsia="FZXiaoBiaoSong-B05S"/>
      <w:b/>
      <w:bCs/>
      <w:kern w:val="2"/>
      <w:sz w:val="44"/>
      <w:szCs w:val="32"/>
      <w:lang w:val="en-US" w:eastAsia="zh-CN" w:bidi="ar-SA"/>
    </w:rPr>
  </w:style>
  <w:style w:type="paragraph" w:styleId="11">
    <w:name w:val="Body Text First Indent"/>
    <w:basedOn w:val="4"/>
    <w:next w:val="1"/>
    <w:autoRedefine/>
    <w:qFormat/>
    <w:uiPriority w:val="0"/>
    <w:pPr>
      <w:snapToGrid w:val="0"/>
      <w:spacing w:after="120" w:line="288" w:lineRule="auto"/>
      <w:ind w:firstLine="420" w:firstLineChars="100"/>
      <w:jc w:val="both"/>
      <w:textAlignment w:val="auto"/>
    </w:pPr>
    <w:rPr>
      <w:rFonts w:ascii="Times New Roman" w:eastAsia="SimSun"/>
      <w:kern w:val="2"/>
      <w:sz w:val="21"/>
    </w:rPr>
  </w:style>
  <w:style w:type="paragraph" w:styleId="12">
    <w:name w:val="Body Text First Indent 2"/>
    <w:basedOn w:val="5"/>
    <w:autoRedefine/>
    <w:unhideWhenUsed/>
    <w:qFormat/>
    <w:uiPriority w:val="99"/>
    <w:pPr>
      <w:ind w:firstLine="420"/>
    </w:p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autoRedefine/>
    <w:qFormat/>
    <w:uiPriority w:val="0"/>
    <w:rPr>
      <w:b/>
    </w:rPr>
  </w:style>
  <w:style w:type="character" w:styleId="17">
    <w:name w:val="page number"/>
    <w:basedOn w:val="15"/>
    <w:autoRedefine/>
    <w:qFormat/>
    <w:uiPriority w:val="0"/>
  </w:style>
  <w:style w:type="character" w:customStyle="1" w:styleId="18">
    <w:name w:val="NormalCharacter"/>
    <w:autoRedefine/>
    <w:qFormat/>
    <w:uiPriority w:val="0"/>
    <w:rPr>
      <w:kern w:val="2"/>
      <w:sz w:val="21"/>
      <w:szCs w:val="24"/>
      <w:lang w:val="en-US" w:eastAsia="zh-CN" w:bidi="ar-SA"/>
    </w:rPr>
  </w:style>
  <w:style w:type="paragraph" w:customStyle="1" w:styleId="19">
    <w:name w:val="Normal_0"/>
    <w:autoRedefine/>
    <w:qFormat/>
    <w:uiPriority w:val="0"/>
    <w:pPr>
      <w:spacing w:before="120" w:after="240"/>
      <w:jc w:val="both"/>
    </w:pPr>
    <w:rPr>
      <w:rFonts w:ascii="Calibri" w:hAnsi="Calibri" w:eastAsia="Calibri" w:cs="Times New Roman"/>
      <w:sz w:val="22"/>
      <w:szCs w:val="22"/>
      <w:lang w:val="ru-RU" w:eastAsia="en-US" w:bidi="ar-SA"/>
    </w:rPr>
  </w:style>
  <w:style w:type="character" w:customStyle="1" w:styleId="20">
    <w:name w:val="页脚 Char"/>
    <w:basedOn w:val="15"/>
    <w:link w:val="6"/>
    <w:autoRedefine/>
    <w:qFormat/>
    <w:uiPriority w:val="0"/>
    <w:rPr>
      <w:rFonts w:hint="default" w:ascii="Calibri" w:hAnsi="Calibri" w:cs="Calibri"/>
      <w:kern w:val="2"/>
      <w:sz w:val="18"/>
      <w:szCs w:val="24"/>
    </w:rPr>
  </w:style>
  <w:style w:type="table" w:customStyle="1" w:styleId="21">
    <w:name w:val="Table Normal"/>
    <w:autoRedefine/>
    <w:unhideWhenUsed/>
    <w:qFormat/>
    <w:uiPriority w:val="0"/>
    <w:tblPr>
      <w:tblCellMar>
        <w:top w:w="0" w:type="dxa"/>
        <w:left w:w="0" w:type="dxa"/>
        <w:bottom w:w="0" w:type="dxa"/>
        <w:right w:w="0" w:type="dxa"/>
      </w:tblCellMar>
    </w:tblPr>
  </w:style>
  <w:style w:type="paragraph" w:customStyle="1" w:styleId="22">
    <w:name w:val="Table Text"/>
    <w:basedOn w:val="1"/>
    <w:autoRedefine/>
    <w:semiHidden/>
    <w:qFormat/>
    <w:uiPriority w:val="0"/>
    <w:rPr>
      <w:rFonts w:ascii="Arial" w:hAnsi="Arial" w:eastAsia="Arial" w:cs="Arial"/>
      <w:sz w:val="21"/>
      <w:szCs w:val="21"/>
      <w:lang w:val="en-US" w:eastAsia="en-US" w:bidi="ar-SA"/>
    </w:rPr>
  </w:style>
  <w:style w:type="paragraph" w:customStyle="1" w:styleId="23">
    <w:name w:val="WPSOffice手动目录 2"/>
    <w:autoRedefine/>
    <w:qFormat/>
    <w:uiPriority w:val="0"/>
    <w:pPr>
      <w:ind w:leftChars="200"/>
    </w:pPr>
    <w:rPr>
      <w:rFonts w:asciiTheme="minorHAnsi" w:hAnsiTheme="minorHAnsi" w:eastAsiaTheme="minorEastAsia" w:cstheme="minorBidi"/>
      <w:sz w:val="20"/>
      <w:szCs w:val="20"/>
    </w:rPr>
  </w:style>
  <w:style w:type="paragraph" w:customStyle="1" w:styleId="24">
    <w:name w:val="WPSOffice手动目录 1"/>
    <w:autoRedefine/>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13587</Words>
  <Characters>14510</Characters>
  <Lines>0</Lines>
  <Paragraphs>0</Paragraphs>
  <TotalTime>5</TotalTime>
  <ScaleCrop>false</ScaleCrop>
  <LinksUpToDate>false</LinksUpToDate>
  <CharactersWithSpaces>14710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2022-11-01T10:27:00Z</dcterms:created>
  <dc:creator>Administrator</dc:creator>
  <cp:lastModifiedBy>碧云天</cp:lastModifiedBy>
  <cp:lastPrinted>2024-02-29T01:45:00Z</cp:lastPrinted>
  <dcterms:modified xsi:type="dcterms:W3CDTF">2024-06-22T01:38:24Z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89DB9574468A4AE3B0B5300AE7F4FAF9_13</vt:lpwstr>
  </property>
</Properties>
</file>