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SimSun" w:hAnsi="Times New Roman" w:eastAsia="SimSu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SimSun" w:hAnsi="Times New Roman" w:eastAsia="Times New Roma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SimSun" w:hAnsi="Times New Roman" w:eastAsia="Times New Roma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280" w:lineRule="exact"/>
        <w:ind w:left="0" w:right="0"/>
        <w:jc w:val="center"/>
        <w:rPr>
          <w:rFonts w:hint="eastAsia" w:ascii="SimSun" w:hAnsi="Times New Roman" w:eastAsia="SimSu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SimSun" w:hAnsi="Times New Roman" w:eastAsia="SimSu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center"/>
        <w:rPr>
          <w:rFonts w:hint="eastAsia" w:ascii="SimSun" w:hAnsi="Times New Roman" w:eastAsia="SimSu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both"/>
        <w:rPr>
          <w:rFonts w:hint="eastAsia" w:ascii="SimSun" w:hAnsi="Times New Roman" w:eastAsia="SimSu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SimSun" w:hAnsi="Times New Roman" w:eastAsia="Times New Roma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720" w:lineRule="exact"/>
        <w:ind w:left="0" w:right="0"/>
        <w:jc w:val="center"/>
        <w:rPr>
          <w:rFonts w:hint="eastAsia" w:ascii="FangSong_GB2312" w:eastAsia="FangSong_GB2312" w:cs="FangSong_GB2312"/>
          <w:color w:val="000000"/>
          <w:kern w:val="0"/>
          <w:sz w:val="32"/>
          <w:szCs w:val="32"/>
          <w:lang w:val="en-US"/>
        </w:rPr>
      </w:pPr>
      <w:r>
        <w:rPr>
          <w:rFonts w:hint="eastAsia" w:ascii="FangSong_GB2312" w:hAnsi="Times New Roman" w:eastAsia="FangSong_GB2312" w:cs="FangSong_GB2312"/>
          <w:color w:val="000000"/>
          <w:kern w:val="0"/>
          <w:sz w:val="32"/>
          <w:szCs w:val="32"/>
          <w:lang w:val="en-US" w:eastAsia="zh-CN" w:bidi="ar"/>
        </w:rPr>
        <w:t>峨边府办发〔2022〕21号</w:t>
      </w: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FangSong_GB2312" w:eastAsia="FangSong_GB2312" w:cs="FangSong_GB2312"/>
          <w:color w:val="000000"/>
          <w:kern w:val="0"/>
          <w:sz w:val="32"/>
          <w:szCs w:val="32"/>
          <w:lang w:val="en-US"/>
        </w:rPr>
      </w:pPr>
    </w:p>
    <w:p>
      <w:pPr>
        <w:keepNext w:val="0"/>
        <w:keepLines w:val="0"/>
        <w:widowControl w:val="0"/>
        <w:suppressLineNumbers w:val="0"/>
        <w:tabs>
          <w:tab w:val="left" w:pos="7500"/>
        </w:tabs>
        <w:autoSpaceDE w:val="0"/>
        <w:autoSpaceDN w:val="0"/>
        <w:adjustRightInd w:val="0"/>
        <w:spacing w:before="0" w:beforeAutospacing="0" w:after="0" w:afterAutospacing="0" w:line="560" w:lineRule="exact"/>
        <w:ind w:left="0" w:right="0"/>
        <w:jc w:val="center"/>
        <w:rPr>
          <w:rFonts w:hint="eastAsia" w:ascii="FangSong_GB2312" w:eastAsia="FangSong_GB2312" w:cs="FangSong_GB2312"/>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160" w:lineRule="exact"/>
        <w:ind w:left="0" w:right="0"/>
        <w:jc w:val="center"/>
        <w:rPr>
          <w:rFonts w:hint="eastAsia" w:ascii="FangSong_GB2312" w:eastAsia="FangSong_GB2312" w:cs="FangSong_GB2312"/>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720" w:lineRule="exact"/>
        <w:ind w:left="0" w:right="0"/>
        <w:jc w:val="center"/>
        <w:rPr>
          <w:rFonts w:hint="eastAsia" w:ascii="FZXiaoBiaoSong-B05S" w:hAnsi="FZXiaoBiaoSong-B05S" w:eastAsia="FZXiaoBiaoSong-B05S" w:cs="FZXiaoBiaoSong-B05S"/>
          <w:color w:val="000000"/>
          <w:sz w:val="44"/>
          <w:szCs w:val="44"/>
          <w:lang w:val="en-US"/>
        </w:rPr>
      </w:pPr>
      <w:r>
        <w:rPr>
          <w:rFonts w:hint="eastAsia" w:ascii="FZXiaoBiaoSong-B05S" w:hAnsi="FZXiaoBiaoSong-B05S" w:eastAsia="FZXiaoBiaoSong-B05S" w:cs="FZXiaoBiaoSong-B05S"/>
          <w:color w:val="000000"/>
          <w:kern w:val="2"/>
          <w:sz w:val="44"/>
          <w:szCs w:val="44"/>
          <w:lang w:val="en-US" w:eastAsia="zh-CN" w:bidi="ar"/>
        </w:rPr>
        <w:t>峨边彝族自治县人民政府办公室</w:t>
      </w:r>
    </w:p>
    <w:p>
      <w:pPr>
        <w:keepNext w:val="0"/>
        <w:keepLines w:val="0"/>
        <w:widowControl w:val="0"/>
        <w:suppressLineNumbers w:val="0"/>
        <w:autoSpaceDE w:val="0"/>
        <w:autoSpaceDN/>
        <w:spacing w:before="0" w:beforeAutospacing="0" w:after="0" w:afterAutospacing="0" w:line="700" w:lineRule="exact"/>
        <w:ind w:left="0" w:right="0"/>
        <w:jc w:val="center"/>
        <w:rPr>
          <w:rFonts w:hint="eastAsia" w:ascii="FZXiaoBiaoSong-B05S" w:hAnsi="FZXiaoBiaoSong-B05S" w:eastAsia="FZXiaoBiaoSong-B05S" w:cs="FZXiaoBiaoSong-B05S"/>
          <w:sz w:val="44"/>
          <w:szCs w:val="44"/>
          <w:lang w:val="en-US"/>
        </w:rPr>
      </w:pPr>
      <w:r>
        <w:rPr>
          <w:rFonts w:hint="eastAsia" w:ascii="Times New Roman" w:hAnsi="FZXiaoBiaoSong-B05S" w:eastAsia="FZXiaoBiaoSong-B05S" w:cs="FZXiaoBiaoSong-B05S"/>
          <w:bCs/>
          <w:kern w:val="2"/>
          <w:sz w:val="44"/>
          <w:szCs w:val="44"/>
          <w:lang w:val="en-US" w:eastAsia="zh-CN" w:bidi="ar"/>
        </w:rPr>
        <w:t>关于印发《峨边彝族自治县“十四五”残疾人保障和发展规划</w:t>
      </w:r>
      <w:r>
        <w:rPr>
          <w:rFonts w:hint="eastAsia" w:ascii="FZXiaoBiaoSong-B05S" w:hAnsi="FZXiaoBiaoSong-B05S" w:eastAsia="FZXiaoBiaoSong-B05S" w:cs="FZXiaoBiaoSong-B05S"/>
          <w:kern w:val="2"/>
          <w:sz w:val="44"/>
          <w:szCs w:val="44"/>
          <w:lang w:val="en-US" w:eastAsia="zh-CN" w:bidi="ar"/>
        </w:rPr>
        <w:t>》</w:t>
      </w:r>
      <w:r>
        <w:rPr>
          <w:rFonts w:hint="eastAsia" w:ascii="Times New Roman" w:hAnsi="FZXiaoBiaoSong-B05S" w:eastAsia="FZXiaoBiaoSong-B05S" w:cs="FZXiaoBiaoSong-B05S"/>
          <w:bCs/>
          <w:spacing w:val="12"/>
          <w:kern w:val="2"/>
          <w:sz w:val="44"/>
          <w:szCs w:val="44"/>
          <w:lang w:val="en-US" w:eastAsia="zh-CN" w:bidi="ar"/>
        </w:rPr>
        <w:t>的</w:t>
      </w:r>
      <w:r>
        <w:rPr>
          <w:rFonts w:hint="eastAsia" w:ascii="FZXiaoBiaoSong-B05S" w:hAnsi="FZXiaoBiaoSong-B05S" w:eastAsia="FZXiaoBiaoSong-B05S" w:cs="FZXiaoBiaoSong-B05S"/>
          <w:spacing w:val="12"/>
          <w:kern w:val="2"/>
          <w:sz w:val="44"/>
          <w:szCs w:val="44"/>
          <w:lang w:val="en-US" w:eastAsia="zh-CN" w:bidi="ar"/>
        </w:rPr>
        <w:t>通知</w:t>
      </w:r>
    </w:p>
    <w:p>
      <w:pPr>
        <w:keepNext w:val="0"/>
        <w:keepLines w:val="0"/>
        <w:widowControl w:val="0"/>
        <w:suppressLineNumbers w:val="0"/>
        <w:autoSpaceDE w:val="0"/>
        <w:autoSpaceDN w:val="0"/>
        <w:adjustRightInd w:val="0"/>
        <w:spacing w:before="0" w:beforeAutospacing="0" w:after="0" w:afterAutospacing="0" w:line="760" w:lineRule="exact"/>
        <w:ind w:left="0" w:right="0"/>
        <w:jc w:val="center"/>
        <w:rPr>
          <w:rFonts w:hint="eastAsia" w:ascii="FangSong_GB2312" w:eastAsia="FangSong_GB2312" w:cs="FZXiaoBiaoSong-B05S"/>
          <w:color w:val="000000"/>
          <w:kern w:val="0"/>
          <w:sz w:val="32"/>
          <w:szCs w:val="32"/>
          <w:lang w:val="en-US"/>
        </w:rPr>
      </w:pPr>
    </w:p>
    <w:p>
      <w:pPr>
        <w:keepNext w:val="0"/>
        <w:keepLines w:val="0"/>
        <w:widowControl w:val="0"/>
        <w:suppressLineNumbers w:val="0"/>
        <w:spacing w:before="0" w:beforeAutospacing="0" w:after="0" w:afterAutospacing="0" w:line="600" w:lineRule="exact"/>
        <w:ind w:left="0" w:right="0"/>
        <w:jc w:val="both"/>
        <w:rPr>
          <w:rFonts w:hint="eastAsia" w:ascii="FangSong_GB2312" w:eastAsia="FangSong_GB2312" w:cs="FangSong_GB2312"/>
          <w:color w:val="000000"/>
          <w:sz w:val="32"/>
          <w:szCs w:val="32"/>
          <w:lang w:val="en-US"/>
        </w:rPr>
      </w:pPr>
      <w:r>
        <w:rPr>
          <w:rFonts w:hint="eastAsia" w:ascii="FangSong_GB2312" w:hAnsi="Times New Roman" w:eastAsia="FangSong_GB2312" w:cs="FangSong_GB2312"/>
          <w:color w:val="000000"/>
          <w:kern w:val="2"/>
          <w:sz w:val="32"/>
          <w:szCs w:val="32"/>
          <w:lang w:val="en-US" w:eastAsia="zh-CN" w:bidi="ar"/>
        </w:rPr>
        <w:t>各乡镇人民政府，县级各部门：</w:t>
      </w:r>
    </w:p>
    <w:p>
      <w:pPr>
        <w:keepNext w:val="0"/>
        <w:keepLines w:val="0"/>
        <w:widowControl w:val="0"/>
        <w:suppressLineNumbers w:val="0"/>
        <w:spacing w:before="0" w:beforeAutospacing="0" w:after="0" w:afterAutospacing="0" w:line="600" w:lineRule="exact"/>
        <w:ind w:left="0" w:right="0" w:firstLine="640" w:firstLineChars="200"/>
        <w:jc w:val="both"/>
        <w:rPr>
          <w:rFonts w:hint="eastAsia" w:ascii="FangSong_GB2312" w:eastAsia="FangSong_GB2312" w:cs="FangSong_GB2312"/>
          <w:sz w:val="32"/>
          <w:szCs w:val="32"/>
          <w:lang w:val="en-US"/>
        </w:rPr>
      </w:pPr>
      <w:r>
        <w:rPr>
          <w:rFonts w:hint="eastAsia" w:ascii="FangSong_GB2312" w:hAnsi="Times New Roman" w:eastAsia="FangSong_GB2312" w:cs="FangSong_GB2312"/>
          <w:color w:val="000000"/>
          <w:kern w:val="2"/>
          <w:sz w:val="32"/>
          <w:szCs w:val="32"/>
          <w:lang w:val="en-US" w:eastAsia="zh-CN" w:bidi="ar"/>
        </w:rPr>
        <w:t>《峨边彝族自治县“十四五”残疾人保障和发展规划》</w:t>
      </w:r>
      <w:r>
        <w:rPr>
          <w:rFonts w:hint="eastAsia" w:ascii="FangSong_GB2312" w:hAnsi="Times New Roman" w:eastAsia="FangSong_GB2312" w:cs="FangSong_GB2312"/>
          <w:kern w:val="2"/>
          <w:sz w:val="32"/>
          <w:szCs w:val="32"/>
          <w:lang w:val="en-US" w:eastAsia="zh-CN" w:bidi="ar"/>
        </w:rPr>
        <w:t>已经</w:t>
      </w:r>
      <w:r>
        <w:rPr>
          <w:rFonts w:hint="eastAsia" w:ascii="FangSong_GB2312" w:hAnsi="Times New Roman" w:eastAsia="FangSong_GB2312" w:cs="FangSong_GB2312"/>
          <w:color w:val="000000"/>
          <w:kern w:val="2"/>
          <w:sz w:val="32"/>
          <w:szCs w:val="32"/>
          <w:lang w:val="en-US" w:eastAsia="zh-CN" w:bidi="ar"/>
        </w:rPr>
        <w:t>县政府常务会研究同意</w:t>
      </w:r>
      <w:r>
        <w:rPr>
          <w:rFonts w:hint="eastAsia" w:ascii="FangSong_GB2312" w:hAnsi="Times New Roman" w:eastAsia="FangSong_GB2312" w:cs="FangSong_GB2312"/>
          <w:kern w:val="2"/>
          <w:sz w:val="32"/>
          <w:szCs w:val="32"/>
          <w:lang w:val="en-US" w:eastAsia="zh-CN" w:bidi="ar"/>
        </w:rPr>
        <w:t>，现予印发，请遵照执行。</w:t>
      </w:r>
    </w:p>
    <w:p>
      <w:pPr>
        <w:keepNext w:val="0"/>
        <w:keepLines w:val="0"/>
        <w:widowControl/>
        <w:suppressLineNumbers w:val="0"/>
        <w:spacing w:before="0" w:beforeAutospacing="0" w:after="0" w:afterAutospacing="0" w:line="600" w:lineRule="exact"/>
        <w:ind w:left="0" w:right="0" w:firstLine="640" w:firstLineChars="200"/>
        <w:jc w:val="both"/>
        <w:rPr>
          <w:rFonts w:hint="eastAsia" w:ascii="FangSong_GB2312" w:hAnsi="FangSong_GB2312" w:eastAsia="FangSong_GB2312" w:cs="FangSong_GB2312"/>
          <w:color w:val="000000"/>
          <w:sz w:val="32"/>
          <w:szCs w:val="32"/>
          <w:lang w:val="en-US"/>
        </w:rPr>
      </w:pPr>
    </w:p>
    <w:p>
      <w:pPr>
        <w:keepNext w:val="0"/>
        <w:keepLines w:val="0"/>
        <w:widowControl/>
        <w:suppressLineNumbers w:val="0"/>
        <w:spacing w:before="0" w:beforeAutospacing="0" w:after="0" w:afterAutospacing="0" w:line="600" w:lineRule="exact"/>
        <w:ind w:left="0" w:right="0" w:firstLine="640" w:firstLineChars="200"/>
        <w:jc w:val="both"/>
        <w:rPr>
          <w:rFonts w:hint="eastAsia" w:ascii="FangSong_GB2312" w:hAnsi="FangSong_GB2312" w:eastAsia="FangSong_GB2312" w:cs="FangSong_GB2312"/>
          <w:color w:val="000000"/>
          <w:sz w:val="32"/>
          <w:szCs w:val="32"/>
          <w:lang w:val="en-US"/>
        </w:rPr>
      </w:pPr>
    </w:p>
    <w:p>
      <w:pPr>
        <w:keepNext w:val="0"/>
        <w:keepLines w:val="0"/>
        <w:widowControl w:val="0"/>
        <w:suppressLineNumbers w:val="0"/>
        <w:spacing w:before="0" w:beforeAutospacing="0" w:after="0" w:afterAutospacing="0" w:line="600" w:lineRule="exact"/>
        <w:ind w:left="0" w:right="0" w:firstLine="640" w:firstLineChars="200"/>
        <w:jc w:val="both"/>
        <w:rPr>
          <w:rFonts w:hint="eastAsia" w:ascii="FangSong_GB2312" w:eastAsia="FangSong_GB2312" w:cs="FangSong_GB2312"/>
          <w:color w:val="000000"/>
          <w:sz w:val="32"/>
          <w:szCs w:val="32"/>
          <w:lang w:val="en-US"/>
        </w:rPr>
      </w:pPr>
      <w:r>
        <w:rPr>
          <w:rFonts w:hint="eastAsia" w:ascii="FangSong_GB2312" w:hAnsi="Times New Roman" w:eastAsia="FangSong_GB2312" w:cs="FangSong_GB2312"/>
          <w:color w:val="000000"/>
          <w:kern w:val="2"/>
          <w:sz w:val="32"/>
          <w:szCs w:val="32"/>
          <w:lang w:val="en-US" w:eastAsia="zh-CN" w:bidi="ar"/>
        </w:rPr>
        <w:t xml:space="preserve">                   峨边彝族自治县人民政府办公室</w:t>
      </w:r>
    </w:p>
    <w:p>
      <w:pPr>
        <w:keepNext w:val="0"/>
        <w:keepLines w:val="0"/>
        <w:widowControl w:val="0"/>
        <w:suppressLineNumbers w:val="0"/>
        <w:spacing w:before="0" w:beforeAutospacing="0" w:after="0" w:afterAutospacing="0" w:line="600" w:lineRule="exact"/>
        <w:ind w:left="0" w:right="0" w:firstLine="640" w:firstLineChars="200"/>
        <w:jc w:val="both"/>
        <w:rPr>
          <w:rFonts w:hint="eastAsia" w:ascii="FZXiaoBiaoSong-B05S" w:hAnsi="KaiTi" w:eastAsia="FZXiaoBiaoSong-B05S"/>
          <w:sz w:val="52"/>
          <w:szCs w:val="52"/>
        </w:rPr>
      </w:pPr>
      <w:r>
        <w:rPr>
          <w:rFonts w:hint="eastAsia" w:ascii="FangSong_GB2312" w:hAnsi="Times New Roman" w:eastAsia="FangSong_GB2312" w:cs="FangSong_GB2312"/>
          <w:color w:val="000000"/>
          <w:kern w:val="2"/>
          <w:sz w:val="32"/>
          <w:szCs w:val="32"/>
          <w:lang w:val="en-US" w:eastAsia="zh-CN" w:bidi="ar"/>
        </w:rPr>
        <w:t xml:space="preserve">                           </w:t>
      </w:r>
      <w:r>
        <w:rPr>
          <w:rFonts w:hint="eastAsia" w:ascii="FangSong_GB2312" w:hAnsi="Arial Unicode MS" w:eastAsia="FangSong_GB2312" w:cs="FangSong_GB2312"/>
          <w:color w:val="000000"/>
          <w:kern w:val="2"/>
          <w:sz w:val="32"/>
          <w:szCs w:val="32"/>
          <w:lang w:val="en-US" w:eastAsia="zh-CN" w:bidi="ar"/>
        </w:rPr>
        <w:t>2022年12月26日</w:t>
      </w:r>
    </w:p>
    <w:p/>
    <w:p>
      <w:pPr>
        <w:keepNext w:val="0"/>
        <w:keepLines w:val="0"/>
        <w:pageBreakBefore w:val="0"/>
        <w:widowControl w:val="0"/>
        <w:kinsoku/>
        <w:wordWrap/>
        <w:overflowPunct/>
        <w:topLinePunct w:val="0"/>
        <w:autoSpaceDE/>
        <w:autoSpaceDN/>
        <w:bidi w:val="0"/>
        <w:adjustRightInd/>
        <w:snapToGrid/>
        <w:spacing w:after="0" w:line="700" w:lineRule="exact"/>
        <w:ind w:left="0" w:right="0"/>
        <w:jc w:val="center"/>
        <w:textAlignment w:val="auto"/>
        <w:outlineLvl w:val="9"/>
        <w:rPr>
          <w:rFonts w:hint="eastAsia" w:ascii="FZXiaoBiaoSong-B05S" w:hAnsi="Calibri" w:eastAsia="FZXiaoBiaoSong-B05S" w:cs="Times New Roman"/>
          <w:b w:val="0"/>
          <w:bCs w:val="0"/>
          <w:kern w:val="2"/>
          <w:sz w:val="44"/>
          <w:szCs w:val="44"/>
          <w:u w:val="none"/>
          <w:lang w:val="en-US" w:eastAsia="zh-CN" w:bidi="ar-SA"/>
        </w:rPr>
      </w:pPr>
      <w:r>
        <w:rPr>
          <w:rFonts w:hint="eastAsia" w:ascii="FZXiaoBiaoSong-B05S" w:hAnsi="Calibri" w:eastAsia="FZXiaoBiaoSong-B05S" w:cs="Times New Roman"/>
          <w:b w:val="0"/>
          <w:bCs w:val="0"/>
          <w:kern w:val="2"/>
          <w:sz w:val="44"/>
          <w:szCs w:val="44"/>
          <w:u w:val="none"/>
          <w:lang w:val="en-US" w:eastAsia="zh-CN" w:bidi="ar-SA"/>
        </w:rPr>
        <w:t>峨边彝族自治县“十四五”残疾人保障和</w:t>
      </w:r>
    </w:p>
    <w:p>
      <w:pPr>
        <w:keepNext w:val="0"/>
        <w:keepLines w:val="0"/>
        <w:pageBreakBefore w:val="0"/>
        <w:widowControl w:val="0"/>
        <w:kinsoku/>
        <w:wordWrap/>
        <w:overflowPunct/>
        <w:topLinePunct w:val="0"/>
        <w:autoSpaceDE/>
        <w:autoSpaceDN/>
        <w:bidi w:val="0"/>
        <w:adjustRightInd/>
        <w:snapToGrid/>
        <w:spacing w:after="0" w:line="700" w:lineRule="exact"/>
        <w:ind w:left="0" w:right="0"/>
        <w:jc w:val="center"/>
        <w:textAlignment w:val="auto"/>
        <w:outlineLvl w:val="9"/>
        <w:rPr>
          <w:rFonts w:hint="eastAsia" w:ascii="FZXiaoBiaoSong-B05S" w:hAnsi="Calibri" w:eastAsia="FZXiaoBiaoSong-B05S" w:cs="Times New Roman"/>
          <w:b w:val="0"/>
          <w:bCs w:val="0"/>
          <w:kern w:val="2"/>
          <w:sz w:val="44"/>
          <w:szCs w:val="44"/>
          <w:u w:val="none"/>
          <w:lang w:val="en-US" w:eastAsia="zh-CN" w:bidi="ar-SA"/>
        </w:rPr>
      </w:pPr>
      <w:r>
        <w:rPr>
          <w:rFonts w:hint="eastAsia" w:ascii="FZXiaoBiaoSong-B05S" w:hAnsi="Calibri" w:eastAsia="FZXiaoBiaoSong-B05S" w:cs="Times New Roman"/>
          <w:b w:val="0"/>
          <w:bCs w:val="0"/>
          <w:kern w:val="2"/>
          <w:sz w:val="44"/>
          <w:szCs w:val="44"/>
          <w:u w:val="none"/>
          <w:lang w:val="en-US" w:eastAsia="zh-CN" w:bidi="ar-SA"/>
        </w:rPr>
        <w:t>发展规划</w:t>
      </w:r>
    </w:p>
    <w:p>
      <w:pPr>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SimHei" w:hAnsi="SimHei" w:eastAsia="SimHei"/>
          <w:sz w:val="36"/>
          <w:szCs w:val="36"/>
        </w:rPr>
      </w:pPr>
    </w:p>
    <w:p>
      <w:pPr>
        <w:keepNext w:val="0"/>
        <w:keepLines w:val="0"/>
        <w:pageBreakBefore w:val="0"/>
        <w:widowControl w:val="0"/>
        <w:kinsoku/>
        <w:wordWrap/>
        <w:overflowPunct/>
        <w:topLinePunct w:val="0"/>
        <w:autoSpaceDE/>
        <w:autoSpaceDN/>
        <w:bidi w:val="0"/>
        <w:adjustRightInd/>
        <w:snapToGrid/>
        <w:spacing w:after="0"/>
        <w:jc w:val="center"/>
        <w:textAlignment w:val="auto"/>
        <w:rPr>
          <w:rFonts w:ascii="KaiTi_GB2312" w:eastAsia="KaiTi_GB2312"/>
          <w:sz w:val="32"/>
          <w:szCs w:val="32"/>
        </w:rPr>
      </w:pPr>
      <w:r>
        <w:rPr>
          <w:rFonts w:hint="eastAsia" w:ascii="SimHei" w:hAnsi="SimHei" w:eastAsia="SimHei"/>
          <w:sz w:val="36"/>
          <w:szCs w:val="36"/>
        </w:rPr>
        <w:t>目    录</w:t>
      </w:r>
    </w:p>
    <w:p>
      <w:pPr>
        <w:keepNext w:val="0"/>
        <w:keepLines w:val="0"/>
        <w:pageBreakBefore w:val="0"/>
        <w:widowControl w:val="0"/>
        <w:kinsoku/>
        <w:wordWrap/>
        <w:overflowPunct/>
        <w:topLinePunct w:val="0"/>
        <w:autoSpaceDE/>
        <w:autoSpaceDN/>
        <w:bidi w:val="0"/>
        <w:adjustRightInd/>
        <w:snapToGrid/>
        <w:spacing w:after="40" w:line="400" w:lineRule="exact"/>
        <w:jc w:val="distribute"/>
        <w:textAlignment w:val="auto"/>
        <w:rPr>
          <w:rFonts w:ascii="KaiTi_GB2312" w:eastAsia="KaiTi_GB2312"/>
          <w:sz w:val="32"/>
          <w:szCs w:val="32"/>
        </w:rPr>
      </w:pPr>
      <w:r>
        <w:fldChar w:fldCharType="begin"/>
      </w:r>
      <w:r>
        <w:instrText xml:space="preserve"> HYPERLINK "file:///C:\\Users\\lenovov\\Desktop\\峨边残联" \l "_Toc86309389" </w:instrText>
      </w:r>
      <w:r>
        <w:fldChar w:fldCharType="separate"/>
      </w:r>
      <w:r>
        <w:rPr>
          <w:rStyle w:val="10"/>
          <w:rFonts w:hint="eastAsia" w:ascii="KaiTi_GB2312" w:eastAsia="KaiTi_GB2312"/>
          <w:color w:val="auto"/>
          <w:sz w:val="32"/>
          <w:szCs w:val="32"/>
          <w:u w:val="none"/>
        </w:rPr>
        <w:t>一、规划背景</w:t>
      </w:r>
      <w:r>
        <w:rPr>
          <w:rStyle w:val="10"/>
          <w:rFonts w:hint="eastAsia" w:ascii="KaiTi_GB2312" w:eastAsia="KaiTi_GB2312"/>
          <w:color w:val="auto"/>
          <w:sz w:val="32"/>
          <w:szCs w:val="32"/>
          <w:u w:val="none"/>
        </w:rPr>
        <w:fldChar w:fldCharType="end"/>
      </w:r>
      <w:r>
        <w:rPr>
          <w:rFonts w:hint="eastAsia" w:ascii="KaiTi_GB2312" w:eastAsia="KaiTi_GB2312"/>
          <w:sz w:val="32"/>
          <w:szCs w:val="32"/>
        </w:rPr>
        <w:t>..........................................1</w:t>
      </w:r>
    </w:p>
    <w:p>
      <w:pPr>
        <w:keepNext w:val="0"/>
        <w:keepLines w:val="0"/>
        <w:pageBreakBefore w:val="0"/>
        <w:widowControl w:val="0"/>
        <w:kinsoku/>
        <w:wordWrap/>
        <w:overflowPunct/>
        <w:topLinePunct w:val="0"/>
        <w:autoSpaceDE/>
        <w:autoSpaceDN/>
        <w:bidi w:val="0"/>
        <w:adjustRightInd/>
        <w:snapToGrid/>
        <w:spacing w:after="40" w:line="400" w:lineRule="exact"/>
        <w:jc w:val="distribute"/>
        <w:textAlignment w:val="auto"/>
        <w:rPr>
          <w:rFonts w:ascii="KaiTi_GB2312" w:eastAsia="KaiTi_GB2312"/>
          <w:sz w:val="32"/>
          <w:szCs w:val="32"/>
        </w:rPr>
      </w:pPr>
      <w:r>
        <w:rPr>
          <w:rFonts w:hint="eastAsia" w:ascii="KaiTi_GB2312" w:eastAsia="KaiTi_GB2312"/>
          <w:sz w:val="32"/>
          <w:szCs w:val="32"/>
        </w:rPr>
        <w:t xml:space="preserve">    </w:t>
      </w:r>
      <w:r>
        <w:fldChar w:fldCharType="begin"/>
      </w:r>
      <w:r>
        <w:instrText xml:space="preserve"> HYPERLINK "file:///C:\\Users\\lenovov\\Desktop\\峨边残联" \l "_Toc86309390" </w:instrText>
      </w:r>
      <w:r>
        <w:fldChar w:fldCharType="separate"/>
      </w:r>
      <w:r>
        <w:rPr>
          <w:rStyle w:val="10"/>
          <w:rFonts w:hint="eastAsia" w:ascii="KaiTi_GB2312" w:eastAsia="KaiTi_GB2312"/>
          <w:color w:val="auto"/>
          <w:sz w:val="32"/>
          <w:szCs w:val="32"/>
          <w:u w:val="none"/>
        </w:rPr>
        <w:t>（一）发展基础....................................1</w:t>
      </w:r>
      <w:r>
        <w:rPr>
          <w:rStyle w:val="10"/>
          <w:rFonts w:hint="eastAsia" w:ascii="KaiTi_GB2312" w:eastAsia="KaiTi_GB2312"/>
          <w:color w:val="auto"/>
          <w:sz w:val="32"/>
          <w:szCs w:val="32"/>
          <w:u w:val="none"/>
        </w:rPr>
        <w:fldChar w:fldCharType="end"/>
      </w:r>
    </w:p>
    <w:p>
      <w:pPr>
        <w:keepNext w:val="0"/>
        <w:keepLines w:val="0"/>
        <w:pageBreakBefore w:val="0"/>
        <w:widowControl w:val="0"/>
        <w:kinsoku/>
        <w:wordWrap/>
        <w:overflowPunct/>
        <w:topLinePunct w:val="0"/>
        <w:autoSpaceDE/>
        <w:autoSpaceDN/>
        <w:bidi w:val="0"/>
        <w:adjustRightInd/>
        <w:snapToGrid/>
        <w:spacing w:after="40" w:line="400" w:lineRule="exact"/>
        <w:jc w:val="distribute"/>
        <w:textAlignment w:val="auto"/>
        <w:rPr>
          <w:rFonts w:ascii="KaiTi_GB2312" w:eastAsia="KaiTi_GB2312"/>
          <w:sz w:val="32"/>
          <w:szCs w:val="32"/>
        </w:rPr>
      </w:pPr>
      <w:r>
        <w:rPr>
          <w:rFonts w:hint="eastAsia" w:ascii="KaiTi_GB2312" w:eastAsia="KaiTi_GB2312"/>
          <w:sz w:val="32"/>
          <w:szCs w:val="32"/>
        </w:rPr>
        <w:t xml:space="preserve">    </w:t>
      </w:r>
      <w:r>
        <w:fldChar w:fldCharType="begin"/>
      </w:r>
      <w:r>
        <w:instrText xml:space="preserve"> HYPERLINK "file:///C:\\Users\\lenovov\\Desktop\\峨边残联" \l "_Toc86309391" </w:instrText>
      </w:r>
      <w:r>
        <w:fldChar w:fldCharType="separate"/>
      </w:r>
      <w:r>
        <w:rPr>
          <w:rStyle w:val="10"/>
          <w:rFonts w:hint="eastAsia" w:ascii="KaiTi_GB2312" w:eastAsia="KaiTi_GB2312"/>
          <w:color w:val="auto"/>
          <w:sz w:val="32"/>
          <w:szCs w:val="32"/>
          <w:u w:val="none"/>
        </w:rPr>
        <w:t>（二）面临形势....................................4</w:t>
      </w:r>
      <w:r>
        <w:rPr>
          <w:rStyle w:val="10"/>
          <w:rFonts w:hint="eastAsia" w:ascii="KaiTi_GB2312" w:eastAsia="KaiTi_GB2312"/>
          <w:color w:val="auto"/>
          <w:sz w:val="32"/>
          <w:szCs w:val="32"/>
          <w:u w:val="none"/>
        </w:rPr>
        <w:fldChar w:fldCharType="end"/>
      </w:r>
    </w:p>
    <w:p>
      <w:pPr>
        <w:keepNext w:val="0"/>
        <w:keepLines w:val="0"/>
        <w:pageBreakBefore w:val="0"/>
        <w:widowControl w:val="0"/>
        <w:kinsoku/>
        <w:wordWrap/>
        <w:overflowPunct/>
        <w:topLinePunct w:val="0"/>
        <w:autoSpaceDE/>
        <w:autoSpaceDN/>
        <w:bidi w:val="0"/>
        <w:adjustRightInd/>
        <w:snapToGrid/>
        <w:spacing w:after="40" w:line="400" w:lineRule="exact"/>
        <w:jc w:val="distribute"/>
        <w:textAlignment w:val="auto"/>
        <w:rPr>
          <w:rFonts w:ascii="KaiTi_GB2312" w:eastAsia="KaiTi_GB2312"/>
          <w:sz w:val="32"/>
          <w:szCs w:val="32"/>
        </w:rPr>
      </w:pPr>
      <w:r>
        <w:fldChar w:fldCharType="begin"/>
      </w:r>
      <w:r>
        <w:instrText xml:space="preserve"> HYPERLINK "file:///C:\\Users\\lenovov\\Desktop\\峨边残联" \l "_Toc86309392" </w:instrText>
      </w:r>
      <w:r>
        <w:fldChar w:fldCharType="separate"/>
      </w:r>
      <w:r>
        <w:rPr>
          <w:rStyle w:val="10"/>
          <w:rFonts w:hint="eastAsia" w:ascii="KaiTi_GB2312" w:eastAsia="KaiTi_GB2312"/>
          <w:color w:val="auto"/>
          <w:sz w:val="32"/>
          <w:szCs w:val="32"/>
          <w:u w:val="none"/>
        </w:rPr>
        <w:t>二、总体要求</w:t>
      </w:r>
      <w:r>
        <w:rPr>
          <w:rStyle w:val="10"/>
          <w:rFonts w:hint="eastAsia" w:ascii="KaiTi_GB2312" w:eastAsia="KaiTi_GB2312"/>
          <w:color w:val="auto"/>
          <w:sz w:val="32"/>
          <w:szCs w:val="32"/>
          <w:u w:val="none"/>
        </w:rPr>
        <w:tab/>
      </w:r>
      <w:r>
        <w:rPr>
          <w:rStyle w:val="10"/>
          <w:rFonts w:hint="eastAsia" w:ascii="KaiTi_GB2312" w:eastAsia="KaiTi_GB2312"/>
          <w:color w:val="auto"/>
          <w:sz w:val="32"/>
          <w:szCs w:val="32"/>
          <w:u w:val="none"/>
        </w:rPr>
        <w:fldChar w:fldCharType="end"/>
      </w:r>
      <w:r>
        <w:rPr>
          <w:rFonts w:hint="eastAsia" w:ascii="KaiTi_GB2312" w:eastAsia="KaiTi_GB2312"/>
          <w:sz w:val="32"/>
          <w:szCs w:val="32"/>
        </w:rPr>
        <w:t>.........................................6</w:t>
      </w:r>
    </w:p>
    <w:p>
      <w:pPr>
        <w:keepNext w:val="0"/>
        <w:keepLines w:val="0"/>
        <w:pageBreakBefore w:val="0"/>
        <w:widowControl w:val="0"/>
        <w:kinsoku/>
        <w:wordWrap/>
        <w:overflowPunct/>
        <w:topLinePunct w:val="0"/>
        <w:autoSpaceDE/>
        <w:autoSpaceDN/>
        <w:bidi w:val="0"/>
        <w:adjustRightInd/>
        <w:snapToGrid/>
        <w:spacing w:after="40" w:line="400" w:lineRule="exact"/>
        <w:jc w:val="distribute"/>
        <w:textAlignment w:val="auto"/>
        <w:rPr>
          <w:rFonts w:ascii="KaiTi_GB2312" w:eastAsia="KaiTi_GB2312"/>
          <w:sz w:val="32"/>
          <w:szCs w:val="32"/>
        </w:rPr>
      </w:pPr>
      <w:r>
        <w:rPr>
          <w:rFonts w:hint="eastAsia" w:ascii="KaiTi_GB2312" w:eastAsia="KaiTi_GB2312"/>
          <w:sz w:val="32"/>
          <w:szCs w:val="32"/>
        </w:rPr>
        <w:t xml:space="preserve">    </w:t>
      </w:r>
      <w:r>
        <w:fldChar w:fldCharType="begin"/>
      </w:r>
      <w:r>
        <w:instrText xml:space="preserve"> HYPERLINK "file:///C:\\Users\\lenovov\\Desktop\\峨边残联" \l "_Toc86309393" </w:instrText>
      </w:r>
      <w:r>
        <w:fldChar w:fldCharType="separate"/>
      </w:r>
      <w:r>
        <w:rPr>
          <w:rStyle w:val="10"/>
          <w:rFonts w:hint="eastAsia" w:ascii="KaiTi_GB2312" w:eastAsia="KaiTi_GB2312"/>
          <w:color w:val="auto"/>
          <w:sz w:val="32"/>
          <w:szCs w:val="32"/>
          <w:u w:val="none"/>
        </w:rPr>
        <w:t>（一）指导思想</w:t>
      </w:r>
      <w:r>
        <w:rPr>
          <w:rStyle w:val="10"/>
          <w:rFonts w:hint="eastAsia" w:ascii="KaiTi_GB2312" w:eastAsia="SimSun"/>
          <w:color w:val="auto"/>
          <w:sz w:val="32"/>
          <w:szCs w:val="32"/>
          <w:u w:val="none"/>
          <w:lang w:eastAsia="zh-CN"/>
        </w:rPr>
        <w:t>......</w:t>
      </w:r>
      <w:r>
        <w:rPr>
          <w:rStyle w:val="10"/>
          <w:rFonts w:hint="eastAsia" w:ascii="KaiTi_GB2312" w:eastAsia="KaiTi_GB2312"/>
          <w:color w:val="auto"/>
          <w:sz w:val="32"/>
          <w:szCs w:val="32"/>
          <w:u w:val="none"/>
        </w:rPr>
        <w:t xml:space="preserve"> .............................6</w:t>
      </w:r>
      <w:r>
        <w:rPr>
          <w:rStyle w:val="10"/>
          <w:rFonts w:hint="eastAsia" w:ascii="KaiTi_GB2312" w:eastAsia="KaiTi_GB2312"/>
          <w:color w:val="auto"/>
          <w:sz w:val="32"/>
          <w:szCs w:val="32"/>
          <w:u w:val="none"/>
        </w:rPr>
        <w:fldChar w:fldCharType="end"/>
      </w:r>
    </w:p>
    <w:p>
      <w:pPr>
        <w:keepNext w:val="0"/>
        <w:keepLines w:val="0"/>
        <w:pageBreakBefore w:val="0"/>
        <w:widowControl w:val="0"/>
        <w:kinsoku/>
        <w:wordWrap/>
        <w:overflowPunct/>
        <w:topLinePunct w:val="0"/>
        <w:autoSpaceDE/>
        <w:autoSpaceDN/>
        <w:bidi w:val="0"/>
        <w:adjustRightInd/>
        <w:snapToGrid/>
        <w:spacing w:after="40" w:line="400" w:lineRule="exact"/>
        <w:jc w:val="distribute"/>
        <w:textAlignment w:val="auto"/>
        <w:rPr>
          <w:rFonts w:ascii="KaiTi_GB2312" w:eastAsia="KaiTi_GB2312"/>
          <w:sz w:val="32"/>
          <w:szCs w:val="32"/>
        </w:rPr>
      </w:pPr>
      <w:r>
        <w:rPr>
          <w:rFonts w:hint="eastAsia" w:ascii="KaiTi_GB2312" w:eastAsia="KaiTi_GB2312"/>
          <w:sz w:val="32"/>
          <w:szCs w:val="32"/>
        </w:rPr>
        <w:t xml:space="preserve">    </w:t>
      </w:r>
      <w:r>
        <w:fldChar w:fldCharType="begin"/>
      </w:r>
      <w:r>
        <w:instrText xml:space="preserve"> HYPERLINK "file:///C:\\Users\\lenovov\\Desktop\\峨边残联" \l "_Toc86309394" </w:instrText>
      </w:r>
      <w:r>
        <w:fldChar w:fldCharType="separate"/>
      </w:r>
      <w:r>
        <w:rPr>
          <w:rStyle w:val="10"/>
          <w:rFonts w:hint="eastAsia" w:ascii="KaiTi_GB2312" w:eastAsia="KaiTi_GB2312"/>
          <w:color w:val="auto"/>
          <w:sz w:val="32"/>
          <w:szCs w:val="32"/>
          <w:u w:val="none"/>
        </w:rPr>
        <w:t>（二）基本原则....................................6</w:t>
      </w:r>
      <w:r>
        <w:rPr>
          <w:rStyle w:val="10"/>
          <w:rFonts w:hint="eastAsia" w:ascii="KaiTi_GB2312" w:eastAsia="KaiTi_GB2312"/>
          <w:color w:val="auto"/>
          <w:sz w:val="32"/>
          <w:szCs w:val="32"/>
          <w:u w:val="none"/>
        </w:rPr>
        <w:fldChar w:fldCharType="end"/>
      </w:r>
    </w:p>
    <w:p>
      <w:pPr>
        <w:keepNext w:val="0"/>
        <w:keepLines w:val="0"/>
        <w:pageBreakBefore w:val="0"/>
        <w:widowControl w:val="0"/>
        <w:kinsoku/>
        <w:wordWrap/>
        <w:overflowPunct/>
        <w:topLinePunct w:val="0"/>
        <w:autoSpaceDE/>
        <w:autoSpaceDN/>
        <w:bidi w:val="0"/>
        <w:adjustRightInd/>
        <w:snapToGrid/>
        <w:spacing w:after="40" w:line="400" w:lineRule="exact"/>
        <w:jc w:val="distribute"/>
        <w:textAlignment w:val="auto"/>
        <w:rPr>
          <w:rFonts w:ascii="KaiTi_GB2312" w:eastAsia="KaiTi_GB2312"/>
          <w:sz w:val="32"/>
          <w:szCs w:val="32"/>
        </w:rPr>
      </w:pPr>
      <w:r>
        <w:rPr>
          <w:rFonts w:hint="eastAsia" w:ascii="KaiTi_GB2312" w:eastAsia="KaiTi_GB2312"/>
          <w:sz w:val="32"/>
          <w:szCs w:val="32"/>
        </w:rPr>
        <w:t xml:space="preserve">    </w:t>
      </w:r>
      <w:r>
        <w:fldChar w:fldCharType="begin"/>
      </w:r>
      <w:r>
        <w:instrText xml:space="preserve"> HYPERLINK "file:///C:\\Users\\lenovov\\Desktop\\峨边残联" \l "_Toc86309395" </w:instrText>
      </w:r>
      <w:r>
        <w:fldChar w:fldCharType="separate"/>
      </w:r>
      <w:r>
        <w:rPr>
          <w:rStyle w:val="10"/>
          <w:rFonts w:hint="eastAsia" w:ascii="KaiTi_GB2312" w:eastAsia="KaiTi_GB2312"/>
          <w:color w:val="auto"/>
          <w:sz w:val="32"/>
          <w:szCs w:val="32"/>
          <w:u w:val="none"/>
        </w:rPr>
        <w:t>（三）发展目标....................................7</w:t>
      </w:r>
      <w:r>
        <w:rPr>
          <w:rStyle w:val="10"/>
          <w:rFonts w:hint="eastAsia" w:ascii="KaiTi_GB2312" w:eastAsia="KaiTi_GB2312"/>
          <w:color w:val="auto"/>
          <w:sz w:val="32"/>
          <w:szCs w:val="32"/>
          <w:u w:val="none"/>
        </w:rPr>
        <w:fldChar w:fldCharType="end"/>
      </w:r>
    </w:p>
    <w:p>
      <w:pPr>
        <w:keepNext w:val="0"/>
        <w:keepLines w:val="0"/>
        <w:pageBreakBefore w:val="0"/>
        <w:widowControl w:val="0"/>
        <w:kinsoku/>
        <w:wordWrap/>
        <w:overflowPunct/>
        <w:topLinePunct w:val="0"/>
        <w:autoSpaceDE/>
        <w:autoSpaceDN/>
        <w:bidi w:val="0"/>
        <w:adjustRightInd/>
        <w:snapToGrid/>
        <w:spacing w:after="40" w:line="400" w:lineRule="exact"/>
        <w:jc w:val="distribute"/>
        <w:textAlignment w:val="auto"/>
        <w:rPr>
          <w:rFonts w:ascii="KaiTi_GB2312" w:eastAsia="KaiTi_GB2312"/>
          <w:sz w:val="32"/>
          <w:szCs w:val="32"/>
        </w:rPr>
      </w:pPr>
      <w:r>
        <w:fldChar w:fldCharType="begin"/>
      </w:r>
      <w:r>
        <w:instrText xml:space="preserve"> HYPERLINK "file:///C:\\Users\\lenovov\\Desktop\\峨边残联" \l "_Toc86309396" </w:instrText>
      </w:r>
      <w:r>
        <w:fldChar w:fldCharType="separate"/>
      </w:r>
      <w:r>
        <w:rPr>
          <w:rStyle w:val="10"/>
          <w:rFonts w:hint="eastAsia" w:ascii="KaiTi_GB2312" w:eastAsia="KaiTi_GB2312"/>
          <w:color w:val="auto"/>
          <w:sz w:val="32"/>
          <w:szCs w:val="32"/>
          <w:u w:val="none"/>
        </w:rPr>
        <w:t>三、主要任务</w:t>
      </w:r>
      <w:r>
        <w:rPr>
          <w:rStyle w:val="10"/>
          <w:rFonts w:hint="eastAsia" w:ascii="KaiTi_GB2312" w:eastAsia="KaiTi_GB2312"/>
          <w:color w:val="auto"/>
          <w:sz w:val="32"/>
          <w:szCs w:val="32"/>
          <w:u w:val="none"/>
        </w:rPr>
        <w:fldChar w:fldCharType="end"/>
      </w:r>
      <w:r>
        <w:rPr>
          <w:rFonts w:hint="eastAsia" w:ascii="KaiTi_GB2312" w:eastAsia="KaiTi_GB2312"/>
          <w:sz w:val="32"/>
          <w:szCs w:val="32"/>
        </w:rPr>
        <w:t>..........................................9</w:t>
      </w:r>
    </w:p>
    <w:p>
      <w:pPr>
        <w:keepNext w:val="0"/>
        <w:keepLines w:val="0"/>
        <w:pageBreakBefore w:val="0"/>
        <w:widowControl w:val="0"/>
        <w:kinsoku/>
        <w:wordWrap/>
        <w:overflowPunct/>
        <w:topLinePunct w:val="0"/>
        <w:autoSpaceDE/>
        <w:autoSpaceDN/>
        <w:bidi w:val="0"/>
        <w:adjustRightInd/>
        <w:snapToGrid/>
        <w:spacing w:after="40" w:line="400" w:lineRule="exact"/>
        <w:ind w:firstLine="420" w:firstLineChars="200"/>
        <w:jc w:val="distribute"/>
        <w:textAlignment w:val="auto"/>
        <w:rPr>
          <w:rFonts w:ascii="KaiTi_GB2312" w:eastAsia="KaiTi_GB2312"/>
          <w:sz w:val="32"/>
          <w:szCs w:val="32"/>
        </w:rPr>
      </w:pPr>
      <w:r>
        <w:rPr>
          <w:rFonts w:hint="eastAsia"/>
        </w:rPr>
        <w:t xml:space="preserve">  </w:t>
      </w:r>
      <w:r>
        <w:fldChar w:fldCharType="begin"/>
      </w:r>
      <w:r>
        <w:instrText xml:space="preserve"> HYPERLINK "file:///C:\\Users\\lenovov\\Desktop\\峨边残联" \l "_Toc86309397" </w:instrText>
      </w:r>
      <w:r>
        <w:fldChar w:fldCharType="separate"/>
      </w:r>
      <w:r>
        <w:rPr>
          <w:rStyle w:val="10"/>
          <w:rFonts w:hint="eastAsia" w:ascii="KaiTi_GB2312" w:eastAsia="KaiTi_GB2312"/>
          <w:color w:val="auto"/>
          <w:sz w:val="32"/>
          <w:szCs w:val="32"/>
          <w:u w:val="none"/>
        </w:rPr>
        <w:t>（一）完善多层次社会保障体系......................9</w:t>
      </w:r>
      <w:r>
        <w:rPr>
          <w:rStyle w:val="10"/>
          <w:rFonts w:hint="eastAsia" w:ascii="KaiTi_GB2312" w:eastAsia="KaiTi_GB2312"/>
          <w:color w:val="auto"/>
          <w:sz w:val="32"/>
          <w:szCs w:val="32"/>
          <w:u w:val="none"/>
        </w:rPr>
        <w:fldChar w:fldCharType="end"/>
      </w:r>
    </w:p>
    <w:p>
      <w:pPr>
        <w:keepNext w:val="0"/>
        <w:keepLines w:val="0"/>
        <w:pageBreakBefore w:val="0"/>
        <w:widowControl w:val="0"/>
        <w:kinsoku/>
        <w:wordWrap/>
        <w:overflowPunct/>
        <w:topLinePunct w:val="0"/>
        <w:autoSpaceDE/>
        <w:autoSpaceDN/>
        <w:bidi w:val="0"/>
        <w:adjustRightInd/>
        <w:snapToGrid/>
        <w:spacing w:after="40" w:line="400" w:lineRule="exact"/>
        <w:ind w:firstLine="420" w:firstLineChars="200"/>
        <w:jc w:val="distribute"/>
        <w:textAlignment w:val="auto"/>
        <w:rPr>
          <w:rFonts w:ascii="KaiTi_GB2312" w:eastAsia="KaiTi_GB2312"/>
          <w:sz w:val="32"/>
          <w:szCs w:val="32"/>
        </w:rPr>
      </w:pPr>
      <w:r>
        <w:rPr>
          <w:rFonts w:hint="eastAsia"/>
        </w:rPr>
        <w:t xml:space="preserve">  </w:t>
      </w:r>
      <w:r>
        <w:fldChar w:fldCharType="begin"/>
      </w:r>
      <w:r>
        <w:instrText xml:space="preserve"> HYPERLINK "file:///C:\\Users\\lenovov\\Desktop\\峨边残联" \l "_Toc86309398" </w:instrText>
      </w:r>
      <w:r>
        <w:fldChar w:fldCharType="separate"/>
      </w:r>
      <w:r>
        <w:rPr>
          <w:rStyle w:val="10"/>
          <w:rFonts w:hint="eastAsia" w:ascii="KaiTi_GB2312" w:eastAsia="KaiTi_GB2312"/>
          <w:color w:val="auto"/>
          <w:sz w:val="32"/>
          <w:szCs w:val="32"/>
          <w:u w:val="none"/>
        </w:rPr>
        <w:t>（二）完善残疾人就业创业支撑体系.................1</w:t>
      </w:r>
      <w:r>
        <w:rPr>
          <w:rStyle w:val="10"/>
          <w:rFonts w:hint="eastAsia" w:ascii="KaiTi_GB2312" w:eastAsia="KaiTi_GB2312"/>
          <w:color w:val="auto"/>
          <w:sz w:val="32"/>
          <w:szCs w:val="32"/>
          <w:u w:val="none"/>
        </w:rPr>
        <w:fldChar w:fldCharType="end"/>
      </w:r>
      <w:r>
        <w:rPr>
          <w:rFonts w:hint="eastAsia" w:ascii="KaiTi_GB2312" w:eastAsia="KaiTi_GB2312"/>
          <w:sz w:val="32"/>
          <w:szCs w:val="32"/>
        </w:rPr>
        <w:t>4</w:t>
      </w:r>
    </w:p>
    <w:p>
      <w:pPr>
        <w:keepNext w:val="0"/>
        <w:keepLines w:val="0"/>
        <w:pageBreakBefore w:val="0"/>
        <w:widowControl w:val="0"/>
        <w:kinsoku/>
        <w:wordWrap/>
        <w:overflowPunct/>
        <w:topLinePunct w:val="0"/>
        <w:autoSpaceDE/>
        <w:autoSpaceDN/>
        <w:bidi w:val="0"/>
        <w:adjustRightInd/>
        <w:snapToGrid/>
        <w:spacing w:after="40" w:line="400" w:lineRule="exact"/>
        <w:ind w:firstLine="420" w:firstLineChars="200"/>
        <w:jc w:val="distribute"/>
        <w:textAlignment w:val="auto"/>
        <w:rPr>
          <w:rFonts w:ascii="KaiTi_GB2312" w:eastAsia="KaiTi_GB2312"/>
          <w:sz w:val="32"/>
          <w:szCs w:val="32"/>
        </w:rPr>
      </w:pPr>
      <w:r>
        <w:rPr>
          <w:rFonts w:hint="eastAsia"/>
        </w:rPr>
        <w:t xml:space="preserve">  </w:t>
      </w:r>
      <w:r>
        <w:fldChar w:fldCharType="begin"/>
      </w:r>
      <w:r>
        <w:instrText xml:space="preserve"> HYPERLINK "file:///C:\\Users\\lenovov\\Desktop\\峨边残联" \l "_Toc86309399" </w:instrText>
      </w:r>
      <w:r>
        <w:fldChar w:fldCharType="separate"/>
      </w:r>
      <w:r>
        <w:rPr>
          <w:rStyle w:val="10"/>
          <w:rFonts w:hint="eastAsia" w:ascii="KaiTi_GB2312" w:eastAsia="KaiTi_GB2312"/>
          <w:color w:val="auto"/>
          <w:sz w:val="32"/>
          <w:szCs w:val="32"/>
          <w:u w:val="none"/>
        </w:rPr>
        <w:t>（三）完善残疾人康复服务体系.....................1</w:t>
      </w:r>
      <w:r>
        <w:rPr>
          <w:rStyle w:val="10"/>
          <w:rFonts w:hint="eastAsia" w:ascii="KaiTi_GB2312" w:eastAsia="KaiTi_GB2312"/>
          <w:color w:val="auto"/>
          <w:sz w:val="32"/>
          <w:szCs w:val="32"/>
          <w:u w:val="none"/>
        </w:rPr>
        <w:fldChar w:fldCharType="end"/>
      </w:r>
      <w:r>
        <w:rPr>
          <w:rFonts w:hint="eastAsia" w:ascii="KaiTi_GB2312" w:eastAsia="KaiTi_GB2312"/>
          <w:sz w:val="32"/>
          <w:szCs w:val="32"/>
        </w:rPr>
        <w:t>7</w:t>
      </w:r>
    </w:p>
    <w:p>
      <w:pPr>
        <w:keepNext w:val="0"/>
        <w:keepLines w:val="0"/>
        <w:pageBreakBefore w:val="0"/>
        <w:widowControl w:val="0"/>
        <w:kinsoku/>
        <w:wordWrap/>
        <w:overflowPunct/>
        <w:topLinePunct w:val="0"/>
        <w:autoSpaceDE/>
        <w:autoSpaceDN/>
        <w:bidi w:val="0"/>
        <w:adjustRightInd/>
        <w:snapToGrid/>
        <w:spacing w:after="40" w:line="400" w:lineRule="exact"/>
        <w:ind w:firstLine="630" w:firstLineChars="300"/>
        <w:jc w:val="distribute"/>
        <w:textAlignment w:val="auto"/>
        <w:rPr>
          <w:rStyle w:val="10"/>
          <w:rFonts w:hint="eastAsia" w:eastAsia="KaiTi_GB2312"/>
          <w:color w:val="auto"/>
          <w:u w:val="none"/>
          <w:lang w:val="en-US" w:eastAsia="zh-CN"/>
        </w:rPr>
      </w:pPr>
      <w:r>
        <w:fldChar w:fldCharType="begin"/>
      </w:r>
      <w:r>
        <w:instrText xml:space="preserve"> HYPERLINK "file:///C:\\Users\\lenovov\\Desktop\\峨边残联" \l "_Toc86309400" </w:instrText>
      </w:r>
      <w:r>
        <w:fldChar w:fldCharType="separate"/>
      </w:r>
      <w:r>
        <w:rPr>
          <w:rStyle w:val="10"/>
          <w:rFonts w:hint="eastAsia" w:ascii="KaiTi_GB2312" w:eastAsia="KaiTi_GB2312"/>
          <w:color w:val="auto"/>
          <w:sz w:val="32"/>
          <w:szCs w:val="32"/>
          <w:u w:val="none"/>
        </w:rPr>
        <w:t>（四）实施特殊教育促进工程.......................1</w:t>
      </w:r>
      <w:r>
        <w:rPr>
          <w:rStyle w:val="10"/>
          <w:rFonts w:hint="eastAsia" w:ascii="KaiTi_GB2312" w:eastAsia="KaiTi_GB2312"/>
          <w:color w:val="auto"/>
          <w:sz w:val="32"/>
          <w:szCs w:val="32"/>
          <w:u w:val="none"/>
        </w:rPr>
        <w:fldChar w:fldCharType="end"/>
      </w:r>
      <w:r>
        <w:rPr>
          <w:rStyle w:val="10"/>
          <w:rFonts w:hint="eastAsia" w:ascii="KaiTi_GB2312" w:eastAsia="KaiTi_GB2312"/>
          <w:color w:val="auto"/>
          <w:sz w:val="32"/>
          <w:szCs w:val="32"/>
          <w:u w:val="none"/>
          <w:lang w:val="en-US" w:eastAsia="zh-CN"/>
        </w:rPr>
        <w:t>9</w:t>
      </w:r>
    </w:p>
    <w:p>
      <w:pPr>
        <w:keepNext w:val="0"/>
        <w:keepLines w:val="0"/>
        <w:pageBreakBefore w:val="0"/>
        <w:widowControl w:val="0"/>
        <w:kinsoku/>
        <w:wordWrap/>
        <w:overflowPunct/>
        <w:topLinePunct w:val="0"/>
        <w:autoSpaceDE/>
        <w:autoSpaceDN/>
        <w:bidi w:val="0"/>
        <w:adjustRightInd/>
        <w:snapToGrid/>
        <w:spacing w:after="40" w:line="400" w:lineRule="exact"/>
        <w:ind w:firstLine="630" w:firstLineChars="300"/>
        <w:jc w:val="distribute"/>
        <w:textAlignment w:val="auto"/>
        <w:rPr>
          <w:rStyle w:val="10"/>
          <w:rFonts w:hint="eastAsia" w:eastAsia="KaiTi_GB2312"/>
          <w:color w:val="auto"/>
          <w:u w:val="none"/>
          <w:lang w:val="en-US" w:eastAsia="zh-CN"/>
        </w:rPr>
      </w:pPr>
      <w:r>
        <w:fldChar w:fldCharType="begin"/>
      </w:r>
      <w:r>
        <w:instrText xml:space="preserve"> HYPERLINK "file:///C:\\Users\\lenovov\\Desktop\\峨边残联" \l "_Toc86309401" </w:instrText>
      </w:r>
      <w:r>
        <w:fldChar w:fldCharType="separate"/>
      </w:r>
      <w:r>
        <w:rPr>
          <w:rStyle w:val="10"/>
          <w:rFonts w:hint="eastAsia" w:ascii="KaiTi_GB2312" w:eastAsia="KaiTi_GB2312"/>
          <w:color w:val="auto"/>
          <w:sz w:val="32"/>
          <w:szCs w:val="32"/>
          <w:u w:val="none"/>
        </w:rPr>
        <w:t>（五）实施城乡无障碍建设工程.....................2</w:t>
      </w:r>
      <w:r>
        <w:rPr>
          <w:rStyle w:val="10"/>
          <w:rFonts w:hint="eastAsia" w:ascii="KaiTi_GB2312" w:eastAsia="KaiTi_GB2312"/>
          <w:color w:val="auto"/>
          <w:sz w:val="32"/>
          <w:szCs w:val="32"/>
          <w:u w:val="none"/>
        </w:rPr>
        <w:fldChar w:fldCharType="end"/>
      </w:r>
      <w:r>
        <w:rPr>
          <w:rStyle w:val="10"/>
          <w:rFonts w:hint="eastAsia" w:ascii="KaiTi_GB2312" w:eastAsia="KaiTi_GB2312"/>
          <w:color w:val="auto"/>
          <w:sz w:val="32"/>
          <w:szCs w:val="32"/>
          <w:u w:val="none"/>
          <w:lang w:val="en-US" w:eastAsia="zh-CN"/>
        </w:rPr>
        <w:t>1</w:t>
      </w:r>
    </w:p>
    <w:p>
      <w:pPr>
        <w:keepNext w:val="0"/>
        <w:keepLines w:val="0"/>
        <w:pageBreakBefore w:val="0"/>
        <w:widowControl w:val="0"/>
        <w:kinsoku/>
        <w:wordWrap/>
        <w:overflowPunct/>
        <w:topLinePunct w:val="0"/>
        <w:autoSpaceDE/>
        <w:autoSpaceDN/>
        <w:bidi w:val="0"/>
        <w:adjustRightInd/>
        <w:snapToGrid/>
        <w:spacing w:after="40" w:line="400" w:lineRule="exact"/>
        <w:ind w:firstLine="630" w:firstLineChars="300"/>
        <w:jc w:val="distribute"/>
        <w:textAlignment w:val="auto"/>
        <w:rPr>
          <w:rStyle w:val="10"/>
          <w:rFonts w:hint="eastAsia" w:eastAsia="KaiTi_GB2312"/>
          <w:color w:val="auto"/>
          <w:u w:val="none"/>
          <w:lang w:val="en-US" w:eastAsia="zh-CN"/>
        </w:rPr>
      </w:pPr>
      <w:r>
        <w:fldChar w:fldCharType="begin"/>
      </w:r>
      <w:r>
        <w:instrText xml:space="preserve"> HYPERLINK "file:///C:\\Users\\lenovov\\Desktop\\峨边残联" \l "_Toc86309402" </w:instrText>
      </w:r>
      <w:r>
        <w:fldChar w:fldCharType="separate"/>
      </w:r>
      <w:r>
        <w:rPr>
          <w:rStyle w:val="10"/>
          <w:rFonts w:hint="eastAsia" w:ascii="KaiTi_GB2312" w:eastAsia="KaiTi_GB2312"/>
          <w:color w:val="auto"/>
          <w:sz w:val="32"/>
          <w:szCs w:val="32"/>
          <w:u w:val="none"/>
        </w:rPr>
        <w:t>（六）实施残疾人组织保障工程.....................2</w:t>
      </w:r>
      <w:r>
        <w:rPr>
          <w:rStyle w:val="10"/>
          <w:rFonts w:hint="eastAsia" w:ascii="KaiTi_GB2312" w:eastAsia="KaiTi_GB2312"/>
          <w:color w:val="auto"/>
          <w:sz w:val="32"/>
          <w:szCs w:val="32"/>
          <w:u w:val="none"/>
        </w:rPr>
        <w:fldChar w:fldCharType="end"/>
      </w:r>
      <w:r>
        <w:rPr>
          <w:rStyle w:val="10"/>
          <w:rFonts w:hint="eastAsia" w:ascii="KaiTi_GB2312" w:eastAsia="KaiTi_GB2312"/>
          <w:color w:val="auto"/>
          <w:sz w:val="32"/>
          <w:szCs w:val="32"/>
          <w:u w:val="none"/>
          <w:lang w:val="en-US" w:eastAsia="zh-CN"/>
        </w:rPr>
        <w:t>2</w:t>
      </w:r>
    </w:p>
    <w:p>
      <w:pPr>
        <w:keepNext w:val="0"/>
        <w:keepLines w:val="0"/>
        <w:pageBreakBefore w:val="0"/>
        <w:widowControl w:val="0"/>
        <w:kinsoku/>
        <w:wordWrap/>
        <w:overflowPunct/>
        <w:topLinePunct w:val="0"/>
        <w:autoSpaceDE/>
        <w:autoSpaceDN/>
        <w:bidi w:val="0"/>
        <w:adjustRightInd/>
        <w:snapToGrid/>
        <w:spacing w:after="40" w:line="400" w:lineRule="exact"/>
        <w:ind w:firstLine="630" w:firstLineChars="300"/>
        <w:jc w:val="distribute"/>
        <w:textAlignment w:val="auto"/>
        <w:rPr>
          <w:rStyle w:val="10"/>
          <w:rFonts w:hint="eastAsia" w:eastAsia="KaiTi_GB2312"/>
          <w:color w:val="auto"/>
          <w:u w:val="none"/>
          <w:lang w:val="en-US" w:eastAsia="zh-CN"/>
        </w:rPr>
      </w:pPr>
      <w:r>
        <w:fldChar w:fldCharType="begin"/>
      </w:r>
      <w:r>
        <w:instrText xml:space="preserve"> HYPERLINK "file:///C:\\Users\\lenovov\\Desktop\\峨边残联" \l "_Toc86309403" </w:instrText>
      </w:r>
      <w:r>
        <w:fldChar w:fldCharType="separate"/>
      </w:r>
      <w:r>
        <w:rPr>
          <w:rStyle w:val="10"/>
          <w:rFonts w:hint="eastAsia" w:ascii="KaiTi_GB2312" w:eastAsia="KaiTi_GB2312"/>
          <w:color w:val="auto"/>
          <w:sz w:val="32"/>
          <w:szCs w:val="32"/>
          <w:u w:val="none"/>
        </w:rPr>
        <w:t>（七）开展残疾人合法权益维护提升行动.............2</w:t>
      </w:r>
      <w:r>
        <w:rPr>
          <w:rStyle w:val="10"/>
          <w:rFonts w:hint="eastAsia" w:ascii="KaiTi_GB2312" w:eastAsia="KaiTi_GB2312"/>
          <w:color w:val="auto"/>
          <w:sz w:val="32"/>
          <w:szCs w:val="32"/>
          <w:u w:val="none"/>
        </w:rPr>
        <w:fldChar w:fldCharType="end"/>
      </w:r>
      <w:r>
        <w:rPr>
          <w:rStyle w:val="10"/>
          <w:rFonts w:hint="eastAsia" w:ascii="KaiTi_GB2312" w:eastAsia="KaiTi_GB2312"/>
          <w:color w:val="auto"/>
          <w:sz w:val="32"/>
          <w:szCs w:val="32"/>
          <w:u w:val="none"/>
          <w:lang w:val="en-US" w:eastAsia="zh-CN"/>
        </w:rPr>
        <w:t>4</w:t>
      </w:r>
    </w:p>
    <w:p>
      <w:pPr>
        <w:keepNext w:val="0"/>
        <w:keepLines w:val="0"/>
        <w:pageBreakBefore w:val="0"/>
        <w:widowControl w:val="0"/>
        <w:kinsoku/>
        <w:wordWrap/>
        <w:overflowPunct/>
        <w:topLinePunct w:val="0"/>
        <w:autoSpaceDE/>
        <w:autoSpaceDN/>
        <w:bidi w:val="0"/>
        <w:adjustRightInd/>
        <w:snapToGrid/>
        <w:spacing w:after="40" w:line="400" w:lineRule="exact"/>
        <w:ind w:firstLine="630" w:firstLineChars="300"/>
        <w:jc w:val="distribute"/>
        <w:textAlignment w:val="auto"/>
        <w:rPr>
          <w:rStyle w:val="10"/>
          <w:rFonts w:hint="eastAsia" w:eastAsia="KaiTi_GB2312"/>
          <w:color w:val="auto"/>
          <w:u w:val="none"/>
          <w:lang w:val="en-US" w:eastAsia="zh-CN"/>
        </w:rPr>
      </w:pPr>
      <w:r>
        <w:fldChar w:fldCharType="begin"/>
      </w:r>
      <w:r>
        <w:instrText xml:space="preserve"> HYPERLINK "file:///C:\\Users\\lenovov\\Desktop\\峨边残联" \l "_Toc86309404" </w:instrText>
      </w:r>
      <w:r>
        <w:fldChar w:fldCharType="separate"/>
      </w:r>
      <w:r>
        <w:rPr>
          <w:rStyle w:val="10"/>
          <w:rFonts w:hint="eastAsia" w:ascii="KaiTi_GB2312" w:eastAsia="KaiTi_GB2312"/>
          <w:color w:val="auto"/>
          <w:sz w:val="32"/>
          <w:szCs w:val="32"/>
          <w:u w:val="none"/>
        </w:rPr>
        <w:t>（八）开展残疾人文化体育事业提升行动.............2</w:t>
      </w:r>
      <w:r>
        <w:rPr>
          <w:rStyle w:val="10"/>
          <w:rFonts w:hint="eastAsia" w:ascii="KaiTi_GB2312" w:eastAsia="KaiTi_GB2312"/>
          <w:color w:val="auto"/>
          <w:sz w:val="32"/>
          <w:szCs w:val="32"/>
          <w:u w:val="none"/>
        </w:rPr>
        <w:fldChar w:fldCharType="end"/>
      </w:r>
      <w:r>
        <w:rPr>
          <w:rStyle w:val="10"/>
          <w:rFonts w:hint="eastAsia" w:ascii="KaiTi_GB2312" w:eastAsia="KaiTi_GB2312"/>
          <w:color w:val="auto"/>
          <w:sz w:val="32"/>
          <w:szCs w:val="32"/>
          <w:u w:val="none"/>
          <w:lang w:val="en-US" w:eastAsia="zh-CN"/>
        </w:rPr>
        <w:t>5</w:t>
      </w:r>
    </w:p>
    <w:p>
      <w:pPr>
        <w:keepNext w:val="0"/>
        <w:keepLines w:val="0"/>
        <w:pageBreakBefore w:val="0"/>
        <w:widowControl w:val="0"/>
        <w:kinsoku/>
        <w:wordWrap/>
        <w:overflowPunct/>
        <w:topLinePunct w:val="0"/>
        <w:autoSpaceDE/>
        <w:autoSpaceDN/>
        <w:bidi w:val="0"/>
        <w:adjustRightInd/>
        <w:snapToGrid/>
        <w:spacing w:after="40" w:line="400" w:lineRule="exact"/>
        <w:ind w:firstLine="630" w:firstLineChars="300"/>
        <w:jc w:val="distribute"/>
        <w:textAlignment w:val="auto"/>
        <w:rPr>
          <w:rStyle w:val="10"/>
          <w:rFonts w:hint="eastAsia" w:eastAsia="KaiTi_GB2312"/>
          <w:color w:val="auto"/>
          <w:u w:val="none"/>
          <w:lang w:val="en-US" w:eastAsia="zh-CN"/>
        </w:rPr>
      </w:pPr>
      <w:r>
        <w:fldChar w:fldCharType="begin"/>
      </w:r>
      <w:r>
        <w:instrText xml:space="preserve"> HYPERLINK "file:///C:\\Users\\lenovov\\Desktop\\峨边残联" \l "_Toc86309405" </w:instrText>
      </w:r>
      <w:r>
        <w:fldChar w:fldCharType="separate"/>
      </w:r>
      <w:r>
        <w:rPr>
          <w:rStyle w:val="10"/>
          <w:rFonts w:hint="eastAsia" w:ascii="KaiTi_GB2312" w:eastAsia="KaiTi_GB2312"/>
          <w:color w:val="auto"/>
          <w:sz w:val="32"/>
          <w:szCs w:val="32"/>
          <w:u w:val="none"/>
        </w:rPr>
        <w:t>（九）开展残疾人发展环境优化提升行动.............2</w:t>
      </w:r>
      <w:r>
        <w:rPr>
          <w:rStyle w:val="10"/>
          <w:rFonts w:hint="eastAsia" w:ascii="KaiTi_GB2312" w:eastAsia="KaiTi_GB2312"/>
          <w:color w:val="auto"/>
          <w:sz w:val="32"/>
          <w:szCs w:val="32"/>
          <w:u w:val="none"/>
        </w:rPr>
        <w:fldChar w:fldCharType="end"/>
      </w:r>
      <w:r>
        <w:rPr>
          <w:rStyle w:val="10"/>
          <w:rFonts w:hint="eastAsia" w:ascii="KaiTi_GB2312" w:eastAsia="KaiTi_GB2312"/>
          <w:color w:val="auto"/>
          <w:sz w:val="32"/>
          <w:szCs w:val="32"/>
          <w:u w:val="none"/>
          <w:lang w:val="en-US" w:eastAsia="zh-CN"/>
        </w:rPr>
        <w:t>6</w:t>
      </w:r>
    </w:p>
    <w:p>
      <w:pPr>
        <w:keepNext w:val="0"/>
        <w:keepLines w:val="0"/>
        <w:pageBreakBefore w:val="0"/>
        <w:widowControl w:val="0"/>
        <w:kinsoku/>
        <w:wordWrap/>
        <w:overflowPunct/>
        <w:topLinePunct w:val="0"/>
        <w:autoSpaceDE/>
        <w:autoSpaceDN/>
        <w:bidi w:val="0"/>
        <w:adjustRightInd/>
        <w:snapToGrid/>
        <w:spacing w:after="40" w:line="400" w:lineRule="exact"/>
        <w:jc w:val="distribute"/>
        <w:textAlignment w:val="auto"/>
        <w:rPr>
          <w:rFonts w:ascii="KaiTi_GB2312" w:eastAsia="KaiTi_GB2312"/>
          <w:sz w:val="32"/>
          <w:szCs w:val="32"/>
        </w:rPr>
      </w:pPr>
      <w:r>
        <w:fldChar w:fldCharType="begin"/>
      </w:r>
      <w:r>
        <w:instrText xml:space="preserve"> HYPERLINK "file:///C:\\Users\\lenovov\\Desktop\\峨边残联" \l "_Toc86309406" </w:instrText>
      </w:r>
      <w:r>
        <w:fldChar w:fldCharType="separate"/>
      </w:r>
      <w:r>
        <w:rPr>
          <w:rStyle w:val="10"/>
          <w:rFonts w:hint="eastAsia" w:ascii="KaiTi_GB2312" w:eastAsia="KaiTi_GB2312"/>
          <w:color w:val="auto"/>
          <w:sz w:val="32"/>
          <w:szCs w:val="32"/>
          <w:u w:val="none"/>
        </w:rPr>
        <w:t>四、保障措施</w:t>
      </w:r>
      <w:r>
        <w:rPr>
          <w:rStyle w:val="10"/>
          <w:rFonts w:hint="eastAsia" w:ascii="KaiTi_GB2312" w:eastAsia="KaiTi_GB2312"/>
          <w:color w:val="auto"/>
          <w:sz w:val="32"/>
          <w:szCs w:val="32"/>
          <w:u w:val="none"/>
        </w:rPr>
        <w:fldChar w:fldCharType="end"/>
      </w:r>
      <w:r>
        <w:rPr>
          <w:rFonts w:hint="eastAsia" w:ascii="KaiTi_GB2312" w:eastAsia="KaiTi_GB2312"/>
          <w:sz w:val="32"/>
          <w:szCs w:val="32"/>
        </w:rPr>
        <w:t>.........................................28</w:t>
      </w:r>
    </w:p>
    <w:p>
      <w:pPr>
        <w:keepNext w:val="0"/>
        <w:keepLines w:val="0"/>
        <w:pageBreakBefore w:val="0"/>
        <w:widowControl w:val="0"/>
        <w:kinsoku/>
        <w:wordWrap/>
        <w:overflowPunct/>
        <w:topLinePunct w:val="0"/>
        <w:autoSpaceDE/>
        <w:autoSpaceDN/>
        <w:bidi w:val="0"/>
        <w:adjustRightInd/>
        <w:snapToGrid/>
        <w:spacing w:after="40" w:line="400" w:lineRule="exact"/>
        <w:ind w:firstLine="420" w:firstLineChars="200"/>
        <w:jc w:val="distribute"/>
        <w:textAlignment w:val="auto"/>
        <w:rPr>
          <w:rFonts w:ascii="KaiTi_GB2312" w:eastAsia="KaiTi_GB2312"/>
          <w:sz w:val="32"/>
          <w:szCs w:val="32"/>
        </w:rPr>
      </w:pPr>
      <w:r>
        <w:rPr>
          <w:rFonts w:hint="eastAsia"/>
        </w:rPr>
        <w:t xml:space="preserve">  </w:t>
      </w:r>
      <w:r>
        <w:fldChar w:fldCharType="begin"/>
      </w:r>
      <w:r>
        <w:instrText xml:space="preserve"> HYPERLINK "file:///C:\\Users\\lenovov\\Desktop\\峨边残联" \l "_Toc86309407" </w:instrText>
      </w:r>
      <w:r>
        <w:fldChar w:fldCharType="separate"/>
      </w:r>
      <w:r>
        <w:rPr>
          <w:rStyle w:val="10"/>
          <w:rFonts w:hint="eastAsia" w:ascii="KaiTi_GB2312" w:eastAsia="KaiTi_GB2312"/>
          <w:color w:val="auto"/>
          <w:sz w:val="32"/>
          <w:szCs w:val="32"/>
          <w:u w:val="none"/>
        </w:rPr>
        <w:t>（一）健全领导机制和工作机制.....................2</w:t>
      </w:r>
      <w:r>
        <w:rPr>
          <w:rStyle w:val="10"/>
          <w:rFonts w:hint="eastAsia" w:ascii="KaiTi_GB2312" w:eastAsia="KaiTi_GB2312"/>
          <w:color w:val="auto"/>
          <w:sz w:val="32"/>
          <w:szCs w:val="32"/>
          <w:u w:val="none"/>
        </w:rPr>
        <w:fldChar w:fldCharType="end"/>
      </w:r>
      <w:r>
        <w:rPr>
          <w:rFonts w:hint="eastAsia" w:ascii="KaiTi_GB2312" w:eastAsia="KaiTi_GB2312"/>
          <w:sz w:val="32"/>
          <w:szCs w:val="32"/>
        </w:rPr>
        <w:t>8</w:t>
      </w:r>
    </w:p>
    <w:p>
      <w:pPr>
        <w:keepNext w:val="0"/>
        <w:keepLines w:val="0"/>
        <w:pageBreakBefore w:val="0"/>
        <w:widowControl w:val="0"/>
        <w:kinsoku/>
        <w:wordWrap/>
        <w:overflowPunct/>
        <w:topLinePunct w:val="0"/>
        <w:autoSpaceDE/>
        <w:autoSpaceDN/>
        <w:bidi w:val="0"/>
        <w:adjustRightInd/>
        <w:snapToGrid/>
        <w:spacing w:after="40" w:line="400" w:lineRule="exact"/>
        <w:ind w:firstLine="420" w:firstLineChars="200"/>
        <w:jc w:val="distribute"/>
        <w:textAlignment w:val="auto"/>
        <w:rPr>
          <w:rFonts w:ascii="KaiTi_GB2312" w:eastAsia="KaiTi_GB2312"/>
          <w:sz w:val="32"/>
          <w:szCs w:val="32"/>
        </w:rPr>
      </w:pPr>
      <w:r>
        <w:rPr>
          <w:rFonts w:hint="eastAsia"/>
        </w:rPr>
        <w:t xml:space="preserve">  </w:t>
      </w:r>
      <w:r>
        <w:fldChar w:fldCharType="begin"/>
      </w:r>
      <w:r>
        <w:instrText xml:space="preserve"> HYPERLINK "file:///C:\\Users\\lenovov\\Desktop\\峨边残联" \l "_Toc86309408" </w:instrText>
      </w:r>
      <w:r>
        <w:fldChar w:fldCharType="separate"/>
      </w:r>
      <w:r>
        <w:rPr>
          <w:rStyle w:val="10"/>
          <w:rFonts w:hint="eastAsia" w:ascii="KaiTi_GB2312" w:eastAsia="KaiTi_GB2312"/>
          <w:color w:val="auto"/>
          <w:sz w:val="32"/>
          <w:szCs w:val="32"/>
          <w:u w:val="none"/>
        </w:rPr>
        <w:t>（二）健全多元化投入格局.........................</w:t>
      </w:r>
      <w:r>
        <w:rPr>
          <w:rStyle w:val="10"/>
          <w:rFonts w:hint="eastAsia" w:ascii="KaiTi_GB2312" w:eastAsia="KaiTi_GB2312"/>
          <w:color w:val="auto"/>
          <w:sz w:val="32"/>
          <w:szCs w:val="32"/>
          <w:u w:val="none"/>
        </w:rPr>
        <w:fldChar w:fldCharType="end"/>
      </w:r>
      <w:r>
        <w:rPr>
          <w:rFonts w:hint="eastAsia" w:ascii="KaiTi_GB2312" w:eastAsia="KaiTi_GB2312"/>
          <w:sz w:val="32"/>
          <w:szCs w:val="32"/>
        </w:rPr>
        <w:t>29</w:t>
      </w:r>
    </w:p>
    <w:p>
      <w:pPr>
        <w:keepNext w:val="0"/>
        <w:keepLines w:val="0"/>
        <w:pageBreakBefore w:val="0"/>
        <w:widowControl w:val="0"/>
        <w:kinsoku/>
        <w:wordWrap/>
        <w:overflowPunct/>
        <w:topLinePunct w:val="0"/>
        <w:autoSpaceDE/>
        <w:autoSpaceDN/>
        <w:bidi w:val="0"/>
        <w:adjustRightInd/>
        <w:snapToGrid/>
        <w:spacing w:after="40" w:line="400" w:lineRule="exact"/>
        <w:ind w:firstLine="420" w:firstLineChars="200"/>
        <w:jc w:val="distribute"/>
        <w:textAlignment w:val="auto"/>
        <w:rPr>
          <w:rFonts w:ascii="KaiTi_GB2312" w:eastAsia="KaiTi_GB2312"/>
          <w:sz w:val="32"/>
          <w:szCs w:val="32"/>
        </w:rPr>
      </w:pPr>
      <w:r>
        <w:rPr>
          <w:rFonts w:hint="eastAsia"/>
        </w:rPr>
        <w:t xml:space="preserve">  </w:t>
      </w:r>
      <w:r>
        <w:fldChar w:fldCharType="begin"/>
      </w:r>
      <w:r>
        <w:instrText xml:space="preserve"> HYPERLINK "file:///C:\\Users\\lenovov\\Desktop\\峨边残联" \l "_Toc86309409" </w:instrText>
      </w:r>
      <w:r>
        <w:fldChar w:fldCharType="separate"/>
      </w:r>
      <w:r>
        <w:rPr>
          <w:rStyle w:val="10"/>
          <w:rFonts w:hint="eastAsia" w:ascii="KaiTi_GB2312" w:eastAsia="KaiTi_GB2312"/>
          <w:color w:val="auto"/>
          <w:sz w:val="32"/>
          <w:szCs w:val="32"/>
          <w:u w:val="none"/>
        </w:rPr>
        <w:t>（三）加强基础设施和服务机构建设.................2</w:t>
      </w:r>
      <w:r>
        <w:rPr>
          <w:rStyle w:val="10"/>
          <w:rFonts w:hint="eastAsia" w:ascii="KaiTi_GB2312" w:eastAsia="KaiTi_GB2312"/>
          <w:color w:val="auto"/>
          <w:sz w:val="32"/>
          <w:szCs w:val="32"/>
          <w:u w:val="none"/>
        </w:rPr>
        <w:fldChar w:fldCharType="end"/>
      </w:r>
      <w:r>
        <w:rPr>
          <w:rFonts w:hint="eastAsia" w:ascii="KaiTi_GB2312" w:eastAsia="KaiTi_GB2312"/>
          <w:sz w:val="32"/>
          <w:szCs w:val="32"/>
        </w:rPr>
        <w:t>9</w:t>
      </w:r>
    </w:p>
    <w:p>
      <w:pPr>
        <w:keepNext w:val="0"/>
        <w:keepLines w:val="0"/>
        <w:pageBreakBefore w:val="0"/>
        <w:widowControl w:val="0"/>
        <w:kinsoku/>
        <w:wordWrap/>
        <w:overflowPunct/>
        <w:topLinePunct w:val="0"/>
        <w:autoSpaceDE/>
        <w:autoSpaceDN/>
        <w:bidi w:val="0"/>
        <w:adjustRightInd/>
        <w:snapToGrid/>
        <w:spacing w:after="40" w:line="400" w:lineRule="exact"/>
        <w:ind w:firstLine="420" w:firstLineChars="200"/>
        <w:jc w:val="distribute"/>
        <w:textAlignment w:val="auto"/>
        <w:rPr>
          <w:rFonts w:ascii="KaiTi_GB2312" w:eastAsia="KaiTi_GB2312"/>
          <w:sz w:val="32"/>
          <w:szCs w:val="32"/>
        </w:rPr>
      </w:pPr>
      <w:r>
        <w:rPr>
          <w:rFonts w:hint="eastAsia"/>
        </w:rPr>
        <w:t xml:space="preserve">  </w:t>
      </w:r>
      <w:r>
        <w:fldChar w:fldCharType="begin"/>
      </w:r>
      <w:r>
        <w:instrText xml:space="preserve"> HYPERLINK "file:///C:\\Users\\lenovov\\Desktop\\峨边残联" \l "_Toc86309410" </w:instrText>
      </w:r>
      <w:r>
        <w:fldChar w:fldCharType="separate"/>
      </w:r>
      <w:r>
        <w:rPr>
          <w:rStyle w:val="10"/>
          <w:rFonts w:hint="eastAsia" w:ascii="KaiTi_GB2312" w:eastAsia="KaiTi_GB2312"/>
          <w:color w:val="auto"/>
          <w:sz w:val="32"/>
          <w:szCs w:val="32"/>
          <w:u w:val="none"/>
        </w:rPr>
        <w:t>（四）加强助残专业人才培养.......................3</w:t>
      </w:r>
      <w:r>
        <w:rPr>
          <w:rStyle w:val="10"/>
          <w:rFonts w:hint="eastAsia" w:ascii="KaiTi_GB2312" w:eastAsia="KaiTi_GB2312"/>
          <w:color w:val="auto"/>
          <w:sz w:val="32"/>
          <w:szCs w:val="32"/>
          <w:u w:val="none"/>
        </w:rPr>
        <w:fldChar w:fldCharType="end"/>
      </w:r>
      <w:r>
        <w:rPr>
          <w:rFonts w:hint="eastAsia" w:ascii="KaiTi_GB2312" w:eastAsia="KaiTi_GB2312"/>
          <w:sz w:val="32"/>
          <w:szCs w:val="32"/>
        </w:rPr>
        <w:t>0</w:t>
      </w:r>
    </w:p>
    <w:p>
      <w:pPr>
        <w:keepNext w:val="0"/>
        <w:keepLines w:val="0"/>
        <w:pageBreakBefore w:val="0"/>
        <w:widowControl w:val="0"/>
        <w:kinsoku/>
        <w:wordWrap/>
        <w:overflowPunct/>
        <w:topLinePunct w:val="0"/>
        <w:autoSpaceDE/>
        <w:autoSpaceDN/>
        <w:bidi w:val="0"/>
        <w:adjustRightInd/>
        <w:snapToGrid/>
        <w:spacing w:after="40" w:line="400" w:lineRule="exact"/>
        <w:jc w:val="distribute"/>
        <w:textAlignment w:val="auto"/>
        <w:rPr>
          <w:rFonts w:ascii="KaiTi_GB2312" w:eastAsia="KaiTi_GB2312"/>
          <w:sz w:val="32"/>
          <w:szCs w:val="32"/>
        </w:rPr>
      </w:pPr>
      <w:r>
        <w:fldChar w:fldCharType="begin"/>
      </w:r>
      <w:r>
        <w:instrText xml:space="preserve"> HYPERLINK "file:///C:\\Users\\lenovov\\Desktop\\峨边残联" \l "_Toc86309412" </w:instrText>
      </w:r>
      <w:r>
        <w:fldChar w:fldCharType="separate"/>
      </w:r>
      <w:r>
        <w:rPr>
          <w:rStyle w:val="10"/>
          <w:rFonts w:hint="eastAsia" w:ascii="KaiTi_GB2312" w:eastAsia="KaiTi_GB2312"/>
          <w:color w:val="auto"/>
          <w:sz w:val="32"/>
          <w:szCs w:val="32"/>
          <w:u w:val="none"/>
        </w:rPr>
        <w:t>五、规划实施</w:t>
      </w:r>
      <w:r>
        <w:rPr>
          <w:rStyle w:val="10"/>
          <w:rFonts w:hint="eastAsia" w:ascii="KaiTi_GB2312" w:eastAsia="KaiTi_GB2312"/>
          <w:color w:val="auto"/>
          <w:sz w:val="32"/>
          <w:szCs w:val="32"/>
          <w:u w:val="none"/>
        </w:rPr>
        <w:tab/>
      </w:r>
      <w:r>
        <w:rPr>
          <w:rStyle w:val="10"/>
          <w:rFonts w:hint="eastAsia" w:ascii="KaiTi_GB2312" w:eastAsia="KaiTi_GB2312"/>
          <w:color w:val="auto"/>
          <w:sz w:val="32"/>
          <w:szCs w:val="32"/>
          <w:u w:val="none"/>
        </w:rPr>
        <w:fldChar w:fldCharType="end"/>
      </w:r>
      <w:r>
        <w:rPr>
          <w:rFonts w:hint="eastAsia" w:ascii="KaiTi_GB2312" w:eastAsia="KaiTi_GB2312"/>
          <w:sz w:val="32"/>
          <w:szCs w:val="32"/>
        </w:rPr>
        <w:t>........................................30</w:t>
      </w:r>
    </w:p>
    <w:p>
      <w:pPr>
        <w:keepNext w:val="0"/>
        <w:keepLines w:val="0"/>
        <w:pageBreakBefore w:val="0"/>
        <w:widowControl w:val="0"/>
        <w:kinsoku/>
        <w:wordWrap/>
        <w:overflowPunct/>
        <w:topLinePunct w:val="0"/>
        <w:autoSpaceDE/>
        <w:autoSpaceDN/>
        <w:bidi w:val="0"/>
        <w:adjustRightInd/>
        <w:snapToGrid/>
        <w:spacing w:after="40" w:line="400" w:lineRule="exact"/>
        <w:ind w:firstLine="420" w:firstLineChars="200"/>
        <w:jc w:val="distribute"/>
        <w:textAlignment w:val="auto"/>
        <w:rPr>
          <w:rFonts w:ascii="KaiTi_GB2312" w:eastAsia="KaiTi_GB2312"/>
          <w:sz w:val="32"/>
          <w:szCs w:val="32"/>
        </w:rPr>
      </w:pPr>
      <w:r>
        <w:rPr>
          <w:rFonts w:hint="eastAsia"/>
        </w:rPr>
        <w:t xml:space="preserve">  </w:t>
      </w:r>
      <w:r>
        <w:fldChar w:fldCharType="begin"/>
      </w:r>
      <w:r>
        <w:instrText xml:space="preserve"> HYPERLINK "file:///C:\\Users\\lenovov\\Desktop\\峨边残联" \l "_Toc86309413" </w:instrText>
      </w:r>
      <w:r>
        <w:fldChar w:fldCharType="separate"/>
      </w:r>
      <w:r>
        <w:rPr>
          <w:rStyle w:val="10"/>
          <w:rFonts w:hint="eastAsia" w:ascii="KaiTi_GB2312" w:eastAsia="KaiTi_GB2312"/>
          <w:color w:val="auto"/>
          <w:sz w:val="32"/>
          <w:szCs w:val="32"/>
          <w:u w:val="none"/>
        </w:rPr>
        <w:t>附件：重点任务分工表.</w:t>
      </w:r>
      <w:r>
        <w:rPr>
          <w:rFonts w:hint="eastAsia"/>
        </w:rPr>
        <w:t xml:space="preserve"> </w:t>
      </w:r>
      <w:r>
        <w:rPr>
          <w:rStyle w:val="10"/>
          <w:rFonts w:hint="eastAsia" w:ascii="KaiTi_GB2312" w:eastAsia="KaiTi_GB2312"/>
          <w:color w:val="auto"/>
          <w:sz w:val="32"/>
          <w:szCs w:val="32"/>
          <w:u w:val="none"/>
        </w:rPr>
        <w:t>........</w:t>
      </w:r>
      <w:r>
        <w:rPr>
          <w:rFonts w:hint="eastAsia"/>
        </w:rPr>
        <w:t xml:space="preserve"> </w:t>
      </w:r>
      <w:r>
        <w:rPr>
          <w:rStyle w:val="10"/>
          <w:rFonts w:hint="eastAsia" w:ascii="KaiTi_GB2312" w:eastAsia="KaiTi_GB2312"/>
          <w:color w:val="auto"/>
          <w:sz w:val="32"/>
          <w:szCs w:val="32"/>
          <w:u w:val="none"/>
        </w:rPr>
        <w:t>...................3</w:t>
      </w:r>
      <w:r>
        <w:rPr>
          <w:rStyle w:val="10"/>
          <w:rFonts w:hint="eastAsia" w:ascii="KaiTi_GB2312" w:eastAsia="KaiTi_GB2312"/>
          <w:color w:val="auto"/>
          <w:sz w:val="32"/>
          <w:szCs w:val="32"/>
          <w:u w:val="none"/>
        </w:rPr>
        <w:fldChar w:fldCharType="end"/>
      </w:r>
      <w:r>
        <w:rPr>
          <w:rFonts w:hint="eastAsia" w:ascii="KaiTi_GB2312" w:eastAsia="KaiTi_GB2312"/>
          <w:sz w:val="32"/>
          <w:szCs w:val="32"/>
        </w:rPr>
        <w:t>1</w:t>
      </w:r>
    </w:p>
    <w:p>
      <w:pPr>
        <w:spacing w:line="600" w:lineRule="exact"/>
        <w:rPr>
          <w:rFonts w:ascii="FangSong_GB2312" w:eastAsia="FangSong_GB2312"/>
          <w:sz w:val="32"/>
          <w:szCs w:val="32"/>
        </w:rPr>
        <w:sectPr>
          <w:headerReference r:id="rId4" w:type="default"/>
          <w:footerReference r:id="rId6" w:type="default"/>
          <w:headerReference r:id="rId5" w:type="even"/>
          <w:footerReference r:id="rId7" w:type="even"/>
          <w:pgSz w:w="11907" w:h="16839" w:orient="landscape"/>
          <w:pgMar w:top="2041" w:right="1588" w:bottom="1588" w:left="1247" w:header="851" w:footer="850" w:gutter="0"/>
          <w:pgNumType w:fmt="decimal"/>
          <w:cols w:space="425" w:num="1"/>
          <w:docGrid w:type="linesAndChars" w:linePitch="312" w:charSpace="0"/>
        </w:sectPr>
      </w:pP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为贯彻落实习近平总书记关于残疾人事业的重要指示批示精神和中、省、市、县“十四五”战略部署，进一步保障残疾人民生，推动残疾人事业高质量发展，依据《乐山市“十四五”残疾人保障和发展规划》《峨边彝族自治县国民经济和社会发展第十四个五年规划和二〇三五年远景目标纲要》，结合我县实际，制定本规划。</w:t>
      </w:r>
    </w:p>
    <w:p>
      <w:pPr>
        <w:spacing w:line="600" w:lineRule="exact"/>
        <w:ind w:firstLine="640" w:firstLineChars="200"/>
        <w:rPr>
          <w:rFonts w:ascii="SimHei" w:hAnsi="SimHei" w:eastAsia="SimHei"/>
          <w:sz w:val="32"/>
          <w:szCs w:val="32"/>
        </w:rPr>
      </w:pPr>
      <w:r>
        <w:rPr>
          <w:rFonts w:hint="eastAsia" w:ascii="SimHei" w:hAnsi="SimHei" w:eastAsia="SimHei"/>
          <w:sz w:val="32"/>
          <w:szCs w:val="32"/>
        </w:rPr>
        <w:t>一、规划背景</w:t>
      </w:r>
    </w:p>
    <w:p>
      <w:pPr>
        <w:spacing w:line="600" w:lineRule="exact"/>
        <w:ind w:firstLine="640" w:firstLineChars="200"/>
        <w:rPr>
          <w:rFonts w:ascii="KaiTi_GB2312" w:eastAsia="KaiTi_GB2312"/>
          <w:sz w:val="32"/>
          <w:szCs w:val="32"/>
        </w:rPr>
      </w:pPr>
      <w:r>
        <w:rPr>
          <w:rFonts w:hint="eastAsia" w:ascii="KaiTi_GB2312" w:eastAsia="KaiTi_GB2312"/>
          <w:sz w:val="32"/>
          <w:szCs w:val="32"/>
        </w:rPr>
        <w:t>（一）发展基础</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十三五”期间，在自治县委、县政府坚强领导和市残联精心指导下，峨边着力健全残疾人社会保障和公共服务体系，不断提升残疾人服务精准化、专业化水平，聚焦脱贫攻坚目标，着力补齐短板，努力缩小残疾人与社会平均水平的差距，全县2041名建档立卡贫困残疾人全部脱贫，“全面建成小康社会，残疾人一个也不能少”的目标如期实现。残疾人获得感、幸福感、安全感持续提升，残疾人事业发展实现全面提升。</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1.社会保障水平实现新提升</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十三五”期间，峨边不断完善残疾人社会保障体系，全县所有建档立卡贫困残疾人全部实现脱贫。落实了低保残疾人享受生活补贴和残疾人参加基本养老保险、医疗保险缴费享受政府资助等政策。实现了重度残疾人和智力精神三四级残疾人“护理补贴”全覆盖，并将护理补贴扩面至男60周岁以上，女55周岁以上的其他残疾类别的三四级残疾人。</w:t>
      </w:r>
      <w:r>
        <w:rPr>
          <w:rFonts w:hint="eastAsia" w:ascii="FangSong_GB2312" w:eastAsia="SimSun"/>
          <w:sz w:val="32"/>
          <w:szCs w:val="32"/>
          <w:lang w:eastAsia="zh-CN"/>
        </w:rPr>
        <w:t>截至目前</w:t>
      </w:r>
      <w:r>
        <w:rPr>
          <w:rFonts w:hint="eastAsia" w:ascii="FangSong_GB2312" w:eastAsia="FangSong_GB2312"/>
          <w:sz w:val="32"/>
          <w:szCs w:val="32"/>
        </w:rPr>
        <w:t>，全县共1828名残疾人享受困难残疾人生活补贴，3360名残疾人享受护理补贴，全县重度残疾人基本医疗保险参保率达100%，重度残疾人城乡居民养老保险参保率达100%。</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2.公共服务体系建设取得新突破</w:t>
      </w:r>
    </w:p>
    <w:p>
      <w:pPr>
        <w:spacing w:line="600" w:lineRule="exact"/>
        <w:ind w:firstLine="640" w:firstLineChars="200"/>
        <w:rPr>
          <w:rFonts w:hint="eastAsia" w:ascii="FangSong_GB2312" w:eastAsia="FangSong_GB2312"/>
          <w:sz w:val="32"/>
          <w:szCs w:val="32"/>
          <w:lang w:eastAsia="zh-CN"/>
        </w:rPr>
      </w:pPr>
      <w:r>
        <w:rPr>
          <w:rFonts w:hint="eastAsia" w:ascii="FangSong_GB2312" w:eastAsia="FangSong_GB2312"/>
          <w:sz w:val="32"/>
          <w:szCs w:val="32"/>
        </w:rPr>
        <w:t>制定《峨边彝族自治县关心关爱残疾人三年计划（2018-2020）》和《峨边彝族自治县惠残助残行动计划实施方案（2018-2020）》等政策文件。争取残疾人东西部协作助残资金84.2万元</w:t>
      </w:r>
      <w:r>
        <w:rPr>
          <w:rFonts w:hint="eastAsia" w:ascii="FangSong_GB2312" w:eastAsia="SimSun"/>
          <w:sz w:val="32"/>
          <w:szCs w:val="32"/>
          <w:lang w:eastAsia="zh-CN"/>
        </w:rPr>
        <w:t>，</w:t>
      </w:r>
      <w:r>
        <w:rPr>
          <w:rFonts w:hint="eastAsia" w:ascii="FangSong_GB2312" w:eastAsia="FangSong_GB2312"/>
          <w:sz w:val="32"/>
          <w:szCs w:val="32"/>
        </w:rPr>
        <w:t>累计投入残疾人民生项目资金1350.28万元</w:t>
      </w:r>
      <w:r>
        <w:rPr>
          <w:rFonts w:hint="eastAsia" w:ascii="FangSong_GB2312" w:eastAsia="SimSun"/>
          <w:sz w:val="32"/>
          <w:szCs w:val="32"/>
          <w:lang w:eastAsia="zh-CN"/>
        </w:rPr>
        <w:t>，</w:t>
      </w:r>
      <w:r>
        <w:rPr>
          <w:rFonts w:hint="eastAsia" w:ascii="FangSong_GB2312" w:eastAsia="FangSong_GB2312"/>
          <w:sz w:val="32"/>
          <w:szCs w:val="32"/>
        </w:rPr>
        <w:t>全面完成城乡残疾人居家灵活就业、残疾人就业康复、农村残疾人扶贫解困等民生实事任务。实施了残疾儿童康复救助等一批重点康复项目</w:t>
      </w:r>
      <w:r>
        <w:rPr>
          <w:rFonts w:hint="eastAsia" w:ascii="FangSong_GB2312" w:eastAsia="SimSun"/>
          <w:sz w:val="32"/>
          <w:szCs w:val="32"/>
          <w:lang w:eastAsia="zh-CN"/>
        </w:rPr>
        <w:t>，</w:t>
      </w:r>
      <w:r>
        <w:rPr>
          <w:rFonts w:hint="eastAsia" w:ascii="FangSong_GB2312" w:eastAsia="FangSong_GB2312"/>
          <w:sz w:val="32"/>
          <w:szCs w:val="32"/>
        </w:rPr>
        <w:t>共救助残疾儿童71人次、精神障碍患者113人、白内障患者440人，基本辅具适配1325人（其中假肢适配32人），基本辅具适配率达95.42%，残疾人家庭医生签约率达95.74%，建档立卡贫困残疾人家庭医生签约服务覆盖率达到100%，残疾人基本康复服务覆盖率达88.66%；教育资助628名残疾学生和残疾人子女，适龄残疾儿童少年入学率达100%；落实按比例就业、集中就业、灵活就业等残疾人就业政策，实施居家灵活就业4291人，提供就业（创业）补贴119人，扶持农村残疾人发展生产1445人。提供实用技术培训1100余人次。元旦、春节、助残日和彝族年走访慰问了2117户残疾人家庭</w:t>
      </w:r>
      <w:r>
        <w:rPr>
          <w:rFonts w:hint="eastAsia" w:ascii="FangSong_GB2312" w:eastAsia="SimSun"/>
          <w:sz w:val="32"/>
          <w:szCs w:val="32"/>
          <w:lang w:eastAsia="zh-CN"/>
        </w:rPr>
        <w:t>，</w:t>
      </w:r>
      <w:r>
        <w:rPr>
          <w:rFonts w:hint="eastAsia" w:ascii="FangSong_GB2312" w:eastAsia="FangSong_GB2312"/>
          <w:sz w:val="32"/>
          <w:szCs w:val="32"/>
        </w:rPr>
        <w:t>发放燃油补贴144人次。积极推进城乡无障碍环境建设和家庭无障碍改造工作，为城乡462户困难残疾人家庭实施无障碍改造</w:t>
      </w:r>
      <w:r>
        <w:rPr>
          <w:rFonts w:hint="eastAsia" w:ascii="FangSong_GB2312" w:eastAsia="FangSong_GB2312"/>
          <w:sz w:val="32"/>
          <w:szCs w:val="32"/>
          <w:lang w:eastAsia="zh-CN"/>
        </w:rPr>
        <w:t>。</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3.服务能力建设迈上新台阶</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十三五”期间，峨边不断夯实残疾人组织建设，全面实现“乡（镇）建立残联、村（社区）成立残协，配齐乡（镇）残联理事长、专干、村（社区）专委”。不断完善工作机制，持续强化制度建设，科学考核残联专干专委并分配待遇。推动5类专门协会建设。成立残疾人法律救助工作站。积极推进城乡无障碍环境建设和462户困难残疾人家庭实施无障碍改造工作，残疾人合法权益得到有力保障。</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4.精神文化生活形成新支撑</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利用“全国助残日”“国际残疾人日”等重要节日，开展丰富多彩的主题活动。组织两次“感动峨边-身残志坚”人物评选活动，评选出40名励志典型，黄永莉获评全省“残联系统工作者扶贫典型人物”，王维利、尼里布不获评全省“残疾人自强脱贫典型人物”，充分展示了我县残疾人自强不息、乐观向上和残联工作者为残疾人全心服务的精神面貌。省第九届残运会获3枚金牌；市第三届残疾人运动会峨边代表团勇夺18枚金牌，团体总分全市排名第三；选送的23件残疾人刺绣作品、2幅摄影作品在省第二届残疾人文化艺术节上展出。建成6个残疾人康复（健身）体育活动室，“残疾人康复（健身）体育进家庭”惠及202户残疾人家庭。</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这些重大成就，有效改善了我县残疾人民生，有力推动了社会文明进步，为峨边全面建成小康社会，推进残疾人事业高质量发展作出了积极贡献。</w:t>
      </w:r>
    </w:p>
    <w:p>
      <w:pPr>
        <w:spacing w:line="600" w:lineRule="exact"/>
        <w:ind w:firstLine="640" w:firstLineChars="200"/>
        <w:rPr>
          <w:rFonts w:ascii="KaiTi_GB2312" w:eastAsia="KaiTi_GB2312"/>
          <w:sz w:val="32"/>
          <w:szCs w:val="32"/>
        </w:rPr>
      </w:pPr>
      <w:r>
        <w:rPr>
          <w:rFonts w:hint="eastAsia" w:ascii="KaiTi_GB2312" w:eastAsia="KaiTi_GB2312"/>
          <w:sz w:val="32"/>
          <w:szCs w:val="32"/>
        </w:rPr>
        <w:t>（二）面临形势</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峨边现有残疾人5260人，约占全县常住人口的3.4%。残疾人事业发展不平衡不充分矛盾依然突出。具体表现为：一是城乡区域发展不平衡特征较为明显，残疾人家庭人均收入与社会平均水平差距仍然较大。二是残疾人社会保障水平不高，残疾人就业还很不充分。三是公共服务总量不足、水平偏低、可及性差距较大。缺乏专业康复机构，无障碍环境建设水平较低，残疾人就业服务、就学就医、康复照护、精神文化等多样性需求还没有得到充分满足。四是残疾人平等权利还没有得到充分实现，歧视残疾人、侵害残疾人权益的现象仍有发生。五是基层特别是农村为残疾人服务的能力尤其薄弱。</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习近平总书记强调“残疾人事业一定要继续推动”“不断促进残疾人全面发展和共同富裕”“残疾人是一个特殊困难的群体，需要格外关心、格外关注。”为新时代残疾人事业发展指明了前进方向、提供了根本遵循。做好新时代残疾人工作，推进残疾人事业高质量发展，是践行党的初心使命和根本宗旨的具体体现，是推动共同富裕、促进社会公平正义的必然要求。“十四五”时期，峨边将开启全面建设社会主义现代化建设新征程，残疾人工作必须坚持以人民为中心的发展思想，不断弥补残疾人事业发展短板，持续增进残疾人民生福祉，切实增强残疾人自我发展能力，团结带领残疾人和全县人民共建共享更加幸福美好的生活。</w:t>
      </w:r>
    </w:p>
    <w:p>
      <w:pPr>
        <w:spacing w:line="600" w:lineRule="exact"/>
        <w:ind w:firstLine="640" w:firstLineChars="200"/>
        <w:rPr>
          <w:rFonts w:ascii="SimHei" w:hAnsi="SimHei" w:eastAsia="SimHei"/>
          <w:sz w:val="32"/>
          <w:szCs w:val="32"/>
        </w:rPr>
      </w:pPr>
      <w:r>
        <w:rPr>
          <w:rFonts w:hint="eastAsia" w:ascii="SimHei" w:hAnsi="SimHei" w:eastAsia="SimHei"/>
          <w:sz w:val="32"/>
          <w:szCs w:val="32"/>
        </w:rPr>
        <w:t>二、总体要求</w:t>
      </w:r>
    </w:p>
    <w:p>
      <w:pPr>
        <w:spacing w:line="600" w:lineRule="exact"/>
        <w:ind w:firstLine="640" w:firstLineChars="200"/>
        <w:rPr>
          <w:rFonts w:ascii="KaiTi_GB2312" w:eastAsia="KaiTi_GB2312"/>
          <w:sz w:val="32"/>
          <w:szCs w:val="32"/>
        </w:rPr>
      </w:pPr>
      <w:r>
        <w:rPr>
          <w:rFonts w:hint="eastAsia" w:ascii="KaiTi_GB2312" w:eastAsia="KaiTi_GB2312"/>
          <w:sz w:val="32"/>
          <w:szCs w:val="32"/>
        </w:rPr>
        <w:t>（一）指导思想</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以习近平新时代中国特色社会主义思想、习近平总书记关于残疾人事业和对群团改革的重要指示批示精神为指导，全面贯彻党的十九大和省</w:t>
      </w:r>
      <w:r>
        <w:rPr>
          <w:rFonts w:hint="eastAsia" w:ascii="FangSong_GB2312" w:eastAsia="SimSun"/>
          <w:sz w:val="32"/>
          <w:szCs w:val="32"/>
          <w:lang w:eastAsia="zh-CN"/>
        </w:rPr>
        <w:t>第</w:t>
      </w:r>
      <w:bookmarkStart w:id="3" w:name="_GoBack"/>
      <w:bookmarkEnd w:id="3"/>
      <w:r>
        <w:rPr>
          <w:rFonts w:hint="eastAsia" w:ascii="FangSong_GB2312" w:eastAsia="FangSong_GB2312"/>
          <w:sz w:val="32"/>
          <w:szCs w:val="32"/>
        </w:rPr>
        <w:t>十二次党代会、市第八次党代会和县第九次党代会精神，全面落实中省市县“十四五”发展战略部署，立足残疾人事业发展新的历史方位，准确把握新发展阶段对残疾人事业的新要求，贯彻新发展理念</w:t>
      </w:r>
      <w:r>
        <w:rPr>
          <w:rFonts w:hint="eastAsia" w:ascii="FangSong_GB2312" w:eastAsia="SimSun"/>
          <w:sz w:val="32"/>
          <w:szCs w:val="32"/>
          <w:lang w:eastAsia="zh-CN"/>
        </w:rPr>
        <w:t>，</w:t>
      </w:r>
      <w:r>
        <w:rPr>
          <w:rFonts w:hint="eastAsia" w:ascii="FangSong_GB2312" w:eastAsia="FangSong_GB2312"/>
          <w:sz w:val="32"/>
          <w:szCs w:val="32"/>
        </w:rPr>
        <w:t>融入新发展格局，以人民为中心，以全面建设美丽峨边为统领，以推动残疾人事业高质量发展为主题，以残疾人急难愁盼需求为导向，以巩固拓展残疾人脱贫攻坚成果、促进残疾人全面发展和共同富裕为主线，以改革创新为动力，建立更为完备的残疾人保障和服务体系，着力解决残疾人事业发展不平衡不充分问题，保障残疾人平等权利，不断满足残疾人对美好生活的向往。</w:t>
      </w:r>
    </w:p>
    <w:p>
      <w:pPr>
        <w:spacing w:line="600" w:lineRule="exact"/>
        <w:ind w:firstLine="640" w:firstLineChars="200"/>
        <w:rPr>
          <w:rFonts w:ascii="KaiTi_GB2312" w:eastAsia="KaiTi_GB2312"/>
          <w:sz w:val="32"/>
          <w:szCs w:val="32"/>
        </w:rPr>
      </w:pPr>
      <w:r>
        <w:rPr>
          <w:rFonts w:hint="eastAsia" w:ascii="KaiTi_GB2312" w:eastAsia="KaiTi_GB2312"/>
          <w:sz w:val="32"/>
          <w:szCs w:val="32"/>
        </w:rPr>
        <w:t>（二）发展目标</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到2025年，峨边残疾人脱贫攻坚成果得到进一步巩固拓展，残疾人社会保障制度基本建立，基本民生得到稳定保障。残疾人就业支持体系更加健全，多形式就业创业支持体系基本形成。均等化的残疾人基本公共服务体系更加完备，残疾人思想道德素养、科学文化素质和身心健康水平明显提高。无障碍环境持续优化，残疾人在政治、经济、文化、社会、家庭生活等各方面平等权利得到更好实现。残疾人民生福祉不断增进，生活品质不断提升，美好生活新期待得到更好满足，残疾人事业基础保障条件明显改善，质量效益不断提升。</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到2035年，残疾人事业与我县经济社会全面协调发展，与峨边基本实现社会主义现代化目标相适应。残疾人物质生活更为宽裕，精神生活更为丰富，与社会平均水平的差距显著缩小。平等包容的社会氛围更加浓厚，残疾人平等参与、平等发展权利得到充分保障，残疾人全面发展和共同富裕取得实质性进展。</w:t>
      </w:r>
    </w:p>
    <w:tbl>
      <w:tblPr>
        <w:tblStyle w:val="8"/>
        <w:tblW w:w="8978" w:type="dxa"/>
        <w:tblInd w:w="0" w:type="dxa"/>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Layout w:type="fixed"/>
        <w:tblCellMar>
          <w:top w:w="0" w:type="dxa"/>
          <w:left w:w="108" w:type="dxa"/>
          <w:bottom w:w="0" w:type="dxa"/>
          <w:right w:w="108" w:type="dxa"/>
        </w:tblCellMar>
      </w:tblPr>
      <w:tblGrid>
        <w:gridCol w:w="8978"/>
      </w:tblGrid>
      <w:tr>
        <w:tblPrEx>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CellMar>
            <w:top w:w="0" w:type="dxa"/>
            <w:left w:w="108" w:type="dxa"/>
            <w:bottom w:w="0" w:type="dxa"/>
            <w:right w:w="108" w:type="dxa"/>
          </w:tblCellMar>
        </w:tblPrEx>
        <w:trPr>
          <w:trHeight w:val="567" w:hRule="atLeast"/>
        </w:trPr>
        <w:tc>
          <w:tcPr>
            <w:tcW w:w="8978" w:type="dxa"/>
            <w:tcBorders>
              <w:top w:val="single" w:color="808080" w:sz="18" w:space="0"/>
              <w:left w:val="single" w:color="808080" w:sz="18" w:space="0"/>
              <w:bottom w:val="single" w:color="808080" w:sz="18" w:space="0"/>
              <w:right w:val="single" w:color="808080" w:sz="18" w:space="0"/>
            </w:tcBorders>
            <w:shd w:val="clear" w:color="auto" w:fill="D9D9D9"/>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专栏1：“十四五”峨边残疾人保障和发展主要指标</w:t>
            </w:r>
          </w:p>
        </w:tc>
      </w:tr>
      <w:tr>
        <w:tblPrEx>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CellMar>
            <w:top w:w="0" w:type="dxa"/>
            <w:left w:w="108" w:type="dxa"/>
            <w:bottom w:w="0" w:type="dxa"/>
            <w:right w:w="108" w:type="dxa"/>
          </w:tblCellMar>
        </w:tblPrEx>
        <w:trPr>
          <w:trHeight w:val="522" w:hRule="atLeast"/>
        </w:trPr>
        <w:tc>
          <w:tcPr>
            <w:tcW w:w="8978" w:type="dxa"/>
            <w:tcBorders>
              <w:top w:val="single" w:color="808080" w:sz="18" w:space="0"/>
              <w:left w:val="single" w:color="808080" w:sz="18" w:space="0"/>
              <w:bottom w:val="single" w:color="808080" w:sz="18" w:space="0"/>
              <w:right w:val="single" w:color="808080" w:sz="18" w:space="0"/>
            </w:tcBorders>
            <w:shd w:val="clear" w:color="auto" w:fill="FFFFFF"/>
            <w:vAlign w:val="center"/>
          </w:tcPr>
          <w:tbl>
            <w:tblPr>
              <w:tblStyle w:val="8"/>
              <w:tblW w:w="8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9"/>
              <w:gridCol w:w="1134"/>
              <w:gridCol w:w="2268"/>
              <w:gridCol w:w="1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09"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FangSong_GB2312" w:eastAsia="FangSong_GB2312"/>
                      <w:sz w:val="28"/>
                      <w:szCs w:val="28"/>
                    </w:rPr>
                  </w:pPr>
                  <w:r>
                    <w:rPr>
                      <w:rFonts w:hint="eastAsia" w:ascii="FangSong_GB2312" w:eastAsia="FangSong_GB2312"/>
                      <w:sz w:val="28"/>
                      <w:szCs w:val="28"/>
                    </w:rPr>
                    <w:t>指  标</w:t>
                  </w:r>
                </w:p>
              </w:tc>
              <w:tc>
                <w:tcPr>
                  <w:tcW w:w="1134"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2020年</w:t>
                  </w:r>
                </w:p>
              </w:tc>
              <w:tc>
                <w:tcPr>
                  <w:tcW w:w="2268"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2025年</w:t>
                  </w:r>
                </w:p>
              </w:tc>
              <w:tc>
                <w:tcPr>
                  <w:tcW w:w="1347"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指标属性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09" w:type="dxa"/>
                  <w:tcBorders>
                    <w:top w:val="single" w:color="auto" w:sz="4" w:space="0"/>
                    <w:left w:val="single" w:color="auto" w:sz="4" w:space="0"/>
                    <w:bottom w:val="single" w:color="auto" w:sz="4" w:space="0"/>
                    <w:right w:val="single" w:color="auto" w:sz="4" w:space="0"/>
                  </w:tcBorders>
                  <w:vAlign w:val="bottom"/>
                </w:tcPr>
                <w:p>
                  <w:pPr>
                    <w:spacing w:line="300" w:lineRule="exact"/>
                    <w:rPr>
                      <w:rFonts w:ascii="FangSong_GB2312" w:eastAsia="FangSong_GB2312"/>
                      <w:sz w:val="28"/>
                      <w:szCs w:val="28"/>
                    </w:rPr>
                  </w:pPr>
                  <w:r>
                    <w:rPr>
                      <w:rFonts w:hint="eastAsia" w:ascii="FangSong_GB2312" w:eastAsia="FangSong_GB2312"/>
                      <w:sz w:val="28"/>
                      <w:szCs w:val="28"/>
                    </w:rPr>
                    <w:t>1.残疾人家庭人均收入年均增长（%）</w:t>
                  </w:r>
                </w:p>
              </w:tc>
              <w:tc>
                <w:tcPr>
                  <w:tcW w:w="1134"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w:t>
                  </w:r>
                </w:p>
              </w:tc>
              <w:tc>
                <w:tcPr>
                  <w:tcW w:w="2268"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与地区生产总值增长基本同步</w:t>
                  </w:r>
                </w:p>
              </w:tc>
              <w:tc>
                <w:tcPr>
                  <w:tcW w:w="1347"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09"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FangSong_GB2312" w:eastAsia="FangSong_GB2312"/>
                      <w:sz w:val="28"/>
                      <w:szCs w:val="28"/>
                    </w:rPr>
                  </w:pPr>
                  <w:r>
                    <w:rPr>
                      <w:rFonts w:hint="eastAsia" w:ascii="FangSong_GB2312" w:eastAsia="FangSong_GB2312"/>
                      <w:sz w:val="28"/>
                      <w:szCs w:val="28"/>
                    </w:rPr>
                    <w:t>2.农村残疾人实用技术培训（万）</w:t>
                  </w:r>
                </w:p>
              </w:tc>
              <w:tc>
                <w:tcPr>
                  <w:tcW w:w="1134"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w:t>
                  </w:r>
                </w:p>
              </w:tc>
              <w:tc>
                <w:tcPr>
                  <w:tcW w:w="2268"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0.02</w:t>
                  </w:r>
                </w:p>
              </w:tc>
              <w:tc>
                <w:tcPr>
                  <w:tcW w:w="1347"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09"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FangSong_GB2312" w:eastAsia="FangSong_GB2312"/>
                      <w:sz w:val="28"/>
                      <w:szCs w:val="28"/>
                    </w:rPr>
                  </w:pPr>
                  <w:r>
                    <w:rPr>
                      <w:rFonts w:hint="eastAsia" w:ascii="FangSong_GB2312" w:eastAsia="FangSong_GB2312"/>
                      <w:sz w:val="28"/>
                      <w:szCs w:val="28"/>
                    </w:rPr>
                    <w:t>3.符合条件的残疾人纳入最低生活保障比例（%）</w:t>
                  </w:r>
                </w:p>
              </w:tc>
              <w:tc>
                <w:tcPr>
                  <w:tcW w:w="1134"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100</w:t>
                  </w:r>
                </w:p>
              </w:tc>
              <w:tc>
                <w:tcPr>
                  <w:tcW w:w="2268"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100</w:t>
                  </w:r>
                </w:p>
              </w:tc>
              <w:tc>
                <w:tcPr>
                  <w:tcW w:w="1347"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0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FangSong_GB2312" w:eastAsia="FangSong_GB2312"/>
                      <w:sz w:val="28"/>
                      <w:szCs w:val="28"/>
                    </w:rPr>
                  </w:pPr>
                  <w:r>
                    <w:rPr>
                      <w:rFonts w:hint="eastAsia" w:ascii="FangSong_GB2312" w:eastAsia="FangSong_GB2312"/>
                      <w:sz w:val="28"/>
                      <w:szCs w:val="28"/>
                    </w:rPr>
                    <w:t>4.困难残疾人生活补贴覆盖率（%）</w:t>
                  </w:r>
                </w:p>
              </w:tc>
              <w:tc>
                <w:tcPr>
                  <w:tcW w:w="1134"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100</w:t>
                  </w:r>
                </w:p>
              </w:tc>
              <w:tc>
                <w:tcPr>
                  <w:tcW w:w="2268"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100</w:t>
                  </w:r>
                </w:p>
              </w:tc>
              <w:tc>
                <w:tcPr>
                  <w:tcW w:w="1347"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0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FangSong_GB2312" w:eastAsia="FangSong_GB2312"/>
                      <w:sz w:val="28"/>
                      <w:szCs w:val="28"/>
                    </w:rPr>
                  </w:pPr>
                  <w:r>
                    <w:rPr>
                      <w:rFonts w:hint="eastAsia" w:ascii="FangSong_GB2312" w:eastAsia="FangSong_GB2312"/>
                      <w:sz w:val="28"/>
                      <w:szCs w:val="28"/>
                    </w:rPr>
                    <w:t>5.重度残疾人护理补贴覆盖率（%）</w:t>
                  </w:r>
                </w:p>
              </w:tc>
              <w:tc>
                <w:tcPr>
                  <w:tcW w:w="1134"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100</w:t>
                  </w:r>
                </w:p>
              </w:tc>
              <w:tc>
                <w:tcPr>
                  <w:tcW w:w="2268"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100</w:t>
                  </w:r>
                </w:p>
              </w:tc>
              <w:tc>
                <w:tcPr>
                  <w:tcW w:w="1347"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0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FangSong_GB2312" w:eastAsia="FangSong_GB2312"/>
                      <w:sz w:val="28"/>
                      <w:szCs w:val="28"/>
                    </w:rPr>
                  </w:pPr>
                  <w:r>
                    <w:rPr>
                      <w:rFonts w:hint="eastAsia" w:ascii="FangSong_GB2312" w:eastAsia="FangSong_GB2312"/>
                      <w:sz w:val="28"/>
                      <w:szCs w:val="28"/>
                    </w:rPr>
                    <w:t>6.残疾人城乡居民基本养老保险参保率（%）</w:t>
                  </w:r>
                </w:p>
              </w:tc>
              <w:tc>
                <w:tcPr>
                  <w:tcW w:w="1134"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95</w:t>
                  </w:r>
                </w:p>
              </w:tc>
              <w:tc>
                <w:tcPr>
                  <w:tcW w:w="2268"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&gt;95</w:t>
                  </w:r>
                </w:p>
              </w:tc>
              <w:tc>
                <w:tcPr>
                  <w:tcW w:w="1347"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0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FangSong_GB2312" w:eastAsia="FangSong_GB2312"/>
                      <w:sz w:val="28"/>
                      <w:szCs w:val="28"/>
                    </w:rPr>
                  </w:pPr>
                  <w:r>
                    <w:rPr>
                      <w:rFonts w:hint="eastAsia" w:ascii="FangSong_GB2312" w:eastAsia="FangSong_GB2312"/>
                      <w:sz w:val="28"/>
                      <w:szCs w:val="28"/>
                    </w:rPr>
                    <w:t>7.残疾人城乡居民基本医疗保险参保率（%）</w:t>
                  </w:r>
                </w:p>
              </w:tc>
              <w:tc>
                <w:tcPr>
                  <w:tcW w:w="1134"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&gt;95</w:t>
                  </w:r>
                </w:p>
              </w:tc>
              <w:tc>
                <w:tcPr>
                  <w:tcW w:w="2268"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&gt;95</w:t>
                  </w:r>
                </w:p>
              </w:tc>
              <w:tc>
                <w:tcPr>
                  <w:tcW w:w="1347"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0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FangSong_GB2312" w:eastAsia="FangSong_GB2312"/>
                      <w:sz w:val="28"/>
                      <w:szCs w:val="28"/>
                    </w:rPr>
                  </w:pPr>
                  <w:r>
                    <w:rPr>
                      <w:rFonts w:hint="eastAsia" w:ascii="FangSong_GB2312" w:eastAsia="FangSong_GB2312"/>
                      <w:sz w:val="28"/>
                      <w:szCs w:val="28"/>
                    </w:rPr>
                    <w:t>8.残疾儿童少年义务教育入学率（%）</w:t>
                  </w:r>
                </w:p>
              </w:tc>
              <w:tc>
                <w:tcPr>
                  <w:tcW w:w="1134"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100</w:t>
                  </w:r>
                </w:p>
              </w:tc>
              <w:tc>
                <w:tcPr>
                  <w:tcW w:w="2268"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100</w:t>
                  </w:r>
                </w:p>
              </w:tc>
              <w:tc>
                <w:tcPr>
                  <w:tcW w:w="1347"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0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FangSong_GB2312" w:eastAsia="FangSong_GB2312"/>
                      <w:sz w:val="28"/>
                      <w:szCs w:val="28"/>
                    </w:rPr>
                  </w:pPr>
                  <w:r>
                    <w:rPr>
                      <w:rFonts w:hint="eastAsia" w:ascii="FangSong_GB2312" w:eastAsia="FangSong_GB2312"/>
                      <w:sz w:val="28"/>
                      <w:szCs w:val="28"/>
                    </w:rPr>
                    <w:t>9.残疾人基本康复服务覆盖率（%）</w:t>
                  </w:r>
                </w:p>
              </w:tc>
              <w:tc>
                <w:tcPr>
                  <w:tcW w:w="1134"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88</w:t>
                  </w:r>
                </w:p>
              </w:tc>
              <w:tc>
                <w:tcPr>
                  <w:tcW w:w="2268"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&gt;90</w:t>
                  </w:r>
                </w:p>
              </w:tc>
              <w:tc>
                <w:tcPr>
                  <w:tcW w:w="1347"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0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FangSong_GB2312" w:eastAsia="FangSong_GB2312"/>
                      <w:sz w:val="28"/>
                      <w:szCs w:val="28"/>
                    </w:rPr>
                  </w:pPr>
                  <w:r>
                    <w:rPr>
                      <w:rFonts w:hint="eastAsia" w:ascii="FangSong_GB2312" w:eastAsia="FangSong_GB2312"/>
                      <w:sz w:val="28"/>
                      <w:szCs w:val="28"/>
                    </w:rPr>
                    <w:t>10.残疾人辅助器具适配率（%）</w:t>
                  </w:r>
                </w:p>
              </w:tc>
              <w:tc>
                <w:tcPr>
                  <w:tcW w:w="1134"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95</w:t>
                  </w:r>
                </w:p>
              </w:tc>
              <w:tc>
                <w:tcPr>
                  <w:tcW w:w="2268"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&gt;95</w:t>
                  </w:r>
                </w:p>
              </w:tc>
              <w:tc>
                <w:tcPr>
                  <w:tcW w:w="1347"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0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FangSong_GB2312" w:eastAsia="FangSong_GB2312"/>
                      <w:sz w:val="28"/>
                      <w:szCs w:val="28"/>
                    </w:rPr>
                  </w:pPr>
                  <w:r>
                    <w:rPr>
                      <w:rFonts w:hint="eastAsia" w:ascii="FangSong_GB2312" w:eastAsia="FangSong_GB2312"/>
                      <w:sz w:val="28"/>
                      <w:szCs w:val="28"/>
                    </w:rPr>
                    <w:t>11.困难重度残疾人居家无障碍改造数（户）</w:t>
                  </w:r>
                </w:p>
              </w:tc>
              <w:tc>
                <w:tcPr>
                  <w:tcW w:w="1134"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w:t>
                  </w:r>
                </w:p>
              </w:tc>
              <w:tc>
                <w:tcPr>
                  <w:tcW w:w="2268"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55</w:t>
                  </w:r>
                </w:p>
              </w:tc>
              <w:tc>
                <w:tcPr>
                  <w:tcW w:w="1347"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0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FangSong_GB2312" w:eastAsia="FangSong_GB2312"/>
                      <w:sz w:val="28"/>
                      <w:szCs w:val="28"/>
                    </w:rPr>
                  </w:pPr>
                  <w:r>
                    <w:rPr>
                      <w:rFonts w:hint="eastAsia" w:ascii="FangSong_GB2312" w:eastAsia="FangSong_GB2312"/>
                      <w:sz w:val="28"/>
                      <w:szCs w:val="28"/>
                    </w:rPr>
                    <w:t>12.村（社区）残疾人协会建设覆盖率（%）</w:t>
                  </w:r>
                </w:p>
              </w:tc>
              <w:tc>
                <w:tcPr>
                  <w:tcW w:w="1134"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w:t>
                  </w:r>
                </w:p>
              </w:tc>
              <w:tc>
                <w:tcPr>
                  <w:tcW w:w="2268"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100</w:t>
                  </w:r>
                </w:p>
              </w:tc>
              <w:tc>
                <w:tcPr>
                  <w:tcW w:w="1347" w:type="dxa"/>
                  <w:tcBorders>
                    <w:top w:val="single" w:color="auto" w:sz="4" w:space="0"/>
                    <w:left w:val="nil"/>
                    <w:bottom w:val="single" w:color="auto" w:sz="4" w:space="0"/>
                    <w:right w:val="single" w:color="auto" w:sz="4" w:space="0"/>
                  </w:tcBorders>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约束性</w:t>
                  </w:r>
                </w:p>
              </w:tc>
            </w:tr>
          </w:tbl>
          <w:p>
            <w:pPr>
              <w:spacing w:line="300" w:lineRule="exact"/>
              <w:ind w:firstLine="560" w:firstLineChars="200"/>
              <w:rPr>
                <w:rFonts w:ascii="FangSong_GB2312" w:eastAsia="FangSong_GB2312"/>
                <w:sz w:val="28"/>
                <w:szCs w:val="28"/>
              </w:rPr>
            </w:pPr>
          </w:p>
        </w:tc>
      </w:tr>
    </w:tbl>
    <w:p>
      <w:pPr>
        <w:spacing w:line="600" w:lineRule="exact"/>
        <w:ind w:firstLine="640" w:firstLineChars="200"/>
        <w:rPr>
          <w:rFonts w:ascii="SimHei" w:hAnsi="SimHei" w:eastAsia="SimHei"/>
          <w:sz w:val="32"/>
          <w:szCs w:val="32"/>
        </w:rPr>
      </w:pPr>
      <w:r>
        <w:rPr>
          <w:rFonts w:hint="eastAsia" w:ascii="SimHei" w:hAnsi="SimHei" w:eastAsia="SimHei"/>
          <w:sz w:val="32"/>
          <w:szCs w:val="32"/>
        </w:rPr>
        <w:t>三、主要任务</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十四五”期间，全县将着力完善“社会保障、就业创业、康复服务”三大体系、大力实施“教育促进、无障碍建设、组织建设”三大工程、积极开展残疾人“权益维护、文体事业、发展环境”三大提升行动，进一步加快推进残疾人事业高质量发展。</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（一）完善多层次社会保障体系</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1.巩固拓展残疾人脱贫攻坚成果</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落实中、省、市巩固拓展脱贫攻坚成果同乡村振兴有效衔接要求，实施乡村振兴助残系列行动（包括医疗康复、教育保障、就业创业、住房保障、社会保障、无障碍环境建设等行动）。健全防止残疾人返贫致贫监测和帮扶机制。开展农村低收入残疾人动态监测，建立残疾人访视制度，村</w:t>
      </w:r>
      <w:r>
        <w:rPr>
          <w:rFonts w:hint="eastAsia" w:ascii="FangSong_GB2312" w:eastAsia="SimSun"/>
          <w:sz w:val="32"/>
          <w:szCs w:val="32"/>
          <w:lang w:eastAsia="zh-CN"/>
        </w:rPr>
        <w:t>（</w:t>
      </w:r>
      <w:r>
        <w:rPr>
          <w:rFonts w:hint="eastAsia" w:ascii="FangSong_GB2312" w:eastAsia="FangSong_GB2312"/>
          <w:sz w:val="32"/>
          <w:szCs w:val="32"/>
        </w:rPr>
        <w:t>社区</w:t>
      </w:r>
      <w:r>
        <w:rPr>
          <w:rFonts w:hint="eastAsia" w:ascii="FangSong_GB2312" w:eastAsia="SimSun"/>
          <w:sz w:val="32"/>
          <w:szCs w:val="32"/>
          <w:lang w:eastAsia="zh-CN"/>
        </w:rPr>
        <w:t>）</w:t>
      </w:r>
      <w:r>
        <w:rPr>
          <w:rFonts w:hint="eastAsia" w:ascii="FangSong_GB2312" w:eastAsia="FangSong_GB2312"/>
          <w:sz w:val="32"/>
          <w:szCs w:val="32"/>
        </w:rPr>
        <w:t>残协和残疾人专门协会对困难残疾人开展经常性走访探视，发现问题及时报告，协助解决。将存在返贫致贫风险的残疾人纳入监测对象，及时给予帮扶。对脱贫人口中完全丧失劳动能力或者部分丧失劳动能力且无法通过产业就业获得稳定收入的残疾人，按照规定纳入最低生活保障或者特困人员救助供养范围，做到应保尽保、应兜尽兜。持续做好农村低收入残疾人家庭帮扶工作，乡村振兴民生政策予以优先保障、重点支持。依法保障农村残疾人宅基地使用权、土地承包经营权、集体收益分配权等权益。扶持农村残疾人参与富民乡村产业，分享产业链增值收益。充分发挥基层党组织在扶残助残中的重要作用。</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2.加强残疾人社会救助保障</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持续为符合条件的残疾人和残疾人家庭提供特困人员救助供养或最低生活保障。低收入家庭中符合条件的重度残疾人和智力、精神三级残疾人按照“单人户”纳入最低生活保障范围。优先对残疾人实施教育救助、住房救助、就业救助，保障残疾人的基本生活需要。做好对符合条件残疾人的医疗救助，强化医疗救助与基本医保、大病保险的互补衔接，减轻困难残疾人医疗费用负担。加强对生活无着落流浪乞讨残疾人的救助安置和寻亲服务。加强对符合条件的困难残疾人紧急救助。</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3.加快发展失能残疾人照护和托养服务</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将失能残疾人就近纳入福利机构集中照护，做好残疾人和失能老人标准服务的衔接。完善普惠型养老机构服务功能，接收符合条件的盲人、聋人等老年残疾人入住公办养老机构。</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4.完善残疾人社会福利制度</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继续落实困难残疾人生活补贴、重度残疾人护理补贴制度和补贴标准动态调整机制，制定差别化的待遇保障政策，推动两项补贴资格认定申请“跨省通办”。资助符合条件的残疾人参加城乡居民基本医疗保险、落实残疾人机动轮椅车燃油补贴政策。推动持证残疾人免费乘坐县内公交，落实残疾人驾驶机动车政策。加强孤残儿童（残疾孤儿、事实无人抚养残疾儿童）医疗、康复、教育等服务。</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5.扩大残疾人社会保险覆盖范围</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落实好符合条件的残疾人医疗康复项目纳入基本医保支付范围的政策。支持就业残疾人依法参加失业保险，享受失业保险待遇。推进用人单位依法参加工伤保险，按规定支付工伤保险待遇。加强工伤预防和工伤职工康复工作。继续为全县残疾人购买意外伤害保险，增强残疾人抵御意外风险的能力。</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6.保障残疾人基本住房安全便利</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优先解决低收入残疾人家庭住房安全问题，支持符合条件的农村低收入残疾人家庭实施危房改造。城镇保障性住房建设、农村危房改造统筹考虑无障碍设施设备建设安装。</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7.加强重大疫情等突发公共事件中对残疾人的保护</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在重大疫情、自然灾害、重大突发公共事件中，将残疾人列为优先保护对象。加强残疾人集中场所和残疾人服务机构安全保障，强化应急服务体系和能力建设。开展残疾人应急科普宣传，提高残疾人应对突发灾害事故的能力。</w:t>
      </w:r>
    </w:p>
    <w:tbl>
      <w:tblPr>
        <w:tblStyle w:val="8"/>
        <w:tblW w:w="9072" w:type="dxa"/>
        <w:jc w:val="center"/>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Layout w:type="fixed"/>
        <w:tblCellMar>
          <w:top w:w="0" w:type="dxa"/>
          <w:left w:w="108" w:type="dxa"/>
          <w:bottom w:w="0" w:type="dxa"/>
          <w:right w:w="108" w:type="dxa"/>
        </w:tblCellMar>
      </w:tblPr>
      <w:tblGrid>
        <w:gridCol w:w="9072"/>
      </w:tblGrid>
      <w:tr>
        <w:tblPrEx>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CellMar>
            <w:top w:w="0" w:type="dxa"/>
            <w:left w:w="108" w:type="dxa"/>
            <w:bottom w:w="0" w:type="dxa"/>
            <w:right w:w="108" w:type="dxa"/>
          </w:tblCellMar>
        </w:tblPrEx>
        <w:trPr>
          <w:trHeight w:val="432" w:hRule="atLeast"/>
          <w:jc w:val="center"/>
        </w:trPr>
        <w:tc>
          <w:tcPr>
            <w:tcW w:w="9072" w:type="dxa"/>
            <w:tcBorders>
              <w:top w:val="single" w:color="808080" w:sz="18" w:space="0"/>
              <w:left w:val="single" w:color="808080" w:sz="18" w:space="0"/>
              <w:bottom w:val="single" w:color="808080" w:sz="18" w:space="0"/>
              <w:right w:val="single" w:color="808080" w:sz="18" w:space="0"/>
            </w:tcBorders>
            <w:shd w:val="clear" w:color="auto" w:fill="D9D9D9"/>
            <w:vAlign w:val="center"/>
          </w:tcPr>
          <w:p>
            <w:pPr>
              <w:ind w:firstLine="640" w:firstLineChars="200"/>
              <w:jc w:val="center"/>
              <w:rPr>
                <w:rFonts w:ascii="FangSong_GB2312" w:eastAsia="FangSong_GB2312"/>
                <w:sz w:val="32"/>
                <w:szCs w:val="32"/>
              </w:rPr>
            </w:pPr>
            <w:r>
              <w:rPr>
                <w:rFonts w:hint="eastAsia" w:ascii="FangSong_GB2312" w:eastAsia="FangSong_GB2312"/>
                <w:sz w:val="32"/>
                <w:szCs w:val="32"/>
              </w:rPr>
              <w:t>专栏2：残疾人社会保障</w:t>
            </w:r>
          </w:p>
        </w:tc>
      </w:tr>
      <w:tr>
        <w:tblPrEx>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CellMar>
            <w:top w:w="0" w:type="dxa"/>
            <w:left w:w="108" w:type="dxa"/>
            <w:bottom w:w="0" w:type="dxa"/>
            <w:right w:w="108" w:type="dxa"/>
          </w:tblCellMar>
        </w:tblPrEx>
        <w:trPr>
          <w:trHeight w:val="8273" w:hRule="atLeast"/>
          <w:jc w:val="center"/>
        </w:trPr>
        <w:tc>
          <w:tcPr>
            <w:tcW w:w="9072" w:type="dxa"/>
            <w:tcBorders>
              <w:top w:val="single" w:color="808080" w:sz="18" w:space="0"/>
              <w:left w:val="single" w:color="808080" w:sz="18" w:space="0"/>
              <w:bottom w:val="single" w:color="808080" w:sz="18" w:space="0"/>
              <w:right w:val="single" w:color="808080" w:sz="18" w:space="0"/>
            </w:tcBorders>
            <w:shd w:val="clear" w:color="auto" w:fill="FFFFFF"/>
          </w:tcPr>
          <w:p>
            <w:pPr>
              <w:spacing w:line="360" w:lineRule="exact"/>
              <w:ind w:firstLine="560" w:firstLineChars="200"/>
              <w:rPr>
                <w:rFonts w:hint="eastAsia" w:ascii="FangSong_GB2312" w:eastAsia="FangSong_GB2312" w:hAnsiTheme="minorEastAsia"/>
                <w:sz w:val="28"/>
                <w:szCs w:val="32"/>
              </w:rPr>
            </w:pPr>
            <w:r>
              <w:rPr>
                <w:rFonts w:hint="eastAsia" w:ascii="FangSong_GB2312" w:eastAsia="FangSong_GB2312" w:hAnsiTheme="minorEastAsia"/>
                <w:sz w:val="28"/>
                <w:szCs w:val="32"/>
              </w:rPr>
              <w:t>（一）资金类</w:t>
            </w:r>
          </w:p>
          <w:p>
            <w:pPr>
              <w:spacing w:line="360" w:lineRule="exact"/>
              <w:ind w:firstLine="560" w:firstLineChars="200"/>
              <w:rPr>
                <w:rFonts w:hint="eastAsia" w:ascii="FangSong_GB2312" w:eastAsia="FangSong_GB2312" w:hAnsiTheme="minorEastAsia"/>
                <w:sz w:val="28"/>
                <w:szCs w:val="32"/>
              </w:rPr>
            </w:pPr>
            <w:r>
              <w:rPr>
                <w:rFonts w:hint="eastAsia" w:ascii="FangSong_GB2312" w:eastAsia="FangSong_GB2312" w:hAnsiTheme="minorEastAsia"/>
                <w:sz w:val="28"/>
                <w:szCs w:val="32"/>
              </w:rPr>
              <w:t>1.最低生活保障。将符合条件的残疾人家庭全部纳入最低生活保障范围</w:t>
            </w:r>
            <w:r>
              <w:rPr>
                <w:rFonts w:hint="eastAsia" w:ascii="FangSong_GB2312" w:eastAsia="SimSun" w:hAnsiTheme="minorEastAsia"/>
                <w:sz w:val="28"/>
                <w:szCs w:val="32"/>
                <w:lang w:eastAsia="zh-CN"/>
              </w:rPr>
              <w:t>，</w:t>
            </w:r>
            <w:r>
              <w:rPr>
                <w:rFonts w:hint="eastAsia" w:ascii="FangSong_GB2312" w:eastAsia="FangSong_GB2312" w:hAnsiTheme="minorEastAsia"/>
                <w:sz w:val="28"/>
                <w:szCs w:val="32"/>
              </w:rPr>
              <w:t>低保边缘家庭的重度残疾人，智力、精神三级残疾人经本人申请参照“单人户”纳入低保范围，对纳入低保范围后生活仍有困难的残疾人及家庭，采取必要措施给予生活保障。</w:t>
            </w:r>
          </w:p>
          <w:p>
            <w:pPr>
              <w:spacing w:line="360" w:lineRule="exact"/>
              <w:ind w:firstLine="560" w:firstLineChars="200"/>
              <w:rPr>
                <w:rFonts w:hint="eastAsia" w:ascii="FangSong_GB2312" w:eastAsia="FangSong_GB2312" w:hAnsiTheme="minorEastAsia"/>
                <w:sz w:val="28"/>
                <w:szCs w:val="32"/>
              </w:rPr>
            </w:pPr>
            <w:r>
              <w:rPr>
                <w:rFonts w:hint="eastAsia" w:ascii="FangSong_GB2312" w:eastAsia="FangSong_GB2312" w:hAnsiTheme="minorEastAsia"/>
                <w:sz w:val="28"/>
                <w:szCs w:val="32"/>
              </w:rPr>
              <w:t>2.困难残疾人生活补贴和重度残疾人护理补贴。继续落实困难残疾人生活补贴、符合条件的残疾人护理补贴制度和补贴标准动态调整机制，制定差别化的待遇保障政策。推动两项补贴资格认定申请“跨省通办”。</w:t>
            </w:r>
          </w:p>
          <w:p>
            <w:pPr>
              <w:spacing w:line="360" w:lineRule="exact"/>
              <w:ind w:firstLine="560" w:firstLineChars="200"/>
              <w:rPr>
                <w:rFonts w:hint="eastAsia" w:ascii="FangSong_GB2312" w:eastAsia="FangSong_GB2312" w:hAnsiTheme="minorEastAsia"/>
                <w:sz w:val="28"/>
                <w:szCs w:val="32"/>
              </w:rPr>
            </w:pPr>
            <w:r>
              <w:rPr>
                <w:rFonts w:hint="eastAsia" w:ascii="FangSong_GB2312" w:eastAsia="FangSong_GB2312" w:hAnsiTheme="minorEastAsia"/>
                <w:sz w:val="28"/>
                <w:szCs w:val="32"/>
              </w:rPr>
              <w:t>3.残疾人紧急救助。落实残疾人紧急救助管理政策，在残疾人遭遇自然灾害、意外伤害、重大疾病、教育支出较大等突发事件导致基本生活陷入困境，民政、卫健、医保、教育等部门的救助暂时无法覆盖或救助之后基本生活暂时仍有严重困难的，依申请给予紧急救助。</w:t>
            </w:r>
          </w:p>
          <w:p>
            <w:pPr>
              <w:spacing w:line="360" w:lineRule="exact"/>
              <w:ind w:firstLine="560" w:firstLineChars="200"/>
              <w:rPr>
                <w:rFonts w:hint="eastAsia" w:ascii="FangSong_GB2312" w:eastAsia="FangSong_GB2312" w:hAnsiTheme="minorEastAsia"/>
                <w:sz w:val="28"/>
                <w:szCs w:val="32"/>
              </w:rPr>
            </w:pPr>
            <w:r>
              <w:rPr>
                <w:rFonts w:hint="eastAsia" w:ascii="FangSong_GB2312" w:eastAsia="FangSong_GB2312" w:hAnsiTheme="minorEastAsia"/>
                <w:sz w:val="28"/>
                <w:szCs w:val="32"/>
              </w:rPr>
              <w:t>（二）服务类</w:t>
            </w:r>
          </w:p>
          <w:p>
            <w:pPr>
              <w:spacing w:line="360" w:lineRule="exact"/>
              <w:ind w:firstLine="560" w:firstLineChars="200"/>
              <w:rPr>
                <w:rFonts w:hint="eastAsia" w:ascii="FangSong_GB2312" w:eastAsia="FangSong_GB2312" w:hAnsiTheme="minorEastAsia"/>
                <w:sz w:val="28"/>
                <w:szCs w:val="32"/>
              </w:rPr>
            </w:pPr>
            <w:r>
              <w:rPr>
                <w:rFonts w:hint="eastAsia" w:ascii="FangSong_GB2312" w:eastAsia="FangSong_GB2312" w:hAnsiTheme="minorEastAsia"/>
                <w:sz w:val="28"/>
                <w:szCs w:val="32"/>
              </w:rPr>
              <w:t>1.困难残疾人走访探视服务。建立残疾人访视制度，村</w:t>
            </w:r>
            <w:r>
              <w:rPr>
                <w:rFonts w:hint="eastAsia" w:ascii="FangSong_GB2312" w:eastAsia="SimSun" w:hAnsiTheme="minorEastAsia"/>
                <w:sz w:val="28"/>
                <w:szCs w:val="32"/>
                <w:lang w:eastAsia="zh-CN"/>
              </w:rPr>
              <w:t>（</w:t>
            </w:r>
            <w:r>
              <w:rPr>
                <w:rFonts w:hint="eastAsia" w:ascii="FangSong_GB2312" w:eastAsia="FangSong_GB2312" w:hAnsiTheme="minorEastAsia"/>
                <w:sz w:val="28"/>
                <w:szCs w:val="32"/>
              </w:rPr>
              <w:t>社区</w:t>
            </w:r>
            <w:r>
              <w:rPr>
                <w:rFonts w:hint="eastAsia" w:ascii="FangSong_GB2312" w:eastAsia="SimSun" w:hAnsiTheme="minorEastAsia"/>
                <w:sz w:val="28"/>
                <w:szCs w:val="32"/>
                <w:lang w:eastAsia="zh-CN"/>
              </w:rPr>
              <w:t>）</w:t>
            </w:r>
            <w:r>
              <w:rPr>
                <w:rFonts w:hint="eastAsia" w:ascii="FangSong_GB2312" w:eastAsia="FangSong_GB2312" w:hAnsiTheme="minorEastAsia"/>
                <w:sz w:val="28"/>
                <w:szCs w:val="32"/>
              </w:rPr>
              <w:t>残协和残疾人专门协会对困难残疾人开展经常性走访探视，发现问题及时报告，协助予以解决。</w:t>
            </w:r>
          </w:p>
          <w:p>
            <w:pPr>
              <w:spacing w:line="360" w:lineRule="exact"/>
              <w:ind w:firstLine="560" w:firstLineChars="200"/>
              <w:rPr>
                <w:rFonts w:ascii="FangSong_GB2312" w:eastAsia="FangSong_GB2312"/>
                <w:sz w:val="32"/>
                <w:szCs w:val="32"/>
              </w:rPr>
            </w:pPr>
            <w:r>
              <w:rPr>
                <w:rFonts w:hint="eastAsia" w:ascii="FangSong_GB2312" w:eastAsia="FangSong_GB2312" w:hAnsiTheme="minorEastAsia"/>
                <w:sz w:val="28"/>
                <w:szCs w:val="32"/>
              </w:rPr>
              <w:t>2.重大疫情等突发公共事件中困难残疾人急难救助。对因疫情防控在家隔离的残疾人，落实包保联系人，加强走访探视，及时提供必要帮助。因突发事件等紧急情况，残疾人监护人暂时无法履行监护职责、被监护人处于无人照料状态的，所在村（社区）乡镇或者民政部门应当及时为被监护人提供必要的临时生活照料。</w:t>
            </w:r>
          </w:p>
        </w:tc>
      </w:tr>
    </w:tbl>
    <w:p>
      <w:pPr>
        <w:spacing w:line="600" w:lineRule="exact"/>
        <w:ind w:firstLine="640" w:firstLineChars="200"/>
        <w:rPr>
          <w:rFonts w:hint="eastAsia" w:ascii="KaiTi_GB2312" w:eastAsia="KaiTi_GB2312"/>
          <w:sz w:val="32"/>
          <w:szCs w:val="32"/>
        </w:rPr>
      </w:pPr>
      <w:r>
        <w:rPr>
          <w:rFonts w:hint="eastAsia" w:ascii="KaiTi_GB2312" w:eastAsia="KaiTi_GB2312"/>
          <w:sz w:val="32"/>
          <w:szCs w:val="32"/>
        </w:rPr>
        <w:t>（二）完善残疾人就业创业支撑体系</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1.贯彻落实残疾人就业创业政策法规</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健全残疾人就业支持体系。保障残疾人就业培训、补贴奖励、就业服务等各项支出。落实促进残疾人稳定就业扶持政策，全面贯彻落实《机关、事业单位、国有企业带头安排残疾人就业办法》，通过定向招录（聘）方式，促进机关、事业单位、国有企业带头安排残疾人就业。加强残疾人就业促进政策与社会保障政策的衔接，纳入低保范围的已就业残疾人可按规定在核算其家庭收入时扣减必要的就业成本，并在其家庭成员人均收入超过当地低保标准后给予一定时间的渐退期。依法开展残疾人就业保障执法行动，严厉打击侵害残疾人合法权益的行为，消除对残疾人就业歧视，创造更加包容、公平的就业环境。</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2.多渠道、多形式促进残疾人就业创业</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开展残疾人就业促进专项行动。落实残疾人集中就业单位税费优惠、政府优先采购等扶持政策，稳定残疾人集中就业。鼓励残疾人通过参与网络零售、直播带货等新就业形态实现就业增收。支持残疾人参与非物质文化遗产保护传承、振兴传统工艺等项目。现有公益性岗位优先安置残疾人，开发适合残疾人就业的公益性岗位安排残疾人就业。加大对“残疾人之家”、残疾人康复服务中心等辅助性就业机构的支持保障力度。扶持一批辐射能力强、经营管理规范、具有一定规模的残疾人就业帮扶基地带动残疾人稳定就业，支持乡村产业发展项目和现代农业产业园等农业经营主体，吸纳农村残疾人就业，带动残疾人就业增收。实施盲人按摩提升项目，促进盲人按摩行业规范化、标准化、专业化、品牌化发展。支持手工制作等残疾妇女就业创业项目。确保零就业残疾人家庭至少有一人就业。</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3.提升残疾人职业素质和就业创业能力</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结合峨边产业发展和创业项目，继续开展农村残疾人实用技术培训，加强适合残疾人特点的职业、岗位技能提升和创业培训，推进残疾人专业技能提升。持续丰富和完善培训形式内容，开发线上线下相结合的残疾人职业培训优质课程资源。组织参加第六届全省残疾人职业技能大赛。</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4.加强和改进残疾人就业服务</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健全残疾人就业服务体系，完善覆盖城乡的残疾人就业服务网络。加强残疾人就业服务机构规范化建设，充分发挥残疾人就业服务机构和各类公共就业服务平台、人力资源服务机构、社会组织作用，为残疾人和用人单位提供全链条、专业化、精准化服务。持续做好高校残疾人毕业生就业“一人一策”就业服务，予以重点帮扶。开展残疾人就业援助等专项就业服务活动，多渠道、多形式帮助残疾人就业创业。</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5.保障残疾人平等就业权益</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依法保障对于具有正常履行职责的身体条件和心理素质的残疾人平等就业的权益。用人单位应当为残疾职工提供适合其身心特点的劳动条件、劳动保护、无障碍环境及合理便利，在晋职、晋级、职称评定、社会保险、生活福利等方面给予平等待遇。加强残疾人就业劳动监察，坚决打击和查处侵害残疾人就业权利的各种行为。</w:t>
      </w:r>
    </w:p>
    <w:p>
      <w:pPr>
        <w:spacing w:line="600" w:lineRule="exact"/>
        <w:ind w:firstLine="640" w:firstLineChars="200"/>
        <w:rPr>
          <w:rFonts w:ascii="FangSong_GB2312" w:eastAsia="FangSong_GB2312"/>
          <w:sz w:val="32"/>
          <w:szCs w:val="32"/>
        </w:rPr>
      </w:pPr>
    </w:p>
    <w:tbl>
      <w:tblPr>
        <w:tblStyle w:val="8"/>
        <w:tblW w:w="9072" w:type="dxa"/>
        <w:jc w:val="center"/>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Layout w:type="fixed"/>
        <w:tblCellMar>
          <w:top w:w="0" w:type="dxa"/>
          <w:left w:w="108" w:type="dxa"/>
          <w:bottom w:w="0" w:type="dxa"/>
          <w:right w:w="108" w:type="dxa"/>
        </w:tblCellMar>
      </w:tblPr>
      <w:tblGrid>
        <w:gridCol w:w="9072"/>
      </w:tblGrid>
      <w:tr>
        <w:tblPrEx>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CellMar>
            <w:top w:w="0" w:type="dxa"/>
            <w:left w:w="108" w:type="dxa"/>
            <w:bottom w:w="0" w:type="dxa"/>
            <w:right w:w="108" w:type="dxa"/>
          </w:tblCellMar>
        </w:tblPrEx>
        <w:trPr>
          <w:trHeight w:val="432" w:hRule="atLeast"/>
          <w:jc w:val="center"/>
        </w:trPr>
        <w:tc>
          <w:tcPr>
            <w:tcW w:w="9072" w:type="dxa"/>
            <w:tcBorders>
              <w:top w:val="single" w:color="808080" w:sz="18" w:space="0"/>
              <w:left w:val="single" w:color="808080" w:sz="18" w:space="0"/>
              <w:bottom w:val="single" w:color="808080" w:sz="18" w:space="0"/>
              <w:right w:val="single" w:color="808080" w:sz="18" w:space="0"/>
            </w:tcBorders>
            <w:shd w:val="clear" w:color="auto" w:fill="D9D9D9"/>
            <w:vAlign w:val="center"/>
          </w:tcPr>
          <w:p>
            <w:pPr>
              <w:jc w:val="center"/>
              <w:rPr>
                <w:rFonts w:ascii="FangSong_GB2312" w:eastAsia="FangSong_GB2312"/>
                <w:sz w:val="32"/>
                <w:szCs w:val="32"/>
              </w:rPr>
            </w:pPr>
            <w:r>
              <w:rPr>
                <w:rFonts w:hint="eastAsia" w:ascii="FangSong_GB2312" w:eastAsia="FangSong_GB2312"/>
                <w:sz w:val="32"/>
                <w:szCs w:val="32"/>
              </w:rPr>
              <w:t xml:space="preserve"> 专栏3：残疾人就业创业</w:t>
            </w:r>
          </w:p>
        </w:tc>
      </w:tr>
      <w:tr>
        <w:tblPrEx>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CellMar>
            <w:top w:w="0" w:type="dxa"/>
            <w:left w:w="108" w:type="dxa"/>
            <w:bottom w:w="0" w:type="dxa"/>
            <w:right w:w="108" w:type="dxa"/>
          </w:tblCellMar>
        </w:tblPrEx>
        <w:trPr>
          <w:trHeight w:val="1743" w:hRule="atLeast"/>
          <w:jc w:val="center"/>
        </w:trPr>
        <w:tc>
          <w:tcPr>
            <w:tcW w:w="9072" w:type="dxa"/>
            <w:tcBorders>
              <w:top w:val="single" w:color="808080" w:sz="18" w:space="0"/>
              <w:left w:val="single" w:color="808080" w:sz="18" w:space="0"/>
              <w:bottom w:val="single" w:color="808080" w:sz="18" w:space="0"/>
              <w:right w:val="single" w:color="808080" w:sz="18" w:space="0"/>
            </w:tcBorders>
            <w:shd w:val="clear" w:color="auto" w:fill="FFFFFF"/>
          </w:tcPr>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（一）补贴类</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1.残疾人就业创业补贴。对自主创业、灵活就业的残疾人，按规定给予补贴。</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2.辅助性就业机构补贴。对残疾人辅助性就业机构给予一次性建设、场地租金、机构运行、无障碍环境改造、生产设备和辅助器具购置等补贴。</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（二）奖励类</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超比例安排残疾人就业奖励。对超比例安排残疾人就业的用人单位给予奖励。</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（三）就业服务类</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1.农村残疾人就业帮扶基地建设项目。扶持带动辐射能力强、经营管理规范、具有一定规模的残疾人就业帮扶基地，带动残疾人稳定就业、生产增收。</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2.盲人按摩提升项目。落实《盲人医疗按摩管理办法》和盲人保健按摩有关标准，促进盲人按摩行业规范化、标准化、专业化、品牌化发展。</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3.残疾人新就业形态扶持项目。鼓励残疾人参与网络零售、云客服、直播带货、物流快递、小店经济等新形态就业。</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4.残疾人公益性岗位项目。设立的乡村保洁员、水管员、护路员、生态护林员、社会救助协理员、社区工作人员等岗位优先安置残疾人，开发适合残疾人就业的公益性岗位安排残疾人就业。</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5.残疾人辅助性就业项目。加强残疾人辅助性就业机构能力建设，引导市场主体和社会力量提供辅助性就业服务，提升残疾人就业水平和质量。</w:t>
            </w:r>
          </w:p>
          <w:p>
            <w:pPr>
              <w:spacing w:line="360" w:lineRule="exact"/>
              <w:ind w:firstLine="560" w:firstLineChars="200"/>
              <w:rPr>
                <w:rFonts w:ascii="FangSong_GB2312" w:eastAsia="FangSong_GB2312"/>
                <w:sz w:val="32"/>
                <w:szCs w:val="32"/>
              </w:rPr>
            </w:pPr>
            <w:r>
              <w:rPr>
                <w:rFonts w:hint="eastAsia" w:ascii="FangSong_GB2312" w:eastAsia="FangSong_GB2312"/>
                <w:sz w:val="28"/>
                <w:szCs w:val="28"/>
              </w:rPr>
              <w:t>6.开展农村残疾人实用技术培训。“十四五”期间为1000名农村困难残疾人开展实用技术培训。</w:t>
            </w:r>
          </w:p>
        </w:tc>
      </w:tr>
    </w:tbl>
    <w:p>
      <w:pPr>
        <w:spacing w:line="600" w:lineRule="exact"/>
        <w:ind w:firstLine="640" w:firstLineChars="200"/>
        <w:rPr>
          <w:rFonts w:ascii="KaiTi_GB2312" w:eastAsia="KaiTi_GB2312"/>
          <w:sz w:val="32"/>
          <w:szCs w:val="32"/>
        </w:rPr>
      </w:pPr>
      <w:r>
        <w:rPr>
          <w:rFonts w:hint="eastAsia" w:ascii="KaiTi_GB2312" w:eastAsia="KaiTi_GB2312"/>
          <w:sz w:val="32"/>
          <w:szCs w:val="32"/>
        </w:rPr>
        <w:t>（三）健全残疾人康复服务体系</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1.加强残疾人健康服务</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全面推进残疾人家庭医生签约服务，对重度残疾人购买个性化家庭医生签约服务，支持签约医生为残疾人提供基本医疗、公共卫生和健康管理等个性化服务。加强和改善残疾人医疗服务，为残疾人提供就医便利，维护残疾人平等就医权利。加强残疾人心理健康服务，关注残疾儿童心理发展需求。关注残疾妇女健康，开展生殖健康服务。</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2.提升残疾人康复服务质量</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以实施“浙川协作.助残共富”项目为重点推进“柯桥</w:t>
      </w:r>
      <w:r>
        <w:rPr>
          <w:rFonts w:hint="eastAsia" w:ascii="FangSong_GB2312" w:eastAsia="SimSun"/>
          <w:sz w:val="32"/>
          <w:szCs w:val="32"/>
          <w:lang w:eastAsia="zh-CN"/>
        </w:rPr>
        <w:t>－</w:t>
      </w:r>
      <w:r>
        <w:rPr>
          <w:rFonts w:hint="eastAsia" w:ascii="FangSong_GB2312" w:eastAsia="FangSong_GB2312"/>
          <w:sz w:val="32"/>
          <w:szCs w:val="32"/>
        </w:rPr>
        <w:t>峨边”残疾人帮扶协作，加强县残疾人康复中心建设，推进机构规范化、标准化建设。落实残疾人基本康复服务目录，规范康复服务，充实职业康复、社会康复、心理康复等功能。持续推进康复医学科住院医师和残疾人专业康复机构服务人员规范化培训工作，支持各类康复专业技术人员参加社会化职称评审，建立康复专业人才培养长效机制。继续实施残疾人精准康复服务行动，满足残疾人基本康复服务需求。落实残疾儿童康复救助制度，推动救助标准、救助范围提标扩面，增加康复服务供给，以抢救性康复为重点，努力实现残疾儿童康复救助“应救尽救”。做好精神障碍患者服务管理和救助工作，重性精神病药物维持治疗参保患者门诊保障工作，推广残疾人自助、互助康复。</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3.加快发展康复辅助器具服务</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推广安全适用的基本型康复辅助器具，推动康复辅助器具服务提质升级。鼓励实施公益性康复辅助器具适配项目。推进“互联网+”辅助器具服务，完善规范化服务标准，加强评估、监督。</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4.强化残疾预防</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落实《残疾预防和残疾人康复条例》，加强县妇幼保健机构能力建设。加强出生缺陷综合防治，建立残疾儿童筛查信息共享机制，大力推进0—6岁儿童残疾筛查，建立筛查、诊断、康复救助衔接机制。引导培养健康生活方式，减少慢性病致残。开展社会心理服务，预防和减少精神残疾发生。开展防盲治盲、防聋治聋工作，加强对致残性传染病和地方病防控。加强安全生产、消防安全、交通安全管理和安全防护设施建设，提高自然灾害、突发事件紧急救援能力，减少因灾害、事故、职业伤害等致残。广泛开展残疾预防宣传教育，防止老年人跌倒、儿童意外伤害致残，形成全人群、全生命周期的残疾预防意识。</w:t>
      </w:r>
    </w:p>
    <w:tbl>
      <w:tblPr>
        <w:tblStyle w:val="8"/>
        <w:tblW w:w="9057" w:type="dxa"/>
        <w:tblInd w:w="135" w:type="dxa"/>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Layout w:type="fixed"/>
        <w:tblCellMar>
          <w:top w:w="0" w:type="dxa"/>
          <w:left w:w="108" w:type="dxa"/>
          <w:bottom w:w="0" w:type="dxa"/>
          <w:right w:w="108" w:type="dxa"/>
        </w:tblCellMar>
      </w:tblPr>
      <w:tblGrid>
        <w:gridCol w:w="9057"/>
      </w:tblGrid>
      <w:tr>
        <w:tblPrEx>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CellMar>
            <w:top w:w="0" w:type="dxa"/>
            <w:left w:w="108" w:type="dxa"/>
            <w:bottom w:w="0" w:type="dxa"/>
            <w:right w:w="108" w:type="dxa"/>
          </w:tblCellMar>
        </w:tblPrEx>
        <w:trPr>
          <w:trHeight w:val="449" w:hRule="atLeast"/>
        </w:trPr>
        <w:tc>
          <w:tcPr>
            <w:tcW w:w="9057" w:type="dxa"/>
            <w:tcBorders>
              <w:top w:val="single" w:color="808080" w:sz="18" w:space="0"/>
              <w:left w:val="single" w:color="808080" w:sz="18" w:space="0"/>
              <w:bottom w:val="single" w:color="808080" w:sz="18" w:space="0"/>
              <w:right w:val="single" w:color="808080" w:sz="18" w:space="0"/>
            </w:tcBorders>
            <w:shd w:val="clear" w:color="auto" w:fill="D9D9D9"/>
            <w:vAlign w:val="center"/>
          </w:tcPr>
          <w:p>
            <w:pPr>
              <w:jc w:val="center"/>
              <w:rPr>
                <w:rFonts w:ascii="FangSong_GB2312" w:eastAsia="FangSong_GB2312"/>
                <w:sz w:val="32"/>
                <w:szCs w:val="32"/>
              </w:rPr>
            </w:pPr>
            <w:r>
              <w:rPr>
                <w:rFonts w:hint="eastAsia" w:ascii="FangSong_GB2312" w:eastAsia="FangSong_GB2312"/>
                <w:sz w:val="32"/>
                <w:szCs w:val="32"/>
              </w:rPr>
              <w:t>专栏4：残疾人健康和康复服务</w:t>
            </w:r>
          </w:p>
        </w:tc>
      </w:tr>
      <w:tr>
        <w:tblPrEx>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CellMar>
            <w:top w:w="0" w:type="dxa"/>
            <w:left w:w="108" w:type="dxa"/>
            <w:bottom w:w="0" w:type="dxa"/>
            <w:right w:w="108" w:type="dxa"/>
          </w:tblCellMar>
        </w:tblPrEx>
        <w:trPr>
          <w:trHeight w:val="542" w:hRule="atLeast"/>
        </w:trPr>
        <w:tc>
          <w:tcPr>
            <w:tcW w:w="9057" w:type="dxa"/>
            <w:tcBorders>
              <w:top w:val="single" w:color="808080" w:sz="18" w:space="0"/>
              <w:left w:val="single" w:color="808080" w:sz="18" w:space="0"/>
              <w:bottom w:val="single" w:color="808080" w:sz="18" w:space="0"/>
              <w:right w:val="single" w:color="808080" w:sz="18" w:space="0"/>
            </w:tcBorders>
            <w:shd w:val="clear" w:color="auto" w:fill="FFFFFF"/>
          </w:tcPr>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1.专业康复机构建设项目。推进县残疾人康复中心规范化、标准化建设。</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2.完善残疾人基本康复内容。落实残疾人基本康复服务目录，规范康复服务，充实职业康复、社会康复、心理康复等功能。</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3.康复专业人才培养项目。加强临床医学、特殊教育、社会工作等专业教育中的康复能力培养，持续推进康复医学科住院医师规范化培训工作、推进康复医疗从业人员培训和开展残疾人专业康复机构服务人员规范化培训。支持各类康复专业技术人员参加社会化职称评审。</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4.残疾人精准康复服务行动。开展残疾人康复需求调查评估，为残疾人普遍提供基本康复服务，为困难残疾人实施康复辅助器具公益性配置项目，为残疾孤儿实施孤儿医疗康复、“明天计划”等康复服务项目。</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5.残疾儿童康复服务救助项目。为符合条件的残疾儿童提供手术、辅助器具适配、康复训练等基本康复服务。逐步增加服务内容、提高救助标准，实现残疾儿童“应救尽救”。推动救助标准、救助范围提标扩面，增加康复服务供给。为符合条件的残疾儿童提供手术、辅助器具适配、康复训练等服务，做到应救尽救。</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6.精神卫生综合管理服务。开展严重精神障碍患者日常发现、登记报告、随访管理、服药指导、心理支持和疏导等服务，为家庭照护者提供技能培训、心理支持和疏导等服务。</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7.康复辅助器具服务。推广安全适用的基本型康复辅助器具鼓励实施公益性康复辅助器具适配项目。推进“互联网+”辅助器具服务，通过实物和政府补贴方式</w:t>
            </w:r>
            <w:r>
              <w:rPr>
                <w:rFonts w:hint="eastAsia" w:ascii="FangSong_GB2312" w:eastAsia="SimSun"/>
                <w:sz w:val="28"/>
                <w:szCs w:val="28"/>
                <w:lang w:eastAsia="zh-CN"/>
              </w:rPr>
              <w:t>，</w:t>
            </w:r>
            <w:r>
              <w:rPr>
                <w:rFonts w:hint="eastAsia" w:ascii="FangSong_GB2312" w:eastAsia="FangSong_GB2312"/>
                <w:sz w:val="28"/>
                <w:szCs w:val="28"/>
              </w:rPr>
              <w:t>对符合条件的残疾人适配辅助器具给予资助。</w:t>
            </w:r>
          </w:p>
          <w:p>
            <w:pPr>
              <w:spacing w:line="360" w:lineRule="exact"/>
              <w:ind w:firstLine="560" w:firstLineChars="200"/>
              <w:rPr>
                <w:rFonts w:ascii="FangSong_GB2312" w:eastAsia="FangSong_GB2312"/>
                <w:sz w:val="32"/>
                <w:szCs w:val="32"/>
              </w:rPr>
            </w:pPr>
            <w:r>
              <w:rPr>
                <w:rFonts w:hint="eastAsia" w:ascii="FangSong_GB2312" w:eastAsia="FangSong_GB2312"/>
                <w:sz w:val="28"/>
                <w:szCs w:val="28"/>
              </w:rPr>
              <w:t>8.残疾预防服务。加强出生缺陷综合防治，建立残疾儿童筛查信息共享机制，建立筛查、诊断、康复救助衔接机制，开展社会心理服务，开展防盲治盲、防聋治聋工作，加强安全生产、消防安全、交通安全管理和安全防护设施建设，开展残疾预防宣传教育</w:t>
            </w:r>
          </w:p>
        </w:tc>
      </w:tr>
    </w:tbl>
    <w:p>
      <w:pPr>
        <w:spacing w:line="600" w:lineRule="exact"/>
        <w:ind w:firstLine="640" w:firstLineChars="200"/>
        <w:rPr>
          <w:rFonts w:ascii="KaiTi_GB2312" w:eastAsia="KaiTi_GB2312"/>
          <w:sz w:val="32"/>
          <w:szCs w:val="32"/>
        </w:rPr>
      </w:pPr>
      <w:r>
        <w:rPr>
          <w:rFonts w:hint="eastAsia" w:ascii="KaiTi_GB2312" w:eastAsia="KaiTi_GB2312"/>
          <w:sz w:val="32"/>
          <w:szCs w:val="32"/>
        </w:rPr>
        <w:t>（四）实施特殊教育促进工程</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1.健全残疾人教育体系</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坚持教育发展优先，健全布局合理、学段衔接、普职融通、医教结合的特殊教育体系。落实《残疾人教育条例》《四川教育现代化2035》及实施方案，贯彻落实《峨边彝族自治县第三期特殊教育提升计划（2021—2025年）》，制定实施新一轮特殊教育提升计划。巩固残疾儿童少年义务教育入学率。积极发展残疾儿童学前教育，支持普通幼儿园举办学前教育，促进公办幼儿园接收残疾儿童和孤独症儿童入园，支持特殊教育学校、残疾儿童康复机构对视力、听力、智力残疾儿童和孤独症儿童开展学前康复教育。支持峨边职业中学开展中职教育，使完成义务教育且有意愿的残疾青少年都能接受适宜的中职教育。落实从义务教育到研究生教育全覆盖的资助政策，对家庭经济困难的残疾学生和残疾人子女予以资助。为残疾学生提供辅助器具、特殊学习用品、康复训练和无障碍等支持服务，为残疾学生参加国家教育考试和部分职业考试提供合理便利。</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2.提升残疾人教育质量</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全面落实残疾人教育专家委员会工作制度，做好适龄残疾少年儿童教育安置评估，实现“一人一案”科学教育安置。规范完善送教上门工作机制。进一步加快推进各学段融合教育的实施。健全普通学校随班就读支持保障体系，提升随班就读教育教学质量。支持残疾毕业生从事特殊教育工作。</w:t>
      </w:r>
    </w:p>
    <w:tbl>
      <w:tblPr>
        <w:tblStyle w:val="8"/>
        <w:tblW w:w="9072" w:type="dxa"/>
        <w:jc w:val="center"/>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Layout w:type="fixed"/>
        <w:tblCellMar>
          <w:top w:w="0" w:type="dxa"/>
          <w:left w:w="108" w:type="dxa"/>
          <w:bottom w:w="0" w:type="dxa"/>
          <w:right w:w="108" w:type="dxa"/>
        </w:tblCellMar>
      </w:tblPr>
      <w:tblGrid>
        <w:gridCol w:w="9072"/>
      </w:tblGrid>
      <w:tr>
        <w:tblPrEx>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CellMar>
            <w:top w:w="0" w:type="dxa"/>
            <w:left w:w="108" w:type="dxa"/>
            <w:bottom w:w="0" w:type="dxa"/>
            <w:right w:w="108" w:type="dxa"/>
          </w:tblCellMar>
        </w:tblPrEx>
        <w:trPr>
          <w:trHeight w:val="432" w:hRule="atLeast"/>
          <w:jc w:val="center"/>
        </w:trPr>
        <w:tc>
          <w:tcPr>
            <w:tcW w:w="9072" w:type="dxa"/>
            <w:tcBorders>
              <w:top w:val="single" w:color="808080" w:sz="18" w:space="0"/>
              <w:left w:val="single" w:color="808080" w:sz="18" w:space="0"/>
              <w:bottom w:val="single" w:color="808080" w:sz="18" w:space="0"/>
              <w:right w:val="single" w:color="808080" w:sz="18" w:space="0"/>
            </w:tcBorders>
            <w:shd w:val="clear" w:color="auto" w:fill="D9D9D9"/>
            <w:vAlign w:val="center"/>
          </w:tcPr>
          <w:p>
            <w:pPr>
              <w:jc w:val="center"/>
              <w:rPr>
                <w:rFonts w:ascii="FangSong_GB2312" w:eastAsia="FangSong_GB2312"/>
                <w:sz w:val="32"/>
                <w:szCs w:val="32"/>
              </w:rPr>
            </w:pPr>
            <w:r>
              <w:rPr>
                <w:rFonts w:hint="eastAsia" w:ascii="FangSong_GB2312" w:eastAsia="FangSong_GB2312"/>
                <w:sz w:val="32"/>
                <w:szCs w:val="32"/>
              </w:rPr>
              <w:t>专栏5：残疾人教育</w:t>
            </w:r>
          </w:p>
        </w:tc>
      </w:tr>
      <w:tr>
        <w:tblPrEx>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CellMar>
            <w:top w:w="0" w:type="dxa"/>
            <w:left w:w="108" w:type="dxa"/>
            <w:bottom w:w="0" w:type="dxa"/>
            <w:right w:w="108" w:type="dxa"/>
          </w:tblCellMar>
        </w:tblPrEx>
        <w:trPr>
          <w:trHeight w:val="522" w:hRule="atLeast"/>
          <w:jc w:val="center"/>
        </w:trPr>
        <w:tc>
          <w:tcPr>
            <w:tcW w:w="9072" w:type="dxa"/>
            <w:tcBorders>
              <w:top w:val="single" w:color="808080" w:sz="18" w:space="0"/>
              <w:left w:val="single" w:color="808080" w:sz="18" w:space="0"/>
              <w:bottom w:val="single" w:color="808080" w:sz="18" w:space="0"/>
              <w:right w:val="single" w:color="808080" w:sz="18" w:space="0"/>
            </w:tcBorders>
            <w:shd w:val="clear" w:color="auto" w:fill="FFFFFF"/>
          </w:tcPr>
          <w:p>
            <w:pPr>
              <w:spacing w:line="360" w:lineRule="exact"/>
              <w:ind w:firstLine="560" w:firstLineChars="200"/>
              <w:rPr>
                <w:rFonts w:hint="eastAsia" w:ascii="FangSong_GB2312" w:eastAsia="FangSong_GB2312"/>
                <w:sz w:val="28"/>
                <w:szCs w:val="28"/>
              </w:rPr>
            </w:pPr>
            <w:r>
              <w:rPr>
                <w:rFonts w:hint="eastAsia" w:ascii="FangSong_GB2312" w:eastAsia="FangSong_GB2312"/>
                <w:sz w:val="28"/>
                <w:szCs w:val="28"/>
              </w:rPr>
              <w:t>1.残疾儿童少年义务教育巩固提升项目。全面落实残疾人教育专家委员会工作制度，对适龄残疾儿童少年入学需求进行摸底排查和规范评估，给予科学的教育安置。完善规范送教上门工作机制，残疾儿童少年义务教育入学率</w:t>
            </w:r>
          </w:p>
          <w:p>
            <w:pPr>
              <w:spacing w:line="360" w:lineRule="exact"/>
              <w:ind w:firstLine="560" w:firstLineChars="200"/>
              <w:rPr>
                <w:rFonts w:hint="eastAsia" w:ascii="FangSong_GB2312" w:eastAsia="FangSong_GB2312"/>
                <w:sz w:val="28"/>
                <w:szCs w:val="28"/>
              </w:rPr>
            </w:pPr>
            <w:r>
              <w:rPr>
                <w:rFonts w:hint="eastAsia" w:ascii="FangSong_GB2312" w:eastAsia="FangSong_GB2312"/>
                <w:sz w:val="28"/>
                <w:szCs w:val="28"/>
              </w:rPr>
              <w:t>2.残疾幼儿学前教育发展项目。鼓励普通幼儿园招收具有普通教育能力的残疾幼儿，支持特殊教育学校、残疾儿童康复机构对视力、听力、智力残疾儿童和孤独症儿童开展学前康复教育。</w:t>
            </w:r>
          </w:p>
          <w:p>
            <w:pPr>
              <w:spacing w:line="360" w:lineRule="exact"/>
              <w:ind w:firstLine="560" w:firstLineChars="200"/>
              <w:rPr>
                <w:rFonts w:hint="eastAsia" w:ascii="FangSong_GB2312" w:eastAsia="FangSong_GB2312"/>
                <w:sz w:val="28"/>
                <w:szCs w:val="28"/>
              </w:rPr>
            </w:pPr>
            <w:r>
              <w:rPr>
                <w:rFonts w:hint="eastAsia" w:ascii="FangSong_GB2312" w:eastAsia="FangSong_GB2312"/>
                <w:sz w:val="28"/>
                <w:szCs w:val="28"/>
              </w:rPr>
              <w:t>3.残疾人职业教育提升项目。支持峨边职业高中招收具有接受普通教育能力的残疾学生。</w:t>
            </w:r>
          </w:p>
          <w:p>
            <w:pPr>
              <w:spacing w:line="360" w:lineRule="exact"/>
              <w:ind w:firstLine="560" w:firstLineChars="200"/>
              <w:rPr>
                <w:rFonts w:hint="eastAsia" w:ascii="FangSong_GB2312" w:eastAsia="FangSong_GB2312"/>
                <w:sz w:val="28"/>
                <w:szCs w:val="28"/>
              </w:rPr>
            </w:pPr>
            <w:r>
              <w:rPr>
                <w:rFonts w:hint="eastAsia" w:ascii="FangSong_GB2312" w:eastAsia="FangSong_GB2312"/>
                <w:sz w:val="28"/>
                <w:szCs w:val="28"/>
              </w:rPr>
              <w:t>4.融合教育推广项目。促进普通学校招收具有接受普通教育能力的残疾儿童少年，同等条件下在招生片区内优先安排残疾儿童少年就近就便入学。设置特殊教育资源教室，配备必要的教育教学、康复训练设施设备和资源教师及专业人员。</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5.残疾学生和残疾人子女资助政策。全面落实国家、省、市、县对残疾学生和残疾人子女的教育资助政策。</w:t>
            </w:r>
          </w:p>
        </w:tc>
      </w:tr>
    </w:tbl>
    <w:p>
      <w:pPr>
        <w:spacing w:line="600" w:lineRule="exact"/>
        <w:ind w:firstLine="640" w:firstLineChars="200"/>
        <w:rPr>
          <w:rFonts w:ascii="KaiTi_GB2312" w:eastAsia="KaiTi_GB2312"/>
          <w:sz w:val="32"/>
          <w:szCs w:val="32"/>
        </w:rPr>
      </w:pPr>
      <w:r>
        <w:rPr>
          <w:rFonts w:hint="eastAsia" w:ascii="KaiTi_GB2312" w:eastAsia="KaiTi_GB2312"/>
          <w:sz w:val="32"/>
          <w:szCs w:val="32"/>
        </w:rPr>
        <w:t>（五）实施城乡无障碍建设工程</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1.提升无障碍设施建设管理水平</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落实《无障碍环境建设条例》，新建设施严格执行无障碍相关标准规范。在乡村建设行动、城市更新行动、城镇老旧小区改造、景区建设和文明城市创建等中统筹推进无障碍设施建设和改造。城市道路、公共交通、社区服务设施、公共服务设施和残疾人服务设施、残疾人集中就业单位等加快开展无障碍设施建设和改造。结合厕所革命，加快推广无障碍公共厕所。</w:t>
      </w:r>
      <w:r>
        <w:rPr>
          <w:rFonts w:hint="eastAsia" w:ascii="FangSong_GB2312" w:eastAsia="SimSun"/>
          <w:sz w:val="32"/>
          <w:szCs w:val="32"/>
          <w:lang w:eastAsia="zh-CN"/>
        </w:rPr>
        <w:t>增强</w:t>
      </w:r>
      <w:r>
        <w:rPr>
          <w:rFonts w:hint="eastAsia" w:ascii="FangSong_GB2312" w:eastAsia="FangSong_GB2312"/>
          <w:sz w:val="32"/>
          <w:szCs w:val="32"/>
        </w:rPr>
        <w:t>全社会无障碍意识，加强无障碍监督，保障残疾人、老年人等通行安全和使用便利。</w:t>
      </w:r>
    </w:p>
    <w:p>
      <w:pPr>
        <w:spacing w:line="600" w:lineRule="exact"/>
        <w:ind w:firstLine="640" w:firstLineChars="200"/>
        <w:rPr>
          <w:rFonts w:hint="eastAsia" w:ascii="FangSong_GB2312" w:eastAsia="FangSong_GB2312"/>
          <w:sz w:val="32"/>
          <w:szCs w:val="32"/>
          <w:lang w:val="en-US" w:eastAsia="zh-CN"/>
        </w:rPr>
      </w:pPr>
      <w:r>
        <w:rPr>
          <w:rFonts w:hint="eastAsia" w:ascii="FangSong_GB2312" w:eastAsia="FangSong_GB2312"/>
          <w:sz w:val="32"/>
          <w:szCs w:val="32"/>
        </w:rPr>
        <w:t>2.加快信息无障碍</w:t>
      </w:r>
      <w:r>
        <w:rPr>
          <w:rFonts w:hint="eastAsia" w:ascii="FangSong_GB2312" w:eastAsia="FangSong_GB2312"/>
          <w:sz w:val="32"/>
          <w:szCs w:val="32"/>
          <w:lang w:val="en-US" w:eastAsia="zh-CN"/>
        </w:rPr>
        <w:t>建设</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提升信息无障碍水平。将信息无障碍作为数字社会、数字政府、智慧城市、数字乡村建设的重要组成部分。推动政府政务、公共服务、电子商务等信息无障碍建设，加快普及互联网网站、移动互联网应用程序和自助公共服务设备无障碍。</w:t>
      </w:r>
    </w:p>
    <w:tbl>
      <w:tblPr>
        <w:tblStyle w:val="8"/>
        <w:tblW w:w="8945" w:type="dxa"/>
        <w:tblInd w:w="135" w:type="dxa"/>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Layout w:type="fixed"/>
        <w:tblCellMar>
          <w:top w:w="0" w:type="dxa"/>
          <w:left w:w="108" w:type="dxa"/>
          <w:bottom w:w="0" w:type="dxa"/>
          <w:right w:w="108" w:type="dxa"/>
        </w:tblCellMar>
      </w:tblPr>
      <w:tblGrid>
        <w:gridCol w:w="8945"/>
      </w:tblGrid>
      <w:tr>
        <w:tblPrEx>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CellMar>
            <w:top w:w="0" w:type="dxa"/>
            <w:left w:w="108" w:type="dxa"/>
            <w:bottom w:w="0" w:type="dxa"/>
            <w:right w:w="108" w:type="dxa"/>
          </w:tblCellMar>
        </w:tblPrEx>
        <w:trPr>
          <w:trHeight w:val="432" w:hRule="atLeast"/>
        </w:trPr>
        <w:tc>
          <w:tcPr>
            <w:tcW w:w="8945" w:type="dxa"/>
            <w:tcBorders>
              <w:top w:val="single" w:color="808080" w:sz="18" w:space="0"/>
              <w:left w:val="single" w:color="808080" w:sz="18" w:space="0"/>
              <w:bottom w:val="single" w:color="808080" w:sz="18" w:space="0"/>
              <w:right w:val="single" w:color="808080" w:sz="18" w:space="0"/>
            </w:tcBorders>
            <w:shd w:val="clear" w:color="auto" w:fill="D9D9D9"/>
            <w:vAlign w:val="center"/>
          </w:tcPr>
          <w:p>
            <w:pPr>
              <w:jc w:val="center"/>
              <w:rPr>
                <w:rFonts w:ascii="FangSong_GB2312" w:eastAsia="FangSong_GB2312"/>
                <w:sz w:val="32"/>
                <w:szCs w:val="32"/>
              </w:rPr>
            </w:pPr>
            <w:r>
              <w:rPr>
                <w:rFonts w:hint="eastAsia" w:ascii="FangSong_GB2312" w:eastAsia="FangSong_GB2312"/>
                <w:sz w:val="32"/>
                <w:szCs w:val="32"/>
              </w:rPr>
              <w:t>专栏6：无障碍建设</w:t>
            </w:r>
          </w:p>
        </w:tc>
      </w:tr>
      <w:tr>
        <w:tblPrEx>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CellMar>
            <w:top w:w="0" w:type="dxa"/>
            <w:left w:w="108" w:type="dxa"/>
            <w:bottom w:w="0" w:type="dxa"/>
            <w:right w:w="108" w:type="dxa"/>
          </w:tblCellMar>
        </w:tblPrEx>
        <w:trPr>
          <w:trHeight w:val="522" w:hRule="atLeast"/>
        </w:trPr>
        <w:tc>
          <w:tcPr>
            <w:tcW w:w="8945" w:type="dxa"/>
            <w:tcBorders>
              <w:top w:val="single" w:color="808080" w:sz="18" w:space="0"/>
              <w:left w:val="single" w:color="808080" w:sz="18" w:space="0"/>
              <w:bottom w:val="single" w:color="808080" w:sz="18" w:space="0"/>
              <w:right w:val="single" w:color="808080" w:sz="18" w:space="0"/>
            </w:tcBorders>
            <w:shd w:val="clear" w:color="auto" w:fill="FFFFFF"/>
          </w:tcPr>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（一）无障碍设施</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1.道路交通无障碍。城市主要道路、商业区和大型居住区配备无障碍设施。</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2.公共服务设施无障碍。加快推动医疗、教育、文化、体育、交通等公共服务设施和特殊教育、康复、社会福利等残疾人服务设施无障碍改造。</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3.社区和家居无障碍。居住建筑、居住小区建设无障碍设施。为困难重度残疾人家庭实施无障碍改造。</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4.无障碍公共厕所。加快推进公共服务设施、交通设施、旅游景区等无障碍公共厕所建设。</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（二）信息无障碍</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1.互联网网站和移动互联网应用程序信息无障碍。推进政府门户网站、政务服务平台和网上办事大厅信息无障碍建设。</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2.自助服务终端信息无障碍。推进医院自助就医设备、自动售卖设备、银行自动柜员机等自助公共服务设备的无障碍改造。</w:t>
            </w:r>
          </w:p>
          <w:p>
            <w:pPr>
              <w:spacing w:line="360" w:lineRule="exact"/>
              <w:ind w:firstLine="560" w:firstLineChars="200"/>
              <w:rPr>
                <w:rFonts w:ascii="FangSong_GB2312" w:eastAsia="FangSong_GB2312"/>
                <w:sz w:val="32"/>
                <w:szCs w:val="32"/>
              </w:rPr>
            </w:pPr>
            <w:r>
              <w:rPr>
                <w:rFonts w:hint="eastAsia" w:ascii="FangSong_GB2312" w:eastAsia="FangSong_GB2312"/>
                <w:sz w:val="28"/>
                <w:szCs w:val="28"/>
              </w:rPr>
              <w:t>3.应急服务信息无障碍。把国家通用手语、通用盲文作为应急语言文字服务内容。</w:t>
            </w:r>
          </w:p>
        </w:tc>
      </w:tr>
    </w:tbl>
    <w:p>
      <w:pPr>
        <w:spacing w:line="600" w:lineRule="exact"/>
        <w:ind w:firstLine="640" w:firstLineChars="200"/>
        <w:rPr>
          <w:rFonts w:ascii="KaiTi_GB2312" w:eastAsia="KaiTi_GB2312"/>
          <w:sz w:val="32"/>
          <w:szCs w:val="32"/>
        </w:rPr>
      </w:pPr>
      <w:r>
        <w:rPr>
          <w:rFonts w:hint="eastAsia" w:ascii="KaiTi_GB2312" w:eastAsia="KaiTi_GB2312"/>
          <w:sz w:val="32"/>
          <w:szCs w:val="32"/>
        </w:rPr>
        <w:t>（六）实施残疾人组织保障工程</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1.完善残疾人组织体系</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落实中央群团改革精神和省市残联改革方案，围绕“强三性</w:t>
      </w:r>
      <w:r>
        <w:rPr>
          <w:rFonts w:hint="eastAsia" w:ascii="FangSong_GB2312" w:eastAsia="SimSun"/>
          <w:sz w:val="32"/>
          <w:szCs w:val="32"/>
          <w:lang w:eastAsia="zh-CN"/>
        </w:rPr>
        <w:t>”“</w:t>
      </w:r>
      <w:r>
        <w:rPr>
          <w:rFonts w:hint="eastAsia" w:ascii="FangSong_GB2312" w:eastAsia="FangSong_GB2312"/>
          <w:sz w:val="32"/>
          <w:szCs w:val="32"/>
        </w:rPr>
        <w:t>去四化”要求，深化残联组织改革。加强和改进专门协会工作，选优配强协会负责人，加强专门协会的组织建设、能力建设和诚信自律建设。夯实基层组织基础，加强乡（镇）残联、村（社区）残协规范化建设。</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2.发挥残疾人组织桥梁纽带作用</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县、乡（镇）残联、专门协会要认真学习贯彻习近平新时代中国特色社会主义思想和习近平总书记关于残疾人事业的重要指示批示精神，以政治建设为统领，落实从严治党各项任务，进一步增强“四个意识”、坚定“四个自信”、做到“两个维护”，切实履行根本政治职责，发挥好党和政府联系残疾人的桥梁和纽带作用，巩固党在残疾群众中执政基础。县残联要切实履行“代表、服务、管理”的基本职能职责。切实发挥好参谋作用，组织、协调、指导、督促残工委成员单位履职尽责。强化乡镇残联规范化建设，加强和改进村（社区）残疾人协会工作，扩大残疾人联系服务覆盖面。支持残疾人专门协会更好履行“代表、服务、维权、监督”职能，有效发挥协会主体作用。</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3.加强残疾人工作队伍建设</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实施残疾人组织建设“强基育人”工程，注重从基层选拔优秀干部进入残联工作。加强残疾人干部的培养选拔与人才储备，实现残联班子成员中残疾人干部配备的全覆盖。通过公益性岗位、合同制管理等途径，解决好残疾人专职委员待遇，发挥好残疾人专职委员作用。重视县乡残联残疾人干部、年轻干部、基层干部培养选拔。加强各级残联党风廉政建设和反腐败斗争。实施残联系统干部能力提升计划，每年组织1期以上残联系统干部集中培训班，实现对县、乡（镇）残联工作队伍培训的全覆盖。对县、乡（镇）残疾人专职工作者至少集中轮训一次。</w:t>
      </w:r>
    </w:p>
    <w:tbl>
      <w:tblPr>
        <w:tblStyle w:val="8"/>
        <w:tblW w:w="9072" w:type="dxa"/>
        <w:tblInd w:w="135" w:type="dxa"/>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Layout w:type="fixed"/>
        <w:tblCellMar>
          <w:top w:w="0" w:type="dxa"/>
          <w:left w:w="108" w:type="dxa"/>
          <w:bottom w:w="0" w:type="dxa"/>
          <w:right w:w="108" w:type="dxa"/>
        </w:tblCellMar>
      </w:tblPr>
      <w:tblGrid>
        <w:gridCol w:w="9072"/>
      </w:tblGrid>
      <w:tr>
        <w:tblPrEx>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CellMar>
            <w:top w:w="0" w:type="dxa"/>
            <w:left w:w="108" w:type="dxa"/>
            <w:bottom w:w="0" w:type="dxa"/>
            <w:right w:w="108" w:type="dxa"/>
          </w:tblCellMar>
        </w:tblPrEx>
        <w:trPr>
          <w:trHeight w:val="600" w:hRule="atLeast"/>
        </w:trPr>
        <w:tc>
          <w:tcPr>
            <w:tcW w:w="9072" w:type="dxa"/>
            <w:tcBorders>
              <w:top w:val="single" w:color="808080" w:sz="18" w:space="0"/>
              <w:left w:val="single" w:color="808080" w:sz="18" w:space="0"/>
              <w:bottom w:val="single" w:color="808080" w:sz="18" w:space="0"/>
              <w:right w:val="single" w:color="808080" w:sz="18" w:space="0"/>
            </w:tcBorders>
            <w:shd w:val="clear" w:color="auto" w:fill="D9D9D9"/>
            <w:vAlign w:val="center"/>
          </w:tcPr>
          <w:p>
            <w:pPr>
              <w:jc w:val="center"/>
              <w:rPr>
                <w:rFonts w:ascii="FangSong_GB2312" w:eastAsia="FangSong_GB2312"/>
                <w:sz w:val="32"/>
                <w:szCs w:val="32"/>
              </w:rPr>
            </w:pPr>
            <w:r>
              <w:rPr>
                <w:rFonts w:hint="eastAsia" w:ascii="FangSong_GB2312" w:eastAsia="FangSong_GB2312"/>
                <w:sz w:val="32"/>
                <w:szCs w:val="32"/>
              </w:rPr>
              <w:t>专栏7：残疾人组织保障</w:t>
            </w:r>
          </w:p>
        </w:tc>
      </w:tr>
      <w:tr>
        <w:tblPrEx>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CellMar>
            <w:top w:w="0" w:type="dxa"/>
            <w:left w:w="108" w:type="dxa"/>
            <w:bottom w:w="0" w:type="dxa"/>
            <w:right w:w="108" w:type="dxa"/>
          </w:tblCellMar>
        </w:tblPrEx>
        <w:trPr>
          <w:trHeight w:val="1902" w:hRule="atLeast"/>
        </w:trPr>
        <w:tc>
          <w:tcPr>
            <w:tcW w:w="9072" w:type="dxa"/>
            <w:tcBorders>
              <w:top w:val="single" w:color="808080" w:sz="18" w:space="0"/>
              <w:left w:val="single" w:color="808080" w:sz="18" w:space="0"/>
              <w:bottom w:val="single" w:color="808080" w:sz="18" w:space="0"/>
              <w:right w:val="single" w:color="808080" w:sz="18" w:space="0"/>
            </w:tcBorders>
            <w:shd w:val="clear" w:color="auto" w:fill="FFFFFF"/>
          </w:tcPr>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1.残疾人专门协会规范化建设。加强对五个专门协会人员、场地、设备设施和经费保障。</w:t>
            </w:r>
          </w:p>
          <w:p>
            <w:pPr>
              <w:spacing w:line="360" w:lineRule="exact"/>
              <w:ind w:firstLine="560" w:firstLineChars="200"/>
              <w:rPr>
                <w:rFonts w:ascii="FangSong_GB2312" w:eastAsia="FangSong_GB2312"/>
                <w:sz w:val="32"/>
                <w:szCs w:val="32"/>
              </w:rPr>
            </w:pPr>
            <w:r>
              <w:rPr>
                <w:rFonts w:hint="eastAsia" w:ascii="FangSong_GB2312" w:eastAsia="FangSong_GB2312"/>
                <w:sz w:val="28"/>
                <w:szCs w:val="28"/>
              </w:rPr>
              <w:t>2.残联系统干部能力提升计划。每年组织1期以上残联系统干部集中培训班，实现对县、乡（镇）残联工作队伍培训的全覆盖。对县、乡（镇）级残疾人专职工作者至少集中轮训一次。</w:t>
            </w:r>
          </w:p>
        </w:tc>
      </w:tr>
    </w:tbl>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（七）开展残疾人合法权益维护提升行动</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1.提高残疾人事业法治化水平</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落实宪法、民法典等法律法规关于保障残疾人权益的规定，推动残疾人保障法等法律法规的有效实施。将涉残相关法律法规宣传教育纳入“八五”普法规划，认真落实“谁执法、谁普法”普法责任制。</w:t>
      </w:r>
      <w:r>
        <w:rPr>
          <w:rFonts w:hint="eastAsia" w:ascii="FangSong_GB2312" w:eastAsia="SimSun"/>
          <w:sz w:val="32"/>
          <w:szCs w:val="32"/>
          <w:lang w:eastAsia="zh-CN"/>
        </w:rPr>
        <w:t>加大</w:t>
      </w:r>
      <w:r>
        <w:rPr>
          <w:rFonts w:hint="eastAsia" w:ascii="FangSong_GB2312" w:eastAsia="FangSong_GB2312"/>
          <w:sz w:val="32"/>
          <w:szCs w:val="32"/>
        </w:rPr>
        <w:t>全媒体普法宣传力度，面向残疾人群体精准普法。配合各级人大、政协开展残疾人保障法等法律法规执法检查、视察和调研。</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2.创新残疾人法律服务和权益维护</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开展残疾人尊法学法守法用法专项行动。完善残疾人法律救助工作协调机制，规范工作运行。支持法律服务机构为残疾人提供及时有效的法律服务，加强对残疾人的司法救助，方便残疾人诉讼。发挥“12345”残疾人服务热线，充分发挥网络信访平台作用，建立健全残疾人权益维护应急处置机制，坚决依法打击侵害残疾人合法权益的违法犯罪行为。拓宽残疾人和残疾人组织民主参与、民主协商渠道，有效保障残疾人的知情权、参与权、表达权、监督权，支持更多残疾人、残疾人亲友和残疾人工作者进入各级人大、政协并提供履职便利。</w:t>
      </w:r>
    </w:p>
    <w:p>
      <w:pPr>
        <w:spacing w:line="600" w:lineRule="exact"/>
        <w:ind w:firstLine="640" w:firstLineChars="200"/>
        <w:rPr>
          <w:rFonts w:ascii="KaiTi_GB2312" w:eastAsia="KaiTi_GB2312"/>
          <w:sz w:val="32"/>
          <w:szCs w:val="32"/>
        </w:rPr>
      </w:pPr>
      <w:r>
        <w:rPr>
          <w:rFonts w:hint="eastAsia" w:ascii="KaiTi_GB2312" w:eastAsia="KaiTi_GB2312"/>
          <w:sz w:val="32"/>
          <w:szCs w:val="32"/>
        </w:rPr>
        <w:t>（八）开展残疾人文化体育事业提升行动</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1.普及残疾人公共文化服务和群众性文化活动</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将残疾人文化艺术纳入全县公共文化艺术范围统筹推进，依托东西协作平台，联合举办残疾人文化艺术汇演，展示东西协作成果和我县残疾工作者和残疾人的风采，加快培育我县残疾人特殊文艺人才。在全国助残日、残疾人文化周、国际残疾人日期间积极开展群众文化活动。继续开展文化进家庭“五个一”项目，推动残疾人群众文化和特殊艺术发展。</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2.推动残疾人体育全面发展</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将残疾人群众体育纳入全民健身运动进行统筹安排、统一实施。贯彻《中华人民共和国体育法》，保障残疾人参与体育健身的基本权益和特殊需求。落实《关于进一步加强四川残疾人体育工作的实施意见》，促进残奥、听奥、特奥、群众体育全面协调发展。发挥好本地康复（健身）体育活动室的引领示范作用，继续开展残疾人康复（健身）体育进家庭、进社区项目。组织好全国特奥日、残疾人健身周等节日的群众体育活动。注重挖掘培养选拔有潜力的体育人才苗子，着力推进我</w:t>
      </w:r>
      <w:r>
        <w:rPr>
          <w:rFonts w:hint="eastAsia" w:ascii="FangSong_GB2312" w:eastAsia="SimSun"/>
          <w:sz w:val="32"/>
          <w:szCs w:val="32"/>
          <w:lang w:eastAsia="zh-CN"/>
        </w:rPr>
        <w:t>县</w:t>
      </w:r>
      <w:r>
        <w:rPr>
          <w:rFonts w:hint="eastAsia" w:ascii="FangSong_GB2312" w:eastAsia="FangSong_GB2312"/>
          <w:sz w:val="32"/>
          <w:szCs w:val="32"/>
        </w:rPr>
        <w:t>残疾人竞技体育发展。选拔参加四川省第十届残疾人运动会暨第五届特奥会。</w:t>
      </w:r>
    </w:p>
    <w:tbl>
      <w:tblPr>
        <w:tblStyle w:val="8"/>
        <w:tblW w:w="9036" w:type="dxa"/>
        <w:jc w:val="center"/>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Layout w:type="fixed"/>
        <w:tblCellMar>
          <w:top w:w="0" w:type="dxa"/>
          <w:left w:w="108" w:type="dxa"/>
          <w:bottom w:w="0" w:type="dxa"/>
          <w:right w:w="108" w:type="dxa"/>
        </w:tblCellMar>
      </w:tblPr>
      <w:tblGrid>
        <w:gridCol w:w="9036"/>
      </w:tblGrid>
      <w:tr>
        <w:tblPrEx>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CellMar>
            <w:top w:w="0" w:type="dxa"/>
            <w:left w:w="108" w:type="dxa"/>
            <w:bottom w:w="0" w:type="dxa"/>
            <w:right w:w="108" w:type="dxa"/>
          </w:tblCellMar>
        </w:tblPrEx>
        <w:trPr>
          <w:trHeight w:val="599" w:hRule="atLeast"/>
          <w:jc w:val="center"/>
        </w:trPr>
        <w:tc>
          <w:tcPr>
            <w:tcW w:w="9036" w:type="dxa"/>
            <w:tcBorders>
              <w:top w:val="single" w:color="808080" w:sz="18" w:space="0"/>
              <w:left w:val="single" w:color="808080" w:sz="18" w:space="0"/>
              <w:bottom w:val="single" w:color="808080" w:sz="18" w:space="0"/>
              <w:right w:val="single" w:color="808080" w:sz="18" w:space="0"/>
            </w:tcBorders>
            <w:shd w:val="clear" w:color="auto" w:fill="D9D9D9"/>
            <w:vAlign w:val="center"/>
          </w:tcPr>
          <w:p>
            <w:pPr>
              <w:jc w:val="center"/>
              <w:rPr>
                <w:rFonts w:ascii="FangSong_GB2312" w:eastAsia="FangSong_GB2312"/>
                <w:sz w:val="32"/>
                <w:szCs w:val="32"/>
              </w:rPr>
            </w:pPr>
            <w:r>
              <w:rPr>
                <w:rFonts w:hint="eastAsia" w:ascii="FangSong_GB2312" w:eastAsia="FangSong_GB2312"/>
                <w:sz w:val="32"/>
                <w:szCs w:val="32"/>
              </w:rPr>
              <w:t>专栏8：残疾人文化体育服务</w:t>
            </w:r>
          </w:p>
        </w:tc>
      </w:tr>
      <w:tr>
        <w:tblPrEx>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CellMar>
            <w:top w:w="0" w:type="dxa"/>
            <w:left w:w="108" w:type="dxa"/>
            <w:bottom w:w="0" w:type="dxa"/>
            <w:right w:w="108" w:type="dxa"/>
          </w:tblCellMar>
        </w:tblPrEx>
        <w:trPr>
          <w:trHeight w:val="522" w:hRule="atLeast"/>
          <w:jc w:val="center"/>
        </w:trPr>
        <w:tc>
          <w:tcPr>
            <w:tcW w:w="9036" w:type="dxa"/>
            <w:tcBorders>
              <w:top w:val="single" w:color="808080" w:sz="18" w:space="0"/>
              <w:left w:val="single" w:color="808080" w:sz="18" w:space="0"/>
              <w:bottom w:val="single" w:color="808080" w:sz="18" w:space="0"/>
              <w:right w:val="single" w:color="808080" w:sz="18" w:space="0"/>
            </w:tcBorders>
            <w:shd w:val="clear" w:color="auto" w:fill="FFFFFF"/>
          </w:tcPr>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（一）残疾人文化服务</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1.“五个一”文化进家庭、进社区项目。为困难、重度残疾人家庭开展“五个一”文化服务（读一本书，看一场电影，游一次园、参观一次展览、参加一次文化活动）。</w:t>
            </w:r>
          </w:p>
          <w:p>
            <w:pPr>
              <w:spacing w:line="360" w:lineRule="exact"/>
              <w:ind w:firstLine="560" w:firstLineChars="200"/>
              <w:rPr>
                <w:rFonts w:hint="eastAsia" w:ascii="FangSong_GB2312" w:eastAsia="FangSong_GB2312"/>
                <w:sz w:val="28"/>
                <w:szCs w:val="28"/>
                <w:lang w:val="en-US" w:eastAsia="zh-CN"/>
              </w:rPr>
            </w:pPr>
            <w:r>
              <w:rPr>
                <w:rFonts w:hint="eastAsia" w:ascii="FangSong_GB2312" w:eastAsia="FangSong_GB2312"/>
                <w:sz w:val="28"/>
                <w:szCs w:val="28"/>
              </w:rPr>
              <w:t>2.开展群众文化活动。在全国助残日、残疾人文化周、国际残疾人日期间积极开展</w:t>
            </w:r>
            <w:r>
              <w:rPr>
                <w:rFonts w:hint="eastAsia" w:ascii="FangSong_GB2312" w:eastAsia="FangSong_GB2312"/>
                <w:sz w:val="28"/>
                <w:szCs w:val="28"/>
                <w:lang w:val="en-US" w:eastAsia="zh-CN"/>
              </w:rPr>
              <w:t>群众文化活动。</w:t>
            </w:r>
          </w:p>
          <w:p>
            <w:pPr>
              <w:spacing w:line="360" w:lineRule="exact"/>
              <w:ind w:firstLine="560" w:firstLineChars="200"/>
              <w:rPr>
                <w:rFonts w:hint="eastAsia" w:ascii="FangSong_GB2312" w:eastAsia="FangSong_GB2312"/>
                <w:sz w:val="28"/>
                <w:szCs w:val="28"/>
                <w:lang w:val="en-US" w:eastAsia="zh-CN"/>
              </w:rPr>
            </w:pPr>
            <w:r>
              <w:rPr>
                <w:rFonts w:hint="eastAsia" w:ascii="FangSong_GB2312" w:eastAsia="FangSong_GB2312"/>
                <w:sz w:val="28"/>
                <w:szCs w:val="28"/>
                <w:lang w:val="en-US" w:eastAsia="zh-CN"/>
              </w:rPr>
              <w:t>3.举办残疾人文艺汇演活动。依托东西协作平台，联合举办残疾人文化艺术汇演，展示东西协作成果和我县残疾工作者和残疾人的风采，加快培育我县残疾人特殊文艺人才。</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（二）残疾人体育</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1.残疾人竞技体育提升项目。进一步健全残疾人运动员人才建设体系，完善竞技体育训练机制，促进残奥、特奥体育运动协调发展，不断提升峨边残疾人竞技体育水平。选拔参加四川省第十届残疾人运动会暨第五届特奥会。</w:t>
            </w:r>
          </w:p>
          <w:p>
            <w:pPr>
              <w:spacing w:line="360" w:lineRule="exact"/>
              <w:ind w:firstLine="560" w:firstLineChars="200"/>
              <w:rPr>
                <w:rFonts w:ascii="FangSong_GB2312" w:eastAsia="FangSong_GB2312"/>
                <w:sz w:val="32"/>
                <w:szCs w:val="32"/>
              </w:rPr>
            </w:pPr>
            <w:r>
              <w:rPr>
                <w:rFonts w:hint="eastAsia" w:ascii="FangSong_GB2312" w:eastAsia="FangSong_GB2312"/>
                <w:sz w:val="28"/>
                <w:szCs w:val="28"/>
              </w:rPr>
              <w:t>2.残疾人康复健身体育行动。推广适合残疾人康复健身体育项目、方法和器材，发挥康复（健身）体育活动示范点引领示范作用。继续实施残疾人康复（健身）体育进家庭（社区）项目。发展残疾人群众体育运动。</w:t>
            </w:r>
          </w:p>
        </w:tc>
      </w:tr>
    </w:tbl>
    <w:p>
      <w:pPr>
        <w:spacing w:line="600" w:lineRule="exact"/>
        <w:ind w:firstLine="640" w:firstLineChars="200"/>
        <w:rPr>
          <w:rFonts w:hint="eastAsia" w:ascii="KaiTi_GB2312" w:eastAsia="KaiTi_GB2312"/>
          <w:sz w:val="32"/>
          <w:szCs w:val="32"/>
        </w:rPr>
      </w:pPr>
      <w:r>
        <w:rPr>
          <w:rFonts w:hint="eastAsia" w:ascii="KaiTi_GB2312" w:eastAsia="KaiTi_GB2312"/>
          <w:sz w:val="32"/>
          <w:szCs w:val="32"/>
        </w:rPr>
        <w:t>（九）开展残疾人发展环境优化提升行动</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1.推进残疾人服务信息化建设</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持续深化优化“量体裁衣”式残疾人服务。加强与县残工委成员单位涉残数据共享、比对，</w:t>
      </w:r>
      <w:r>
        <w:rPr>
          <w:rFonts w:hint="eastAsia" w:ascii="FangSong_GB2312" w:eastAsia="SimSun"/>
          <w:sz w:val="32"/>
          <w:szCs w:val="32"/>
          <w:lang w:eastAsia="zh-CN"/>
        </w:rPr>
        <w:t>推动</w:t>
      </w:r>
      <w:r>
        <w:rPr>
          <w:rFonts w:hint="eastAsia" w:ascii="FangSong_GB2312" w:eastAsia="FangSong_GB2312"/>
          <w:sz w:val="32"/>
          <w:szCs w:val="32"/>
        </w:rPr>
        <w:t>县残工委成员单位间整合资源、聚能提质，共同推动残疾人事业高质量发展。做好与大数据平台系统对接，加大残疾人大数据的分析运用转化，进一步规范“量服”工作流程，推动更多残疾人基本公共服务项目纳入大数据中心的政务服务平台，逐步实现“一网通办”，推行残疾人服务“最多跑一次”，助推残疾人平等参与社会，更好满足残疾人美好生活新期待。加强残疾人服务设施和基层残疾人组织的信息基础设施建设。</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2.加大残疾人事业宣传力度</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深入开展习近平新时代中国特色社会主义思想学习教育，学习宣传习近平总书记关于残疾人事业的重要指示批示精神，坚持以社会主义核心价值观为引领，厚植残疾人事业发展的思想文化基础。将扶残助残纳入公民道德建设、文明创建活动建设。利用全国助残日、国际残疾人日等举办主题活动。加大残疾人事业宣传力度，大力弘扬人道主义精神和平等、参与、共享、融合的现代文明理念。开展好自强模范、助残先进典型等评选表彰活动，积极做好残疾人劳模、五一劳动奖章、三八红旗手等推荐评选工作，发挥残疾人先进典型的榜样引领作用，营造全社会理解、尊重、关心、帮助残疾人的良好社会氛围。</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3.引导培育助残社会组织发展</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引导培育和规范助残社会组织发展。将残疾人基本公共服务作为政府购买服务的重点领域，完善政府购买助残服务指导性目录，扩大购买服务的范围和规模，加强全过程绩效管理。</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4.加强志愿助残工作</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推动志愿者助残服务的项目化运作和制度化管理。突出需求导向和精准服务，完善志愿助残服务平台建设，为残疾人提供类型化、多样化、精细化的服务。群团组织和企事业单位广泛开展助残慈善活动，开展常态化、专业化的助残志愿服务，推动助残志愿服务向乡村延伸。</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5.规范残疾等级评定和残疾人证发放管理</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进一步规范残疾等级评定和残疾人证核发管理。严格残疾人证办理标准，简化程序、提升效率，对前往医疗机构评残困难的肢体残疾人实施上门评残服务，并通过集中评定、网上办理、送证上门等形式，为行动不便、经济困难的残疾人提供便利快捷办证服务。为低收入和重度残疾人残疾评定提供补贴和便利服务。推广第三代残疾人证，鼓励残疾人申领电子残疾人证。推进残疾人证“跨省通办”工作。加强残疾人事业统计工作。</w:t>
      </w:r>
    </w:p>
    <w:tbl>
      <w:tblPr>
        <w:tblStyle w:val="8"/>
        <w:tblW w:w="9072" w:type="dxa"/>
        <w:jc w:val="center"/>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Layout w:type="fixed"/>
        <w:tblCellMar>
          <w:top w:w="0" w:type="dxa"/>
          <w:left w:w="108" w:type="dxa"/>
          <w:bottom w:w="0" w:type="dxa"/>
          <w:right w:w="108" w:type="dxa"/>
        </w:tblCellMar>
      </w:tblPr>
      <w:tblGrid>
        <w:gridCol w:w="9072"/>
      </w:tblGrid>
      <w:tr>
        <w:tblPrEx>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CellMar>
            <w:top w:w="0" w:type="dxa"/>
            <w:left w:w="108" w:type="dxa"/>
            <w:bottom w:w="0" w:type="dxa"/>
            <w:right w:w="108" w:type="dxa"/>
          </w:tblCellMar>
        </w:tblPrEx>
        <w:trPr>
          <w:trHeight w:val="447" w:hRule="atLeast"/>
          <w:jc w:val="center"/>
        </w:trPr>
        <w:tc>
          <w:tcPr>
            <w:tcW w:w="9072" w:type="dxa"/>
            <w:tcBorders>
              <w:top w:val="single" w:color="808080" w:sz="18" w:space="0"/>
              <w:left w:val="single" w:color="808080" w:sz="18" w:space="0"/>
              <w:bottom w:val="single" w:color="808080" w:sz="18" w:space="0"/>
              <w:right w:val="single" w:color="808080" w:sz="18" w:space="0"/>
            </w:tcBorders>
            <w:shd w:val="clear" w:color="auto" w:fill="D9D9D9"/>
            <w:vAlign w:val="center"/>
          </w:tcPr>
          <w:p>
            <w:pPr>
              <w:jc w:val="center"/>
              <w:rPr>
                <w:rFonts w:ascii="FangSong_GB2312" w:eastAsia="FangSong_GB2312"/>
                <w:sz w:val="32"/>
                <w:szCs w:val="32"/>
              </w:rPr>
            </w:pPr>
            <w:r>
              <w:rPr>
                <w:rFonts w:hint="eastAsia" w:ascii="FangSong_GB2312" w:eastAsia="FangSong_GB2312"/>
                <w:sz w:val="32"/>
                <w:szCs w:val="32"/>
              </w:rPr>
              <w:t>专栏9：残疾人友好环境提升</w:t>
            </w:r>
          </w:p>
        </w:tc>
      </w:tr>
      <w:tr>
        <w:tblPrEx>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CellMar>
            <w:top w:w="0" w:type="dxa"/>
            <w:left w:w="108" w:type="dxa"/>
            <w:bottom w:w="0" w:type="dxa"/>
            <w:right w:w="108" w:type="dxa"/>
          </w:tblCellMar>
        </w:tblPrEx>
        <w:trPr>
          <w:trHeight w:val="522" w:hRule="atLeast"/>
          <w:jc w:val="center"/>
        </w:trPr>
        <w:tc>
          <w:tcPr>
            <w:tcW w:w="9072" w:type="dxa"/>
            <w:tcBorders>
              <w:top w:val="single" w:color="808080" w:sz="18" w:space="0"/>
              <w:left w:val="single" w:color="808080" w:sz="18" w:space="0"/>
              <w:bottom w:val="single" w:color="808080" w:sz="18" w:space="0"/>
              <w:right w:val="single" w:color="808080" w:sz="18" w:space="0"/>
            </w:tcBorders>
            <w:shd w:val="clear" w:color="auto" w:fill="FFFFFF"/>
          </w:tcPr>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1.“量体裁衣”式残疾人服务系统项目。优化完善“量体裁衣”式残疾人服务系统，加快与政府残工委成员单位涉残数据共享，做好与省残联大数据平台系统全面对接，加强残疾人服务大数据建设。</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2.残疾人自强自立先进和助残先进典型表彰及宣传系列活动。常态化开展全县自强自立残疾人先进典型、残疾人事业优秀工作者宣传活动，每年</w:t>
            </w:r>
            <w:r>
              <w:rPr>
                <w:rFonts w:hint="eastAsia" w:ascii="FangSong_GB2312" w:eastAsia="SimSun"/>
                <w:sz w:val="28"/>
                <w:szCs w:val="28"/>
                <w:lang w:eastAsia="zh-CN"/>
              </w:rPr>
              <w:t>至少集中宣传一次</w:t>
            </w:r>
            <w:r>
              <w:rPr>
                <w:rFonts w:hint="eastAsia" w:ascii="FangSong_GB2312" w:eastAsia="FangSong_GB2312"/>
                <w:sz w:val="28"/>
                <w:szCs w:val="28"/>
              </w:rPr>
              <w:t>。</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3.助残社会组织培育孵化。通过多形式线上线下培训、参观实训、政府购买服务等方式，培育孵化助残社会组织。</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4.加强志愿助残工作。群团组织和企事业单位广泛开展助残慈善活动，开展常态化、专业化的助残志愿服务。</w:t>
            </w:r>
          </w:p>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5.助残志愿者服务平台。完善优化志愿助残服务平台，为残疾人提供类型化、多样化、精细化的服务。为低收入和重度残疾人残疾评定提供补贴和便利服务。</w:t>
            </w:r>
          </w:p>
          <w:p>
            <w:pPr>
              <w:spacing w:line="360" w:lineRule="exact"/>
              <w:ind w:firstLine="560" w:firstLineChars="200"/>
              <w:rPr>
                <w:rFonts w:ascii="FangSong_GB2312" w:eastAsia="FangSong_GB2312"/>
                <w:sz w:val="32"/>
                <w:szCs w:val="32"/>
              </w:rPr>
            </w:pPr>
            <w:r>
              <w:rPr>
                <w:rFonts w:hint="eastAsia" w:ascii="FangSong_GB2312" w:eastAsia="FangSong_GB2312"/>
                <w:sz w:val="28"/>
                <w:szCs w:val="28"/>
              </w:rPr>
              <w:t>6.残疾人证的规范管理。对前往医疗机构评残困难的肢体残疾人实施上门评残服务，为低收入和重度残疾人残疾评定提供补贴和便利服务。推广第三代残疾人证，鼓励残疾人申领电子残疾人证。推进残疾人证“跨省通办”工作。加强残疾人事业统计工作。</w:t>
            </w:r>
          </w:p>
        </w:tc>
      </w:tr>
    </w:tbl>
    <w:p>
      <w:pPr>
        <w:spacing w:line="600" w:lineRule="exact"/>
        <w:ind w:firstLine="640" w:firstLineChars="200"/>
        <w:rPr>
          <w:rFonts w:ascii="SimHei" w:hAnsi="SimHei" w:eastAsia="SimHei"/>
          <w:sz w:val="32"/>
          <w:szCs w:val="32"/>
        </w:rPr>
      </w:pPr>
      <w:r>
        <w:rPr>
          <w:rFonts w:hint="eastAsia" w:ascii="SimHei" w:hAnsi="SimHei" w:eastAsia="SimHei"/>
          <w:sz w:val="32"/>
          <w:szCs w:val="32"/>
        </w:rPr>
        <w:t>四、保障措施</w:t>
      </w:r>
    </w:p>
    <w:p>
      <w:pPr>
        <w:spacing w:line="600" w:lineRule="exact"/>
        <w:ind w:firstLine="640" w:firstLineChars="200"/>
        <w:rPr>
          <w:rFonts w:ascii="KaiTi_GB2312" w:eastAsia="KaiTi_GB2312"/>
          <w:sz w:val="32"/>
          <w:szCs w:val="32"/>
        </w:rPr>
      </w:pPr>
      <w:r>
        <w:rPr>
          <w:rFonts w:hint="eastAsia" w:ascii="KaiTi_GB2312" w:eastAsia="KaiTi_GB2312"/>
          <w:sz w:val="32"/>
          <w:szCs w:val="32"/>
        </w:rPr>
        <w:t>（一）健全领导机制和工作机制</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完善党委领导、政府负责、部门协同，社会参与、市场推动、残疾人组织充分发挥作用的残疾人事业领导体制、工作机制。在县委领导下，县政府残工委要统揽残疾人各项工作，整合服务残疾人各方力量，统揽各项涉残制度和政策，加强统筹协调，明确职责分工，动员各方广泛参与，形成齐抓共管、密切配合的工作局面，全面推进我县残疾人事业高质量发展。</w:t>
      </w:r>
    </w:p>
    <w:p>
      <w:pPr>
        <w:spacing w:line="600" w:lineRule="exact"/>
        <w:ind w:firstLine="640" w:firstLineChars="200"/>
        <w:rPr>
          <w:rFonts w:ascii="KaiTi_GB2312" w:eastAsia="KaiTi_GB2312"/>
          <w:sz w:val="32"/>
          <w:szCs w:val="32"/>
        </w:rPr>
      </w:pPr>
      <w:r>
        <w:rPr>
          <w:rFonts w:hint="eastAsia" w:ascii="KaiTi_GB2312" w:eastAsia="KaiTi_GB2312"/>
          <w:sz w:val="32"/>
          <w:szCs w:val="32"/>
        </w:rPr>
        <w:t>（二）健全多元化投入格局</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县财政按规定做好残疾人事业经费保障。全面实施预算绩效管理，提高资金使用效益。依法征收和规范使用残疾人就业保障金，依法落实体育彩票、社会福利彩票公益金发展残疾人事业的比例部分。完善残疾人事业财政金融等支持政策，引导社会资本、慈善捐赠等资金支持残疾人保障和发展，形成多渠道、多元化投入格局。</w:t>
      </w:r>
    </w:p>
    <w:p>
      <w:pPr>
        <w:spacing w:line="600" w:lineRule="exact"/>
        <w:ind w:firstLine="640" w:firstLineChars="200"/>
        <w:rPr>
          <w:rFonts w:ascii="KaiTi_GB2312" w:eastAsia="KaiTi_GB2312"/>
          <w:sz w:val="32"/>
          <w:szCs w:val="32"/>
        </w:rPr>
      </w:pPr>
      <w:r>
        <w:rPr>
          <w:rFonts w:hint="eastAsia" w:ascii="KaiTi_GB2312" w:eastAsia="KaiTi_GB2312"/>
          <w:sz w:val="32"/>
          <w:szCs w:val="32"/>
        </w:rPr>
        <w:t>（三）加强基础设施和服务机构建设</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健全残疾人关爱服务体系。将残疾人基础设施建设纳入“十四五”重大建设项目。建设残疾人专业康复设施，促进康复设施规范运营和发挥效益。加快推进残疾人康复、就业等综合服务机构、“残疾人之家”等残疾人基础服务设施项目的建设。</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将残疾人公共服务纳入县、乡（镇）政府公共事务事项清单以及村（社区）依法协助政府工作事项清单。实施残疾人服务能力提升行动，建设县、乡、村三级联动互补的基层残疾人服务网络。开展残疾人需求评估，加强资源统筹。将残疾人服务纳入城乡社区治理和服务体系建设，村（社区）将残疾人作为重点服务对象，逐步实现“县有机构（设施）、乡村有服务”。开展特殊困难残疾人上门探视、上门办证，上门服务。支持各类社会组织在城乡社区开展助残服务。</w:t>
      </w:r>
    </w:p>
    <w:p>
      <w:pPr>
        <w:spacing w:line="600" w:lineRule="exact"/>
        <w:ind w:firstLine="640" w:firstLineChars="200"/>
        <w:rPr>
          <w:rFonts w:ascii="KaiTi_GB2312" w:eastAsia="KaiTi_GB2312"/>
          <w:sz w:val="32"/>
          <w:szCs w:val="32"/>
        </w:rPr>
      </w:pPr>
      <w:r>
        <w:rPr>
          <w:rFonts w:hint="eastAsia" w:ascii="KaiTi_GB2312" w:eastAsia="KaiTi_GB2312"/>
          <w:sz w:val="32"/>
          <w:szCs w:val="32"/>
        </w:rPr>
        <w:t>（四）加强助残专业人才培养</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构建残疾人服务专业人才培养体系，加快培育残疾人康复护理、特殊教育、就业服务等方面专业人才队伍。</w:t>
      </w:r>
    </w:p>
    <w:tbl>
      <w:tblPr>
        <w:tblStyle w:val="8"/>
        <w:tblW w:w="9072" w:type="dxa"/>
        <w:jc w:val="center"/>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Layout w:type="fixed"/>
        <w:tblCellMar>
          <w:top w:w="0" w:type="dxa"/>
          <w:left w:w="108" w:type="dxa"/>
          <w:bottom w:w="0" w:type="dxa"/>
          <w:right w:w="108" w:type="dxa"/>
        </w:tblCellMar>
      </w:tblPr>
      <w:tblGrid>
        <w:gridCol w:w="9072"/>
      </w:tblGrid>
      <w:tr>
        <w:tblPrEx>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CellMar>
            <w:top w:w="0" w:type="dxa"/>
            <w:left w:w="108" w:type="dxa"/>
            <w:bottom w:w="0" w:type="dxa"/>
            <w:right w:w="108" w:type="dxa"/>
          </w:tblCellMar>
        </w:tblPrEx>
        <w:trPr>
          <w:trHeight w:val="505" w:hRule="atLeast"/>
          <w:jc w:val="center"/>
        </w:trPr>
        <w:tc>
          <w:tcPr>
            <w:tcW w:w="9072" w:type="dxa"/>
            <w:tcBorders>
              <w:top w:val="single" w:color="808080" w:sz="18" w:space="0"/>
              <w:left w:val="single" w:color="808080" w:sz="18" w:space="0"/>
              <w:bottom w:val="single" w:color="808080" w:sz="18" w:space="0"/>
              <w:right w:val="single" w:color="808080" w:sz="18" w:space="0"/>
            </w:tcBorders>
            <w:shd w:val="clear" w:color="auto" w:fill="D9D9D9"/>
            <w:vAlign w:val="center"/>
          </w:tcPr>
          <w:p>
            <w:pPr>
              <w:jc w:val="center"/>
              <w:rPr>
                <w:rFonts w:ascii="FangSong_GB2312" w:eastAsia="FangSong_GB2312"/>
                <w:sz w:val="32"/>
                <w:szCs w:val="32"/>
              </w:rPr>
            </w:pPr>
            <w:r>
              <w:rPr>
                <w:rFonts w:hint="eastAsia" w:ascii="FangSong_GB2312" w:eastAsia="FangSong_GB2312"/>
                <w:sz w:val="32"/>
                <w:szCs w:val="32"/>
              </w:rPr>
              <w:t>专栏8：残疾人基础建设</w:t>
            </w:r>
          </w:p>
        </w:tc>
      </w:tr>
      <w:tr>
        <w:tblPrEx>
          <w:tblBorders>
            <w:top w:val="single" w:color="808080" w:sz="18" w:space="0"/>
            <w:left w:val="single" w:color="808080" w:sz="18" w:space="0"/>
            <w:bottom w:val="single" w:color="808080" w:sz="18" w:space="0"/>
            <w:right w:val="single" w:color="808080" w:sz="18" w:space="0"/>
            <w:insideH w:val="single" w:color="808080" w:sz="18" w:space="0"/>
            <w:insideV w:val="single" w:color="808080" w:sz="18" w:space="0"/>
          </w:tblBorders>
          <w:tblCellMar>
            <w:top w:w="0" w:type="dxa"/>
            <w:left w:w="108" w:type="dxa"/>
            <w:bottom w:w="0" w:type="dxa"/>
            <w:right w:w="108" w:type="dxa"/>
          </w:tblCellMar>
        </w:tblPrEx>
        <w:trPr>
          <w:trHeight w:val="522" w:hRule="atLeast"/>
          <w:jc w:val="center"/>
        </w:trPr>
        <w:tc>
          <w:tcPr>
            <w:tcW w:w="9072" w:type="dxa"/>
            <w:tcBorders>
              <w:top w:val="single" w:color="808080" w:sz="18" w:space="0"/>
              <w:left w:val="single" w:color="808080" w:sz="18" w:space="0"/>
              <w:bottom w:val="single" w:color="808080" w:sz="18" w:space="0"/>
              <w:right w:val="single" w:color="808080" w:sz="18" w:space="0"/>
            </w:tcBorders>
            <w:shd w:val="clear" w:color="auto" w:fill="FFFFFF"/>
          </w:tcPr>
          <w:p>
            <w:pPr>
              <w:spacing w:line="360" w:lineRule="exact"/>
              <w:ind w:firstLine="560" w:firstLineChars="200"/>
              <w:rPr>
                <w:rFonts w:ascii="FangSong_GB2312" w:eastAsia="FangSong_GB2312"/>
                <w:sz w:val="28"/>
                <w:szCs w:val="28"/>
              </w:rPr>
            </w:pPr>
            <w:r>
              <w:rPr>
                <w:rFonts w:hint="eastAsia" w:ascii="FangSong_GB2312" w:eastAsia="FangSong_GB2312"/>
                <w:sz w:val="28"/>
                <w:szCs w:val="28"/>
              </w:rPr>
              <w:t>1.残疾人服务设施兜底线工程项目。继续支持县残疾人康复中心综合服务设施建设，配备专业设备和器材。建设县残疾人综合服务中心，完善“残疾人之家”建设，开展集中照护、日间照料、辅助性就业等服务。</w:t>
            </w:r>
          </w:p>
          <w:p>
            <w:pPr>
              <w:spacing w:line="360" w:lineRule="exact"/>
              <w:ind w:firstLine="560" w:firstLineChars="200"/>
              <w:rPr>
                <w:rFonts w:ascii="FangSong_GB2312" w:eastAsia="FangSong_GB2312"/>
                <w:sz w:val="32"/>
                <w:szCs w:val="32"/>
              </w:rPr>
            </w:pPr>
            <w:r>
              <w:rPr>
                <w:rFonts w:hint="eastAsia" w:ascii="FangSong_GB2312" w:eastAsia="FangSong_GB2312"/>
                <w:sz w:val="28"/>
                <w:szCs w:val="28"/>
              </w:rPr>
              <w:t>2.助残人才培养项目。加快培育残疾人康复护理、特殊教育、就业服务等方面专业人才队伍。</w:t>
            </w:r>
          </w:p>
        </w:tc>
      </w:tr>
    </w:tbl>
    <w:p>
      <w:pPr>
        <w:spacing w:line="600" w:lineRule="exact"/>
        <w:ind w:firstLine="640" w:firstLineChars="200"/>
        <w:rPr>
          <w:rFonts w:ascii="SimHei" w:hAnsi="SimHei" w:eastAsia="SimHei"/>
          <w:sz w:val="32"/>
          <w:szCs w:val="32"/>
        </w:rPr>
      </w:pPr>
      <w:r>
        <w:rPr>
          <w:rFonts w:hint="eastAsia" w:ascii="SimHei" w:hAnsi="SimHei" w:eastAsia="SimHei"/>
          <w:sz w:val="32"/>
          <w:szCs w:val="32"/>
        </w:rPr>
        <w:t>五、规划实施</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实施好本规划是政府和全社会义不容辞的责任。乡镇和相关部门要成立规划实施工作领导小组，建立乡镇、部门间的协同合作机制，加强沟通协商和合作交流，确保规划的目标和任务落到实处。</w:t>
      </w:r>
    </w:p>
    <w:p>
      <w:pPr>
        <w:spacing w:line="600" w:lineRule="exact"/>
        <w:ind w:firstLine="640" w:firstLineChars="200"/>
        <w:rPr>
          <w:rFonts w:ascii="FangSong_GB2312" w:eastAsia="FangSong_GB2312"/>
          <w:sz w:val="32"/>
          <w:szCs w:val="32"/>
        </w:rPr>
      </w:pPr>
      <w:r>
        <w:rPr>
          <w:rFonts w:hint="eastAsia" w:ascii="FangSong_GB2312" w:eastAsia="FangSong_GB2312"/>
          <w:sz w:val="32"/>
          <w:szCs w:val="32"/>
        </w:rPr>
        <w:t>乡镇要把残疾人保障和发展列为政府目标管理和绩效考核内容，强化绩效考核和问责力度。县政府残工委及相关部门对规划执行情况进行年度监测、中期评估和总结评估，及时公开规划实施情况，主动接受监督。</w:t>
      </w:r>
    </w:p>
    <w:p>
      <w:pPr>
        <w:spacing w:line="600" w:lineRule="exact"/>
        <w:ind w:firstLine="640" w:firstLineChars="200"/>
        <w:rPr>
          <w:rFonts w:hint="eastAsia" w:ascii="SimHei" w:hAnsi="SimHei" w:eastAsia="SimHei"/>
          <w:sz w:val="32"/>
          <w:szCs w:val="32"/>
        </w:rPr>
      </w:pPr>
      <w:bookmarkStart w:id="0" w:name="_Toc86309413"/>
    </w:p>
    <w:p>
      <w:pPr>
        <w:spacing w:line="600" w:lineRule="exact"/>
        <w:ind w:firstLine="640" w:firstLineChars="200"/>
        <w:rPr>
          <w:rFonts w:hint="eastAsia" w:ascii="SimHei" w:hAnsi="SimHei" w:eastAsia="SimHei"/>
          <w:sz w:val="32"/>
          <w:szCs w:val="32"/>
        </w:rPr>
      </w:pPr>
    </w:p>
    <w:p>
      <w:pPr>
        <w:spacing w:line="600" w:lineRule="exact"/>
        <w:rPr>
          <w:rFonts w:hint="eastAsia" w:ascii="SimHei" w:hAnsi="SimHei" w:eastAsia="SimHei"/>
          <w:sz w:val="32"/>
          <w:szCs w:val="32"/>
        </w:rPr>
      </w:pPr>
    </w:p>
    <w:p>
      <w:pPr>
        <w:spacing w:line="600" w:lineRule="exact"/>
        <w:ind w:firstLine="640" w:firstLineChars="200"/>
        <w:rPr>
          <w:rFonts w:ascii="SimHei" w:hAnsi="SimHei" w:eastAsia="SimHei"/>
          <w:sz w:val="32"/>
          <w:szCs w:val="32"/>
        </w:rPr>
      </w:pPr>
      <w:r>
        <w:rPr>
          <w:rFonts w:hint="eastAsia" w:ascii="SimHei" w:hAnsi="SimHei" w:eastAsia="SimHei"/>
          <w:sz w:val="32"/>
          <w:szCs w:val="32"/>
        </w:rPr>
        <w:t>附件：重点任务分工表</w:t>
      </w:r>
      <w:bookmarkEnd w:id="0"/>
    </w:p>
    <w:tbl>
      <w:tblPr>
        <w:tblStyle w:val="8"/>
        <w:tblW w:w="91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97"/>
        <w:gridCol w:w="6207"/>
        <w:gridCol w:w="2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序号</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jc w:val="center"/>
              <w:rPr>
                <w:rFonts w:ascii="FangSong_GB2312" w:eastAsia="FangSong_GB2312"/>
                <w:sz w:val="28"/>
                <w:szCs w:val="28"/>
              </w:rPr>
            </w:pPr>
            <w:r>
              <w:rPr>
                <w:rFonts w:hint="eastAsia" w:ascii="FangSong_GB2312" w:eastAsia="FangSong_GB2312"/>
                <w:sz w:val="28"/>
                <w:szCs w:val="28"/>
              </w:rPr>
              <w:t>工 作 任 务</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负责单位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7"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1</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leftChars="-295" w:hanging="618" w:hangingChars="221"/>
              <w:rPr>
                <w:rFonts w:ascii="FangSong_GB2312" w:eastAsia="FangSong_GB2312"/>
                <w:sz w:val="28"/>
                <w:szCs w:val="28"/>
              </w:rPr>
            </w:pPr>
            <w:r>
              <w:rPr>
                <w:rFonts w:hint="eastAsia" w:ascii="FangSong_GB2312" w:eastAsia="FangSong_GB2312"/>
                <w:sz w:val="28"/>
                <w:szCs w:val="28"/>
              </w:rPr>
              <w:t>将符合条件的困难残疾人及家庭纳入最低生活保障范围，低收入家庭中符合条件的重度残疾人按照“单人户”纳入最低生活保障范围。</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县民政局、县财政局、县残联、各乡镇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0"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2</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落实困难残疾人生活补贴、重度残疾人护理补贴制度和建立补贴标准动态调整机制，根据护理等级、服务提供方式等制定差别化的待遇保障政策。</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县民政局、县财政局、县残联、各乡镇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9"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3</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实施残疾儿童康复救助项目，为符合条件的残疾儿童提供手术、辅助器具适配、康复训练等救助服务。</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县残联、县卫健局、县财政局、县教育局、各乡镇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6"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4</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开展残疾人辅助器具适配服务项目，对符合条件的残疾人适配辅助器具、使用训练等给予资助。</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县残联、县财政局、各乡镇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7"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5</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优先保障残疾人基本住房，加快残疾人基本住房安全化、便利化改造。</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县住建局、县财政局、县残联、各乡镇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0"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6</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开展低收入重度残疾人照护服务，开展就业年龄段残疾人托养服务，为就业年龄段智力、精神、重度肢体残疾人等提供护理照料、生活自理能力和社会适应能力训练、职业康复、劳动技能培训、辅助性就业等服务。</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县民政局、县残联、县财政局、各乡镇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9"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7</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制定实施持续解决农村低收入残疾人家庭困难的相关政策措施，健全防止返贫动态监测和帮扶机制，及时将符合条件的残疾人纳入监测对象。</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县残联、县乡村振兴局、县财政局、县农业农村局、各乡镇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8</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落实地方政府为重度残疾人缴纳城乡居民基本养老保险个人缴费、资助符合条件的残疾人参加城乡居民基本医疗保险等政策，实现应保尽保。</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县人社局、县财政局、县民政局</w:t>
            </w:r>
            <w:r>
              <w:rPr>
                <w:rFonts w:hint="eastAsia" w:ascii="FangSong_GB2312" w:eastAsia="SimSun"/>
                <w:sz w:val="28"/>
                <w:szCs w:val="28"/>
                <w:lang w:eastAsia="zh-CN"/>
              </w:rPr>
              <w:t>、县</w:t>
            </w:r>
            <w:r>
              <w:rPr>
                <w:rFonts w:hint="eastAsia" w:ascii="FangSong_GB2312" w:eastAsia="FangSong_GB2312"/>
                <w:sz w:val="28"/>
                <w:szCs w:val="28"/>
              </w:rPr>
              <w:t>乡村振兴局、县医保局、县残联、各乡镇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9</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重大疫情等突发公共事件中对困难残疾人提供急难救助。</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县卫健局、县民政局、县残联、县应急局、县财政局、各乡镇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0"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10</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推进残疾人基本康复服务，依托专业机构，开展康复医疗、康复训练、辅助器具适配、支持性服务等康复服务。</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县残联、县卫健局、县民政局、各乡镇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8"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11</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提高精神卫生综合管理服务水平，完善严重精神障碍患者服务工作机制，提高严重精神障碍患者医疗保障标准。</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县委政法委、县卫健局、县公安局、县司法局、县残联、县医保局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7"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12</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加强临床医学、特殊教育、社会工作等专业教育中的康复托养知识能力培养，持续推进康复医学科住院医师规范化培训。推进康复医疗从业人员培训，开展残疾人专业康复机构专业技术人员规范化培训。推进康复医疗、康复工程、特殊教育等专业领域职称工作，支持各类康复专业技术人员参加社会化职称评审。</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县卫健局、县人社局、县残联、县教育局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5"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13</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通过定向招录（聘）等方式，促进机关、事业单位、国有企业带头安排残疾人就业。县残联机关干部队伍中要有15%以上（含15%）的残疾人。</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县委组织部、县人社局、县委编办、县残联、国资办、各乡镇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9"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14</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推动农村残疾人就业帮扶基地建设，扶持一批带动辐射能力强、经营管理规范、具有一定规模的残疾人就业帮扶基地，带动残疾人稳定就业、生产增收。</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县残联、县农业农村局、县人社局、县财政局、县经信局、县民政局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7"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15</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实施盲人按摩提升项目，落实《盲人医疗按摩管理办法》和盲人保健按摩有关标准，促进盲人按摩行业规范化、标准化、专业化、品牌化发展。</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县残联、县人社局、县民政局、县财政局、县卫健局、各乡镇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0"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16</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依托高校、就业服务机构、人力资源服务机构等，为高校残疾人毕业生提供职业指导、职业培训、专场招聘、见习实习等专项就业服务。</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县委组织部、县人社局、县教育局、县财政局、县残联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5"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17</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推进残疾人辅助性就业，加强残疾人辅助性就业机构能力建设，鼓励引导</w:t>
            </w:r>
            <w:r>
              <w:rPr>
                <w:rFonts w:hint="eastAsia" w:ascii="FangSong_GB2312" w:eastAsia="SimSun"/>
                <w:sz w:val="28"/>
                <w:szCs w:val="28"/>
                <w:lang w:eastAsia="zh-CN"/>
              </w:rPr>
              <w:t>市场主体</w:t>
            </w:r>
            <w:r>
              <w:rPr>
                <w:rFonts w:hint="eastAsia" w:ascii="FangSong_GB2312" w:eastAsia="FangSong_GB2312"/>
                <w:sz w:val="28"/>
                <w:szCs w:val="28"/>
              </w:rPr>
              <w:t>和社会力量提供辅助性就业服务，依托有一定规模的企业、残疾人服务机构等推进辅助性就业机构建设。</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县残联、县人社局、县财政局、各乡镇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18</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公益性岗位，地方设立的乡村保洁员、水管员、护路员、生态护林员、社会救助协理员、农家书屋管理员、社区工作人员等公益性岗位优先安置残疾人。</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县人社局、县财政局、县水务局、县交通运输局、县林业局、县残联、县农业农村局、县自然资源局、县民政局、县文体旅局、各乡镇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8"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19</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巩固残疾儿童少年义务教育质量，全面落实残疾人教育专家委员会工作制度，对适龄残疾儿童少年入学需求进行摸底排查和规范评估，给予科学的教育安置。完善规范送教上门工作机制，</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县教育局、县财政局、县残联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5"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20</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促进普通学校招收具有接受普通教育能力的残疾儿童少年，同等条件下在招生片区内优先安排残疾儿童少年就近就便入学。按规定设置特殊教育资源教室，配备必要的教育教学、康复训练设施设备和资源教师及专业人员。</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县教育局、县人社局、县财政局、县残联、各乡镇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9"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21</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改善县职业中学办学条件，鼓励招收具有接受普通教育能力的残疾学生。</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县教育局、县发改局、县财政局、县残联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3"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22</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落实从学前到研究生教育全覆盖的学生资助政策，对家庭经济困难的残疾学生和残疾人子女予以资助。</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县残联、县教育局、县民政局、县教育局、各乡镇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2"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23</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为重度、困难残疾人家庭开展“五个一”文化服务。</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县残联、县文体旅局、县委宣传部、各乡镇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3"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24</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进一步健全残疾人运动员人才建设体系，完善竞技体育训练机制，促进残奥、特奥体育运动协调发展，不断提升峨边残疾人竞技体育水平。</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县残联、县文体旅局、各乡镇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1"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25</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推广适合残疾人康复健身体育项目、方法和器材，开展残疾人康复（健身）体育进家庭、进社区项目。</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县残联、县文化旅游体育局、各乡镇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83"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26</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大力推进道路交通无障碍、公共服务设施无障碍、社区和家庭无障碍、无障碍公共厕所建设。推进自助服务终端、应急服务信息等信息无障碍建设。</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县住建局、县委宣传部、县交通运输局、县公安局、县民政局、县财政局、县自然资源局</w:t>
            </w:r>
            <w:r>
              <w:rPr>
                <w:rFonts w:hint="eastAsia" w:ascii="FangSong_GB2312" w:eastAsia="SimSun"/>
                <w:sz w:val="28"/>
                <w:szCs w:val="28"/>
                <w:lang w:eastAsia="zh-CN"/>
              </w:rPr>
              <w:t>、县</w:t>
            </w:r>
            <w:r>
              <w:rPr>
                <w:rFonts w:hint="eastAsia" w:ascii="FangSong_GB2312" w:eastAsia="FangSong_GB2312"/>
                <w:sz w:val="28"/>
                <w:szCs w:val="28"/>
              </w:rPr>
              <w:t>文化体育旅游局、县发改局、县经信局、黑竹沟管委会、县应急局、县卫健局、县残联、各乡镇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7"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27</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将残疾人保障法等相关法律法规宣传教育纳入全县“八五”普法规划。完善残疾人法律救助工作协调机制，开展法律援助志愿助残行动。发挥12345服务热线和网络信访平台作用，建立健全残疾人权益维护应急处置机制，坚决打击侵犯残疾人合法权益的违法犯罪行为。</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县司法局、县公安局、县人民检察院、县人民法院、县残联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7"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28</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加快推进峨边残疾人康复就业服务中心等残疾人基础服务设施项目的建设。</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县残联、县财政局、乡村振兴局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7"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29</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持续深化优化“量体裁衣”式残疾人服务系统，推动残疾人基本公共服务项目纳入大数据中心的政务服务平台、一网通办，实现与政府部门数据联通共享，推动精准化服务和精细化管理。</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县残联、县经信局、县行政审批局、县统计局、各乡镇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4"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30</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通过多形式线上线下培训、参观实训、政府购买服务等方式，培育孵化助残社会组织。</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县残联、县民政局、县财政局、各乡镇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0"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31</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常态化开展全县自强自立残疾人先进典型、残疾人事业优秀工作者宣传活动，每年</w:t>
            </w:r>
            <w:r>
              <w:rPr>
                <w:rFonts w:hint="eastAsia" w:ascii="FangSong_GB2312" w:eastAsia="SimSun"/>
                <w:sz w:val="28"/>
                <w:szCs w:val="28"/>
                <w:lang w:eastAsia="zh-CN"/>
              </w:rPr>
              <w:t>至少集中宣传一次</w:t>
            </w:r>
            <w:r>
              <w:rPr>
                <w:rFonts w:hint="eastAsia" w:ascii="FangSong_GB2312" w:eastAsia="FangSong_GB2312"/>
                <w:sz w:val="28"/>
                <w:szCs w:val="28"/>
              </w:rPr>
              <w:t>。</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县委宣传部、县文体旅局、团县委、县妇联、县残联、各乡镇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5"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32</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有效开展志愿助残服务，完善优化志愿助残服务平台建设，为残疾人提供类型化、多样化、精细化的助残服务。</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县残联、团县委、县总工会、县妇联、各乡镇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8"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33</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发展残疾人慈善事业，鼓励和规范网络助残慈善活动。</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县残联、县民政局、县总工会、县妇联、县红十字会</w:t>
            </w:r>
            <w:r>
              <w:rPr>
                <w:rFonts w:hint="eastAsia" w:ascii="FangSong_GB2312" w:eastAsia="SimSun"/>
                <w:sz w:val="28"/>
                <w:szCs w:val="28"/>
                <w:lang w:eastAsia="zh-CN"/>
              </w:rPr>
              <w:t>、县</w:t>
            </w:r>
            <w:r>
              <w:rPr>
                <w:rFonts w:hint="eastAsia" w:ascii="FangSong_GB2312" w:eastAsia="FangSong_GB2312"/>
                <w:sz w:val="28"/>
                <w:szCs w:val="28"/>
              </w:rPr>
              <w:t>工商联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8"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34</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加强和改进村（社区）残疾人协会工作。</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县残联、县民政局、各乡镇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1" w:hRule="atLeast"/>
          <w:jc w:val="center"/>
        </w:trPr>
        <w:tc>
          <w:tcPr>
            <w:tcW w:w="5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35</w:t>
            </w:r>
          </w:p>
        </w:tc>
        <w:tc>
          <w:tcPr>
            <w:tcW w:w="62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ind w:firstLine="560" w:firstLineChars="200"/>
              <w:rPr>
                <w:rFonts w:ascii="FangSong_GB2312" w:eastAsia="FangSong_GB2312"/>
                <w:sz w:val="28"/>
                <w:szCs w:val="28"/>
              </w:rPr>
            </w:pPr>
            <w:r>
              <w:rPr>
                <w:rFonts w:hint="eastAsia" w:ascii="FangSong_GB2312" w:eastAsia="FangSong_GB2312"/>
                <w:sz w:val="28"/>
                <w:szCs w:val="28"/>
              </w:rPr>
              <w:t>推动残疾人群众文化和特殊艺术发展，鼓励残疾人参与文化艺术创作，支持创作、出版残疾人文学艺术精品，推动残疾人文化产业发展。组团参加四川省第三、</w:t>
            </w:r>
            <w:r>
              <w:rPr>
                <w:rFonts w:hint="eastAsia" w:ascii="FangSong_GB2312" w:eastAsia="SimSun"/>
                <w:sz w:val="28"/>
                <w:szCs w:val="28"/>
                <w:lang w:eastAsia="zh-CN"/>
              </w:rPr>
              <w:t>第</w:t>
            </w:r>
            <w:r>
              <w:rPr>
                <w:rFonts w:hint="eastAsia" w:ascii="FangSong_GB2312" w:eastAsia="FangSong_GB2312"/>
                <w:sz w:val="28"/>
                <w:szCs w:val="28"/>
              </w:rPr>
              <w:t>四届残疾人文化艺术节。</w:t>
            </w:r>
          </w:p>
        </w:tc>
        <w:tc>
          <w:tcPr>
            <w:tcW w:w="23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00" w:lineRule="exact"/>
              <w:rPr>
                <w:rFonts w:ascii="FangSong_GB2312" w:eastAsia="FangSong_GB2312"/>
                <w:sz w:val="28"/>
                <w:szCs w:val="28"/>
              </w:rPr>
            </w:pPr>
            <w:r>
              <w:rPr>
                <w:rFonts w:hint="eastAsia" w:ascii="FangSong_GB2312" w:eastAsia="FangSong_GB2312"/>
                <w:sz w:val="28"/>
                <w:szCs w:val="28"/>
              </w:rPr>
              <w:t>县残联、团县委、县文体旅局、县妇联</w:t>
            </w:r>
          </w:p>
        </w:tc>
      </w:tr>
    </w:tbl>
    <w:p>
      <w:pPr>
        <w:rPr>
          <w:rFonts w:hint="eastAsia" w:ascii="FangSong_GB2312" w:eastAsia="FangSong_GB2312"/>
          <w:sz w:val="32"/>
          <w:szCs w:val="32"/>
        </w:rPr>
      </w:pPr>
      <w:r>
        <w:rPr>
          <w:rFonts w:hint="eastAsia" w:ascii="FangSong_GB2312" w:eastAsia="FangSong_GB2312"/>
          <w:sz w:val="32"/>
          <w:szCs w:val="32"/>
        </w:rPr>
        <w:t>注：负责单位中列第一位者为牵头单位，其余为主要参与单位。</w:t>
      </w:r>
      <w:bookmarkStart w:id="1" w:name="_Toc85879298"/>
      <w:bookmarkEnd w:id="1"/>
      <w:bookmarkStart w:id="2" w:name="_Toc83543971"/>
      <w:bookmarkEnd w:id="2"/>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pStyle w:val="2"/>
        <w:ind w:left="0" w:leftChars="0" w:firstLine="0" w:firstLineChars="0"/>
        <w:rPr>
          <w:lang w:val="en-US" w:eastAsia="zh-CN"/>
        </w:rPr>
      </w:pPr>
    </w:p>
    <w:p>
      <w:pPr>
        <w:bidi w:val="0"/>
        <w:rPr>
          <w:lang w:val="en-US" w:eastAsia="zh-CN"/>
        </w:rPr>
      </w:pPr>
    </w:p>
    <w:p>
      <w:pPr>
        <w:rPr>
          <w:rFonts w:hint="eastAsia"/>
          <w:lang w:val="en-US"/>
        </w:rPr>
      </w:pPr>
    </w:p>
    <w:p>
      <w:pPr>
        <w:keepNext w:val="0"/>
        <w:keepLines w:val="0"/>
        <w:widowControl w:val="0"/>
        <w:suppressLineNumbers w:val="0"/>
        <w:spacing w:before="0" w:beforeAutospacing="0" w:after="0" w:afterAutospacing="0" w:line="720" w:lineRule="exact"/>
        <w:ind w:left="0" w:right="0"/>
        <w:jc w:val="both"/>
        <w:rPr>
          <w:rFonts w:hint="eastAsia" w:ascii="FangSong_GB2312" w:hAnsi="FangSong" w:eastAsia="FangSong_GB2312" w:cs="FangSong_GB2312"/>
          <w:color w:val="000000"/>
          <w:sz w:val="32"/>
          <w:szCs w:val="32"/>
          <w:lang w:val="en-US"/>
        </w:rPr>
      </w:pPr>
      <w:r>
        <w:rPr>
          <w:rFonts w:hint="eastAsia" w:ascii="SimHei" w:hAnsi="Times New Roman" w:eastAsia="SimHei" w:cs="SimHei"/>
          <w:color w:val="000000"/>
          <w:kern w:val="0"/>
          <w:sz w:val="32"/>
          <w:szCs w:val="32"/>
          <w:lang w:val="en-US" w:eastAsia="zh-CN" w:bidi="ar"/>
        </w:rPr>
        <w:t>信息公开选项：</w:t>
      </w:r>
      <w:r>
        <w:rPr>
          <w:rFonts w:hint="eastAsia" w:ascii="FZXiaoBiaoSong-B05S" w:hAnsi="FZXiaoBiaoSong-B05S" w:eastAsia="FZXiaoBiaoSong-B05S" w:cs="SimHei"/>
          <w:color w:val="000000"/>
          <w:kern w:val="2"/>
          <w:sz w:val="32"/>
          <w:szCs w:val="32"/>
          <w:lang w:val="en-US" w:eastAsia="zh-CN" w:bidi="ar"/>
        </w:rPr>
        <w:t>主动</w:t>
      </w:r>
      <w:r>
        <w:rPr>
          <w:rFonts w:hint="eastAsia" w:ascii="FZXiaoBiaoSong-B05S" w:hAnsi="FZXiaoBiaoSong-B05S" w:eastAsia="FZXiaoBiaoSong-B05S" w:cs="FZXiaoBiaoSong-B05S"/>
          <w:color w:val="000000"/>
          <w:kern w:val="2"/>
          <w:sz w:val="32"/>
          <w:szCs w:val="32"/>
          <w:lang w:val="en-US" w:eastAsia="zh-CN" w:bidi="ar"/>
        </w:rPr>
        <w:t>公开</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ascii="FangSong_GB2312" w:eastAsia="FangSong_GB2312" w:cs="FangSong_GB2312"/>
          <w:color w:val="000000"/>
          <w:spacing w:val="-4"/>
          <w:kern w:val="0"/>
          <w:sz w:val="32"/>
          <w:szCs w:val="32"/>
          <w:lang w:val="en-US"/>
        </w:rPr>
      </w:pPr>
      <w:r>
        <w:rPr>
          <w:rFonts w:hint="eastAsia" w:ascii="FangSong_GB2312" w:hAnsi="Times New Roman" w:eastAsia="FangSong_GB2312" w:cs="FangSong_GB2312"/>
          <w:color w:val="000000"/>
          <w:spacing w:val="-4"/>
          <w:kern w:val="0"/>
          <w:sz w:val="32"/>
          <w:szCs w:val="32"/>
          <w:lang w:val="en-US" w:eastAsia="zh-CN" w:bidi="ar"/>
        </w:rPr>
        <w:t>────────────────────────────────────────</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ascii="FangSong_GB2312" w:eastAsia="FangSong_GB2312" w:cs="FangSong_GB2312"/>
          <w:color w:val="000000"/>
          <w:kern w:val="0"/>
          <w:sz w:val="28"/>
          <w:szCs w:val="28"/>
          <w:lang w:val="en-US"/>
        </w:rPr>
      </w:pPr>
      <w:r>
        <w:rPr>
          <w:rFonts w:hint="eastAsia" w:ascii="FangSong_GB2312" w:hAnsi="Times New Roman" w:eastAsia="FangSong_GB2312" w:cs="FangSong_GB2312"/>
          <w:color w:val="000000"/>
          <w:kern w:val="0"/>
          <w:sz w:val="28"/>
          <w:szCs w:val="28"/>
          <w:lang w:val="en-US" w:eastAsia="zh-CN" w:bidi="ar"/>
        </w:rPr>
        <w:t xml:space="preserve">  峨边彝族自治县人民政府办公室             2022年12月26日印发</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lang w:val="en-US" w:eastAsia="zh-CN"/>
        </w:rPr>
      </w:pPr>
      <w:r>
        <w:rPr>
          <w:rFonts w:hint="eastAsia" w:ascii="FangSong_GB2312" w:hAnsi="Times New Roman" w:eastAsia="FangSong_GB2312" w:cs="FangSong_GB2312"/>
          <w:color w:val="000000"/>
          <w:spacing w:val="-4"/>
          <w:kern w:val="0"/>
          <w:sz w:val="32"/>
          <w:szCs w:val="32"/>
          <w:lang w:val="en-US" w:eastAsia="zh-CN" w:bidi="ar"/>
        </w:rPr>
        <w:t>────────────────────────────────────────</w:t>
      </w:r>
    </w:p>
    <w:sectPr>
      <w:footerReference r:id="rId8" w:type="default"/>
      <w:footerReference r:id="rId9" w:type="even"/>
      <w:pgSz w:w="11907" w:h="16839" w:orient="landscape"/>
      <w:pgMar w:top="2041" w:right="1588" w:bottom="1588" w:left="1247" w:header="851" w:footer="851" w:gutter="0"/>
      <w:pgNumType w:fmt="decimal" w:start="1"/>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embedRegular r:id="rId1" w:fontKey="{67336491-C99B-406A-B64C-BCE59DACDE35}"/>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embedRegular r:id="rId2" w:fontKey="{D3BD9A88-D1DB-403C-93A6-0BE8AECF451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3901094C-30C2-4CBA-84C9-E817CCECB105}"/>
  </w:font>
  <w:font w:name="FangSong">
    <w:panose1 w:val="02010609060101010101"/>
    <w:charset w:val="86"/>
    <w:family w:val="modern"/>
    <w:pitch w:val="default"/>
    <w:sig w:usb0="800002BF" w:usb1="38CF7CFA" w:usb2="00000016" w:usb3="00000000" w:csb0="00040001" w:csb1="00000000"/>
    <w:embedRegular r:id="rId4" w:fontKey="{B13A41B9-F94E-4BE8-89DB-D5DF690C09EC}"/>
  </w:font>
  <w:font w:name="FangSong_GB2312">
    <w:altName w:val="Times New Roman"/>
    <w:panose1 w:val="02010609030101010101"/>
    <w:charset w:val="86"/>
    <w:family w:val="modern"/>
    <w:pitch w:val="default"/>
    <w:sig w:usb0="00000000" w:usb1="00000000" w:usb2="00000000" w:usb3="00000000" w:csb0="00040000" w:csb1="00000000"/>
    <w:embedRegular r:id="rId5" w:fontKey="{B8EA98E0-62F5-426A-BC02-352CAFC518E7}"/>
  </w:font>
  <w:font w:name="FZXiaoBiaoSong-B05S">
    <w:panose1 w:val="02000000000000000000"/>
    <w:charset w:val="86"/>
    <w:family w:val="auto"/>
    <w:pitch w:val="default"/>
    <w:sig w:usb0="00000001" w:usb1="080E0000" w:usb2="00000000" w:usb3="00000000" w:csb0="00040000" w:csb1="00000000"/>
    <w:embedRegular r:id="rId6" w:fontKey="{AA165C88-FC8E-483B-9C0F-5A5FCA052EA2}"/>
  </w:font>
  <w:font w:name="KaiTi">
    <w:panose1 w:val="02010609060101010101"/>
    <w:charset w:val="86"/>
    <w:family w:val="modern"/>
    <w:pitch w:val="default"/>
    <w:sig w:usb0="800002BF" w:usb1="38CF7CFA" w:usb2="00000016" w:usb3="00000000" w:csb0="00040001" w:csb1="00000000"/>
    <w:embedRegular r:id="rId7" w:fontKey="{79598E66-96FF-440A-8906-83452F17A2C8}"/>
  </w:font>
  <w:font w:name="Arial Unicode MS">
    <w:altName w:val="Arial"/>
    <w:panose1 w:val="020B0604020202020204"/>
    <w:charset w:val="00"/>
    <w:family w:val="auto"/>
    <w:pitch w:val="default"/>
    <w:sig w:usb0="00000000" w:usb1="00000000" w:usb2="00000000" w:usb3="00000000" w:csb0="00000001" w:csb1="00000000"/>
  </w:font>
  <w:font w:name="KaiTi_GB2312">
    <w:altName w:val="KaiTi"/>
    <w:panose1 w:val="02010609030101010101"/>
    <w:charset w:val="86"/>
    <w:family w:val="modern"/>
    <w:pitch w:val="default"/>
    <w:sig w:usb0="00000000" w:usb1="00000000" w:usb2="00000000" w:usb3="00000000" w:csb0="00040000" w:csb1="00000000"/>
    <w:embedRegular r:id="rId8" w:fontKey="{40DD1D68-CBDD-4344-9ABE-D38FF1E65F94}"/>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SimSun" w:hAnsi="SimSun" w:eastAsia="SimSun" w:cs="SimSun"/>
                              <w:sz w:val="28"/>
                              <w:szCs w:val="28"/>
                            </w:rPr>
                          </w:pPr>
                          <w:r>
                            <w:rPr>
                              <w:rFonts w:hint="eastAsia" w:ascii="SimSun" w:hAnsi="SimSun" w:eastAsia="SimSun" w:cs="SimSun"/>
                              <w:sz w:val="28"/>
                              <w:szCs w:val="28"/>
                            </w:rPr>
                            <w:t xml:space="preserve">— </w:t>
                          </w:r>
                          <w:r>
                            <w:rPr>
                              <w:rFonts w:hint="eastAsia" w:ascii="SimSun" w:hAnsi="SimSun" w:eastAsia="SimSun" w:cs="SimSun"/>
                              <w:sz w:val="28"/>
                              <w:szCs w:val="28"/>
                            </w:rPr>
                            <w:fldChar w:fldCharType="begin"/>
                          </w:r>
                          <w:r>
                            <w:rPr>
                              <w:rFonts w:hint="eastAsia" w:ascii="SimSun" w:hAnsi="SimSun" w:eastAsia="SimSun" w:cs="SimSun"/>
                              <w:sz w:val="28"/>
                              <w:szCs w:val="28"/>
                            </w:rPr>
                            <w:instrText xml:space="preserve"> PAGE  \* MERGEFORMAT </w:instrText>
                          </w:r>
                          <w:r>
                            <w:rPr>
                              <w:rFonts w:hint="eastAsia" w:ascii="SimSun" w:hAnsi="SimSun" w:eastAsia="SimSun" w:cs="SimSun"/>
                              <w:sz w:val="28"/>
                              <w:szCs w:val="28"/>
                            </w:rPr>
                            <w:fldChar w:fldCharType="separate"/>
                          </w:r>
                          <w:r>
                            <w:rPr>
                              <w:rFonts w:hint="eastAsia" w:ascii="SimSun" w:hAnsi="SimSun" w:eastAsia="SimSun" w:cs="SimSun"/>
                              <w:sz w:val="28"/>
                              <w:szCs w:val="28"/>
                            </w:rPr>
                            <w:t>1</w:t>
                          </w:r>
                          <w:r>
                            <w:rPr>
                              <w:rFonts w:hint="eastAsia" w:ascii="SimSun" w:hAnsi="SimSun" w:eastAsia="SimSun" w:cs="SimSun"/>
                              <w:sz w:val="28"/>
                              <w:szCs w:val="28"/>
                            </w:rPr>
                            <w:fldChar w:fldCharType="end"/>
                          </w:r>
                          <w:r>
                            <w:rPr>
                              <w:rFonts w:hint="eastAsia" w:ascii="SimSun" w:hAnsi="SimSun" w:eastAsia="SimSun" w:cs="SimSu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SimSun" w:hAnsi="SimSun" w:eastAsia="SimSun" w:cs="SimSun"/>
                        <w:sz w:val="28"/>
                        <w:szCs w:val="28"/>
                      </w:rPr>
                    </w:pPr>
                    <w:r>
                      <w:rPr>
                        <w:rFonts w:hint="eastAsia" w:ascii="SimSun" w:hAnsi="SimSun" w:eastAsia="SimSun" w:cs="SimSun"/>
                        <w:sz w:val="28"/>
                        <w:szCs w:val="28"/>
                      </w:rPr>
                      <w:t xml:space="preserve">— </w:t>
                    </w:r>
                    <w:r>
                      <w:rPr>
                        <w:rFonts w:hint="eastAsia" w:ascii="SimSun" w:hAnsi="SimSun" w:eastAsia="SimSun" w:cs="SimSun"/>
                        <w:sz w:val="28"/>
                        <w:szCs w:val="28"/>
                      </w:rPr>
                      <w:fldChar w:fldCharType="begin"/>
                    </w:r>
                    <w:r>
                      <w:rPr>
                        <w:rFonts w:hint="eastAsia" w:ascii="SimSun" w:hAnsi="SimSun" w:eastAsia="SimSun" w:cs="SimSun"/>
                        <w:sz w:val="28"/>
                        <w:szCs w:val="28"/>
                      </w:rPr>
                      <w:instrText xml:space="preserve"> PAGE  \* MERGEFORMAT </w:instrText>
                    </w:r>
                    <w:r>
                      <w:rPr>
                        <w:rFonts w:hint="eastAsia" w:ascii="SimSun" w:hAnsi="SimSun" w:eastAsia="SimSun" w:cs="SimSun"/>
                        <w:sz w:val="28"/>
                        <w:szCs w:val="28"/>
                      </w:rPr>
                      <w:fldChar w:fldCharType="separate"/>
                    </w:r>
                    <w:r>
                      <w:rPr>
                        <w:rFonts w:hint="eastAsia" w:ascii="SimSun" w:hAnsi="SimSun" w:eastAsia="SimSun" w:cs="SimSun"/>
                        <w:sz w:val="28"/>
                        <w:szCs w:val="28"/>
                      </w:rPr>
                      <w:t>1</w:t>
                    </w:r>
                    <w:r>
                      <w:rPr>
                        <w:rFonts w:hint="eastAsia" w:ascii="SimSun" w:hAnsi="SimSun" w:eastAsia="SimSun" w:cs="SimSun"/>
                        <w:sz w:val="28"/>
                        <w:szCs w:val="28"/>
                      </w:rPr>
                      <w:fldChar w:fldCharType="end"/>
                    </w:r>
                    <w:r>
                      <w:rPr>
                        <w:rFonts w:hint="eastAsia" w:ascii="SimSun" w:hAnsi="SimSun" w:eastAsia="SimSun" w:cs="SimSun"/>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txbxContent>
              </v:textbox>
            </v:shape>
          </w:pict>
        </mc:Fallback>
      </mc:AlternateContent>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38100</wp:posOffset>
              </wp:positionH>
              <wp:positionV relativeFrom="paragraph">
                <wp:posOffset>-161925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pt;margin-top:-12.75pt;height:144pt;width:144pt;mso-position-horizontal-relative:margin;mso-wrap-style:none;z-index:251660288;mso-width-relative:page;mso-height-relative:page;" filled="f" stroked="f" coordsize="21600,21600" o:gfxdata="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eSMVQNcAAAAJAQAADwAAAAAAAAABACAAAAAiAAAAZHJzL2Rvd25yZXYueG1sUEsBAhQA&#10;FAAAAAgAh07iQL0O3bcsAgAAVQQAAA4AAAAAAAAAAQAgAAAAJgEAAGRycy9lMm9Eb2MueG1sUEsF&#10;BgAAAAAGAAYAWQEAAMQFAAAAAA==&#10;">
              <v:fill on="f" focussize="0,0"/>
              <v:stroke on="f" weight="0.5pt"/>
              <v:imagedata o:title=""/>
              <o:lock v:ext="edit" aspectratio="f"/>
              <v:textbox inset="0mm,0mm,0mm,0mm" style="mso-fit-shape-to-text:t;">
                <w:txbxContent>
                  <w:p>
                    <w:pPr>
                      <w:pStyle w:val="6"/>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sz w:val="28"/>
                              <w:szCs w:val="28"/>
                            </w:rPr>
                          </w:pPr>
                          <w:r>
                            <w:rPr>
                              <w:rFonts w:hint="eastAsia" w:ascii="SimSun" w:hAnsi="SimSun" w:eastAsia="SimSun" w:cs="SimSun"/>
                              <w:sz w:val="28"/>
                              <w:szCs w:val="28"/>
                            </w:rPr>
                            <w:t xml:space="preserve">— </w:t>
                          </w:r>
                          <w:r>
                            <w:rPr>
                              <w:rFonts w:hint="eastAsia" w:ascii="SimSun" w:hAnsi="SimSun" w:eastAsia="SimSun" w:cs="SimSun"/>
                              <w:sz w:val="28"/>
                              <w:szCs w:val="28"/>
                            </w:rPr>
                            <w:fldChar w:fldCharType="begin"/>
                          </w:r>
                          <w:r>
                            <w:rPr>
                              <w:rFonts w:hint="eastAsia" w:ascii="SimSun" w:hAnsi="SimSun" w:eastAsia="SimSun" w:cs="SimSun"/>
                              <w:sz w:val="28"/>
                              <w:szCs w:val="28"/>
                            </w:rPr>
                            <w:instrText xml:space="preserve"> PAGE  \* MERGEFORMAT </w:instrText>
                          </w:r>
                          <w:r>
                            <w:rPr>
                              <w:rFonts w:hint="eastAsia" w:ascii="SimSun" w:hAnsi="SimSun" w:eastAsia="SimSun" w:cs="SimSun"/>
                              <w:sz w:val="28"/>
                              <w:szCs w:val="28"/>
                            </w:rPr>
                            <w:fldChar w:fldCharType="separate"/>
                          </w:r>
                          <w:r>
                            <w:rPr>
                              <w:rFonts w:hint="eastAsia" w:ascii="SimSun" w:hAnsi="SimSun" w:eastAsia="SimSun" w:cs="SimSun"/>
                              <w:sz w:val="28"/>
                              <w:szCs w:val="28"/>
                            </w:rPr>
                            <w:t>1</w:t>
                          </w:r>
                          <w:r>
                            <w:rPr>
                              <w:rFonts w:hint="eastAsia" w:ascii="SimSun" w:hAnsi="SimSun" w:eastAsia="SimSun" w:cs="SimSun"/>
                              <w:sz w:val="28"/>
                              <w:szCs w:val="28"/>
                            </w:rPr>
                            <w:fldChar w:fldCharType="end"/>
                          </w:r>
                          <w:r>
                            <w:rPr>
                              <w:rFonts w:hint="eastAsia" w:ascii="SimSun" w:hAnsi="SimSun" w:eastAsia="SimSun" w:cs="SimSu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6"/>
                      <w:rPr>
                        <w:sz w:val="28"/>
                        <w:szCs w:val="28"/>
                      </w:rPr>
                    </w:pPr>
                    <w:r>
                      <w:rPr>
                        <w:rFonts w:hint="eastAsia" w:ascii="SimSun" w:hAnsi="SimSun" w:eastAsia="SimSun" w:cs="SimSun"/>
                        <w:sz w:val="28"/>
                        <w:szCs w:val="28"/>
                      </w:rPr>
                      <w:t xml:space="preserve">— </w:t>
                    </w:r>
                    <w:r>
                      <w:rPr>
                        <w:rFonts w:hint="eastAsia" w:ascii="SimSun" w:hAnsi="SimSun" w:eastAsia="SimSun" w:cs="SimSun"/>
                        <w:sz w:val="28"/>
                        <w:szCs w:val="28"/>
                      </w:rPr>
                      <w:fldChar w:fldCharType="begin"/>
                    </w:r>
                    <w:r>
                      <w:rPr>
                        <w:rFonts w:hint="eastAsia" w:ascii="SimSun" w:hAnsi="SimSun" w:eastAsia="SimSun" w:cs="SimSun"/>
                        <w:sz w:val="28"/>
                        <w:szCs w:val="28"/>
                      </w:rPr>
                      <w:instrText xml:space="preserve"> PAGE  \* MERGEFORMAT </w:instrText>
                    </w:r>
                    <w:r>
                      <w:rPr>
                        <w:rFonts w:hint="eastAsia" w:ascii="SimSun" w:hAnsi="SimSun" w:eastAsia="SimSun" w:cs="SimSun"/>
                        <w:sz w:val="28"/>
                        <w:szCs w:val="28"/>
                      </w:rPr>
                      <w:fldChar w:fldCharType="separate"/>
                    </w:r>
                    <w:r>
                      <w:rPr>
                        <w:rFonts w:hint="eastAsia" w:ascii="SimSun" w:hAnsi="SimSun" w:eastAsia="SimSun" w:cs="SimSun"/>
                        <w:sz w:val="28"/>
                        <w:szCs w:val="28"/>
                      </w:rPr>
                      <w:t>1</w:t>
                    </w:r>
                    <w:r>
                      <w:rPr>
                        <w:rFonts w:hint="eastAsia" w:ascii="SimSun" w:hAnsi="SimSun" w:eastAsia="SimSun" w:cs="SimSun"/>
                        <w:sz w:val="28"/>
                        <w:szCs w:val="28"/>
                      </w:rPr>
                      <w:fldChar w:fldCharType="end"/>
                    </w:r>
                    <w:r>
                      <w:rPr>
                        <w:rFonts w:hint="eastAsia" w:ascii="SimSun" w:hAnsi="SimSun" w:eastAsia="SimSun" w:cs="SimSun"/>
                        <w:sz w:val="28"/>
                        <w:szCs w:val="28"/>
                      </w:rPr>
                      <w:t xml:space="preserve"> —</w:t>
                    </w:r>
                  </w:p>
                </w:txbxContent>
              </v:textbox>
            </v:shape>
          </w:pict>
        </mc:Fallback>
      </mc:AlternateContent>
    </w:r>
  </w:p>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SimSun" w:hAnsi="SimSun" w:eastAsia="SimSun" w:cs="SimSun"/>
                              <w:sz w:val="28"/>
                              <w:szCs w:val="28"/>
                            </w:rPr>
                          </w:pPr>
                          <w:r>
                            <w:rPr>
                              <w:rFonts w:hint="eastAsia" w:ascii="SimSun" w:hAnsi="SimSun" w:eastAsia="SimSun" w:cs="SimSun"/>
                              <w:sz w:val="28"/>
                              <w:szCs w:val="28"/>
                            </w:rPr>
                            <w:t xml:space="preserve">— </w:t>
                          </w:r>
                          <w:r>
                            <w:rPr>
                              <w:rFonts w:hint="eastAsia" w:ascii="SimSun" w:hAnsi="SimSun" w:eastAsia="SimSun" w:cs="SimSun"/>
                              <w:sz w:val="28"/>
                              <w:szCs w:val="28"/>
                            </w:rPr>
                            <w:fldChar w:fldCharType="begin"/>
                          </w:r>
                          <w:r>
                            <w:rPr>
                              <w:rFonts w:hint="eastAsia" w:ascii="SimSun" w:hAnsi="SimSun" w:eastAsia="SimSun" w:cs="SimSun"/>
                              <w:sz w:val="28"/>
                              <w:szCs w:val="28"/>
                            </w:rPr>
                            <w:instrText xml:space="preserve"> PAGE  \* MERGEFORMAT </w:instrText>
                          </w:r>
                          <w:r>
                            <w:rPr>
                              <w:rFonts w:hint="eastAsia" w:ascii="SimSun" w:hAnsi="SimSun" w:eastAsia="SimSun" w:cs="SimSun"/>
                              <w:sz w:val="28"/>
                              <w:szCs w:val="28"/>
                            </w:rPr>
                            <w:fldChar w:fldCharType="separate"/>
                          </w:r>
                          <w:r>
                            <w:rPr>
                              <w:rFonts w:hint="eastAsia" w:ascii="SimSun" w:hAnsi="SimSun" w:eastAsia="SimSun" w:cs="SimSun"/>
                              <w:sz w:val="28"/>
                              <w:szCs w:val="28"/>
                            </w:rPr>
                            <w:t>2</w:t>
                          </w:r>
                          <w:r>
                            <w:rPr>
                              <w:rFonts w:hint="eastAsia" w:ascii="SimSun" w:hAnsi="SimSun" w:eastAsia="SimSun" w:cs="SimSun"/>
                              <w:sz w:val="28"/>
                              <w:szCs w:val="28"/>
                            </w:rPr>
                            <w:fldChar w:fldCharType="end"/>
                          </w:r>
                          <w:r>
                            <w:rPr>
                              <w:rFonts w:hint="eastAsia" w:ascii="SimSun" w:hAnsi="SimSun" w:eastAsia="SimSun" w:cs="SimSu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6"/>
                      <w:rPr>
                        <w:rFonts w:hint="eastAsia" w:ascii="SimSun" w:hAnsi="SimSun" w:eastAsia="SimSun" w:cs="SimSun"/>
                        <w:sz w:val="28"/>
                        <w:szCs w:val="28"/>
                      </w:rPr>
                    </w:pPr>
                    <w:r>
                      <w:rPr>
                        <w:rFonts w:hint="eastAsia" w:ascii="SimSun" w:hAnsi="SimSun" w:eastAsia="SimSun" w:cs="SimSun"/>
                        <w:sz w:val="28"/>
                        <w:szCs w:val="28"/>
                      </w:rPr>
                      <w:t xml:space="preserve">— </w:t>
                    </w:r>
                    <w:r>
                      <w:rPr>
                        <w:rFonts w:hint="eastAsia" w:ascii="SimSun" w:hAnsi="SimSun" w:eastAsia="SimSun" w:cs="SimSun"/>
                        <w:sz w:val="28"/>
                        <w:szCs w:val="28"/>
                      </w:rPr>
                      <w:fldChar w:fldCharType="begin"/>
                    </w:r>
                    <w:r>
                      <w:rPr>
                        <w:rFonts w:hint="eastAsia" w:ascii="SimSun" w:hAnsi="SimSun" w:eastAsia="SimSun" w:cs="SimSun"/>
                        <w:sz w:val="28"/>
                        <w:szCs w:val="28"/>
                      </w:rPr>
                      <w:instrText xml:space="preserve"> PAGE  \* MERGEFORMAT </w:instrText>
                    </w:r>
                    <w:r>
                      <w:rPr>
                        <w:rFonts w:hint="eastAsia" w:ascii="SimSun" w:hAnsi="SimSun" w:eastAsia="SimSun" w:cs="SimSun"/>
                        <w:sz w:val="28"/>
                        <w:szCs w:val="28"/>
                      </w:rPr>
                      <w:fldChar w:fldCharType="separate"/>
                    </w:r>
                    <w:r>
                      <w:rPr>
                        <w:rFonts w:hint="eastAsia" w:ascii="SimSun" w:hAnsi="SimSun" w:eastAsia="SimSun" w:cs="SimSun"/>
                        <w:sz w:val="28"/>
                        <w:szCs w:val="28"/>
                      </w:rPr>
                      <w:t>2</w:t>
                    </w:r>
                    <w:r>
                      <w:rPr>
                        <w:rFonts w:hint="eastAsia" w:ascii="SimSun" w:hAnsi="SimSun" w:eastAsia="SimSun" w:cs="SimSun"/>
                        <w:sz w:val="28"/>
                        <w:szCs w:val="28"/>
                      </w:rPr>
                      <w:fldChar w:fldCharType="end"/>
                    </w:r>
                    <w:r>
                      <w:rPr>
                        <w:rFonts w:hint="eastAsia" w:ascii="SimSun" w:hAnsi="SimSun" w:eastAsia="SimSun" w:cs="SimSu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evenAndOddHeaders w:val="1"/>
  <w:bookFoldPrinting w:val="1"/>
  <w:bookFoldPrintingSheets w:val="0"/>
  <w:drawingGridHorizontalSpacing w:val="105"/>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MjFjMDUwODIwZDg4NDczZTI5ZmU1NTQ5YzljMTkifQ=="/>
  </w:docVars>
  <w:rsids>
    <w:rsidRoot w:val="002A6A21"/>
    <w:rsid w:val="0001024E"/>
    <w:rsid w:val="001054E3"/>
    <w:rsid w:val="002027B9"/>
    <w:rsid w:val="002A6A21"/>
    <w:rsid w:val="0033657F"/>
    <w:rsid w:val="0035742D"/>
    <w:rsid w:val="004B3C39"/>
    <w:rsid w:val="006E05BE"/>
    <w:rsid w:val="006E1315"/>
    <w:rsid w:val="006E2DDF"/>
    <w:rsid w:val="0070240C"/>
    <w:rsid w:val="007A6026"/>
    <w:rsid w:val="008A0910"/>
    <w:rsid w:val="008A38AB"/>
    <w:rsid w:val="00962A05"/>
    <w:rsid w:val="00A44C0C"/>
    <w:rsid w:val="00B22B7B"/>
    <w:rsid w:val="00BA4DA0"/>
    <w:rsid w:val="00C20C9A"/>
    <w:rsid w:val="00C91AE3"/>
    <w:rsid w:val="00D43E95"/>
    <w:rsid w:val="00D46DAC"/>
    <w:rsid w:val="00DC00AE"/>
    <w:rsid w:val="00DF5D92"/>
    <w:rsid w:val="00FA6485"/>
    <w:rsid w:val="00FF26E5"/>
    <w:rsid w:val="0B3543DB"/>
    <w:rsid w:val="30DB3AB9"/>
    <w:rsid w:val="325A6E89"/>
    <w:rsid w:val="42215E4E"/>
    <w:rsid w:val="476D31F4"/>
    <w:rsid w:val="47D44EAF"/>
    <w:rsid w:val="525743A8"/>
    <w:rsid w:val="571C684F"/>
    <w:rsid w:val="59EF57AA"/>
    <w:rsid w:val="63444D51"/>
    <w:rsid w:val="68883300"/>
    <w:rsid w:val="743552BA"/>
    <w:rsid w:val="75766953"/>
    <w:rsid w:val="76B00839"/>
    <w:rsid w:val="7EC43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after="8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1"/>
    <w:autoRedefine/>
    <w:qFormat/>
    <w:uiPriority w:val="99"/>
    <w:pPr>
      <w:keepNext/>
      <w:keepLines/>
      <w:spacing w:after="0" w:line="412" w:lineRule="auto"/>
      <w:outlineLvl w:val="1"/>
    </w:pPr>
    <w:rPr>
      <w:rFonts w:ascii="Arial" w:hAnsi="Arial" w:eastAsia="SimHei" w:cs="Times New Roman"/>
      <w:b/>
      <w:kern w:val="0"/>
      <w:sz w:val="32"/>
      <w:szCs w:val="32"/>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0"/>
    <w:pPr>
      <w:ind w:left="400" w:leftChars="400"/>
    </w:pPr>
    <w:rPr>
      <w:szCs w:val="24"/>
    </w:rPr>
  </w:style>
  <w:style w:type="paragraph" w:styleId="4">
    <w:name w:val="Body Text"/>
    <w:basedOn w:val="1"/>
    <w:link w:val="12"/>
    <w:autoRedefine/>
    <w:unhideWhenUsed/>
    <w:qFormat/>
    <w:uiPriority w:val="99"/>
    <w:pPr>
      <w:spacing w:before="100" w:beforeAutospacing="1" w:after="120"/>
    </w:pPr>
    <w:rPr>
      <w:rFonts w:ascii="Times New Roman" w:hAnsi="Times New Roman" w:eastAsia="FangSong_GB2312" w:cs="Times New Roman"/>
      <w:sz w:val="32"/>
      <w:szCs w:val="32"/>
    </w:rPr>
  </w:style>
  <w:style w:type="paragraph" w:styleId="5">
    <w:name w:val="Balloon Text"/>
    <w:basedOn w:val="1"/>
    <w:link w:val="17"/>
    <w:autoRedefine/>
    <w:semiHidden/>
    <w:unhideWhenUsed/>
    <w:qFormat/>
    <w:uiPriority w:val="99"/>
    <w:pPr>
      <w:spacing w:after="0"/>
    </w:pPr>
    <w:rPr>
      <w:sz w:val="18"/>
      <w:szCs w:val="18"/>
    </w:rPr>
  </w:style>
  <w:style w:type="paragraph" w:styleId="6">
    <w:name w:val="footer"/>
    <w:basedOn w:val="1"/>
    <w:link w:val="15"/>
    <w:autoRedefine/>
    <w:unhideWhenUsed/>
    <w:qFormat/>
    <w:uiPriority w:val="99"/>
    <w:pPr>
      <w:tabs>
        <w:tab w:val="center" w:pos="4153"/>
        <w:tab w:val="right" w:pos="8306"/>
      </w:tabs>
      <w:snapToGrid w:val="0"/>
      <w:jc w:val="left"/>
    </w:pPr>
    <w:rPr>
      <w:sz w:val="18"/>
      <w:szCs w:val="18"/>
    </w:rPr>
  </w:style>
  <w:style w:type="paragraph" w:styleId="7">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10">
    <w:name w:val="Hyperlink"/>
    <w:basedOn w:val="9"/>
    <w:autoRedefine/>
    <w:unhideWhenUsed/>
    <w:qFormat/>
    <w:uiPriority w:val="99"/>
    <w:rPr>
      <w:color w:val="0000FF"/>
      <w:u w:val="single"/>
    </w:rPr>
  </w:style>
  <w:style w:type="character" w:customStyle="1" w:styleId="11">
    <w:name w:val="标题 2 Char"/>
    <w:basedOn w:val="9"/>
    <w:link w:val="3"/>
    <w:autoRedefine/>
    <w:qFormat/>
    <w:uiPriority w:val="99"/>
    <w:rPr>
      <w:rFonts w:ascii="Arial" w:hAnsi="Arial" w:eastAsia="SimHei" w:cs="Times New Roman"/>
      <w:b/>
      <w:kern w:val="0"/>
      <w:sz w:val="32"/>
      <w:szCs w:val="32"/>
    </w:rPr>
  </w:style>
  <w:style w:type="character" w:customStyle="1" w:styleId="12">
    <w:name w:val="正文文本 Char"/>
    <w:basedOn w:val="9"/>
    <w:link w:val="4"/>
    <w:autoRedefine/>
    <w:qFormat/>
    <w:uiPriority w:val="99"/>
    <w:rPr>
      <w:rFonts w:ascii="Times New Roman" w:hAnsi="Times New Roman" w:eastAsia="FangSong_GB2312" w:cs="Times New Roman"/>
      <w:sz w:val="32"/>
      <w:szCs w:val="32"/>
    </w:rPr>
  </w:style>
  <w:style w:type="character" w:customStyle="1" w:styleId="13">
    <w:name w:val="15"/>
    <w:basedOn w:val="9"/>
    <w:autoRedefine/>
    <w:qFormat/>
    <w:uiPriority w:val="0"/>
    <w:rPr>
      <w:rFonts w:hint="default" w:ascii="Times New Roman" w:hAnsi="Times New Roman" w:cs="Times New Roman"/>
      <w:color w:val="0563C1"/>
      <w:u w:val="single"/>
    </w:rPr>
  </w:style>
  <w:style w:type="character" w:customStyle="1" w:styleId="14">
    <w:name w:val="页眉 Char"/>
    <w:basedOn w:val="9"/>
    <w:link w:val="7"/>
    <w:autoRedefine/>
    <w:qFormat/>
    <w:uiPriority w:val="99"/>
    <w:rPr>
      <w:sz w:val="18"/>
      <w:szCs w:val="18"/>
    </w:rPr>
  </w:style>
  <w:style w:type="character" w:customStyle="1" w:styleId="15">
    <w:name w:val="页脚 Char"/>
    <w:basedOn w:val="9"/>
    <w:link w:val="6"/>
    <w:autoRedefine/>
    <w:qFormat/>
    <w:uiPriority w:val="99"/>
    <w:rPr>
      <w:sz w:val="18"/>
      <w:szCs w:val="18"/>
    </w:rPr>
  </w:style>
  <w:style w:type="paragraph" w:styleId="16">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7">
    <w:name w:val="批注框文本 Char"/>
    <w:basedOn w:val="9"/>
    <w:link w:val="5"/>
    <w:autoRedefine/>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18130</Words>
  <Characters>19120</Characters>
  <Lines>149</Lines>
  <Paragraphs>42</Paragraphs>
  <TotalTime>3</TotalTime>
  <ScaleCrop>false</ScaleCrop>
  <LinksUpToDate>false</LinksUpToDate>
  <CharactersWithSpaces>19232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2022-09-16T05:05:00Z</dcterms:created>
  <dc:creator>lenovov</dc:creator>
  <cp:lastModifiedBy>碧云天</cp:lastModifiedBy>
  <cp:lastPrinted>2023-02-16T06:25:00Z</cp:lastPrinted>
  <dcterms:modified xsi:type="dcterms:W3CDTF">2024-07-16T03:33:58Z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909B7ED6C49D4BF8AE1E4AF2D90F9D17_13</vt:lpwstr>
  </property>
</Properties>
</file>